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Storix Enterprise Security Policy (ISO 27001 &amp; SOC 2)</w:t>
      </w:r>
    </w:p>
    <w:p>
      <w:r>
        <w:rPr>
          <w:b/>
        </w:rPr>
        <w:t>This document outlines the mandatory multi-tenant data isolation and encryption policies.</w:t>
      </w:r>
    </w:p>
    <w:p>
      <w:pPr>
        <w:pStyle w:val="Heading1"/>
      </w:pPr>
      <w:r>
        <w:t>1. Multi-Tenant POSIX Storage Isolation</w:t>
      </w:r>
    </w:p>
    <w:p>
      <w:r>
        <w:t>Each tenant deployment MUST operate with an independent EFS Access Point (POSIX UID/GID 33). Cross-tenant filesystem access is structurally prohibited at the OS kernel layer.</w:t>
      </w:r>
    </w:p>
    <w:p>
      <w:pPr>
        <w:pStyle w:val="Heading1"/>
      </w:pPr>
      <w:r>
        <w:t>2. Cryptographic Enforcements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Boundary</w:t>
            </w:r>
          </w:p>
        </w:tc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Cipher / Standard</w:t>
            </w:r>
          </w:p>
        </w:tc>
      </w:tr>
      <w:tr>
        <w:tc>
          <w:tcPr>
            <w:tcW w:type="dxa" w:w="2880"/>
          </w:tcPr>
          <w:p>
            <w:r>
              <w:t>RDS PostgreSQL</w:t>
            </w:r>
          </w:p>
        </w:tc>
        <w:tc>
          <w:tcPr>
            <w:tcW w:type="dxa" w:w="2880"/>
          </w:tcPr>
          <w:p>
            <w:r>
              <w:t>SSL / TLS 1.3</w:t>
            </w:r>
          </w:p>
        </w:tc>
        <w:tc>
          <w:tcPr>
            <w:tcW w:type="dxa" w:w="2880"/>
          </w:tcPr>
          <w:p>
            <w:r>
              <w:t>rds.force_ssl=1 (AES-256-GCM)</w:t>
            </w:r>
          </w:p>
        </w:tc>
      </w:tr>
      <w:tr>
        <w:tc>
          <w:tcPr>
            <w:tcW w:type="dxa" w:w="2880"/>
          </w:tcPr>
          <w:p>
            <w:r>
              <w:t>EFS Mount</w:t>
            </w:r>
          </w:p>
        </w:tc>
        <w:tc>
          <w:tcPr>
            <w:tcW w:type="dxa" w:w="2880"/>
          </w:tcPr>
          <w:p>
            <w:r>
              <w:t>TLS In-Transit</w:t>
            </w:r>
          </w:p>
        </w:tc>
        <w:tc>
          <w:tcPr>
            <w:tcW w:type="dxa" w:w="2880"/>
          </w:tcPr>
          <w:p>
            <w:r>
              <w:t>NFSv4.1 over TLS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