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C1A6" w14:textId="77777777" w:rsidR="009122A3" w:rsidRPr="000329F1" w:rsidRDefault="009122A3" w:rsidP="009122A3">
      <w:pPr>
        <w:rPr>
          <w:rFonts w:ascii="Times New Roman" w:eastAsiaTheme="minorEastAsia" w:hAnsi="Times New Roman"/>
          <w:b/>
          <w:bCs/>
          <w:color w:val="385623" w:themeColor="accent6" w:themeShade="80"/>
          <w:sz w:val="36"/>
          <w:szCs w:val="28"/>
        </w:rPr>
      </w:pPr>
      <w:r w:rsidRPr="000329F1">
        <w:rPr>
          <w:rFonts w:ascii="Times New Roman" w:eastAsiaTheme="minorEastAsia" w:hAnsi="Times New Roman"/>
          <w:b/>
          <w:bCs/>
          <w:color w:val="385623" w:themeColor="accent6" w:themeShade="80"/>
          <w:sz w:val="36"/>
          <w:szCs w:val="28"/>
        </w:rPr>
        <w:t>DPPO</w:t>
      </w:r>
    </w:p>
    <w:p w14:paraId="79EEE467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Daň z příjmů právnických osob </w:t>
      </w:r>
    </w:p>
    <w:p w14:paraId="5CBD4139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Poplatníci daně jsou ti, co nejsou fyzickými osobami</w:t>
      </w:r>
    </w:p>
    <w:p w14:paraId="637C00A5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Centrální banka je od daní osvobozená</w:t>
      </w:r>
    </w:p>
    <w:p w14:paraId="2731AB16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Plátci daně právnické osoby </w:t>
      </w:r>
    </w:p>
    <w:p w14:paraId="377D291C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Poplatníci jsou zároveň plátci daně</w:t>
      </w:r>
    </w:p>
    <w:p w14:paraId="579EE0E6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Předmět daně jsou výnosy z veškeré činnosti a nakládání s majetkem</w:t>
      </w:r>
    </w:p>
    <w:p w14:paraId="0526CD92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Základem daně je zisk, který spočítáme, že odečteme od výnosů náklady a d</w:t>
      </w:r>
      <w:r w:rsidRPr="000329F1">
        <w:rPr>
          <w:rFonts w:asciiTheme="minorHAnsi" w:eastAsiaTheme="minorEastAsia" w:hAnsiTheme="minorHAnsi" w:cstheme="minorHAnsi"/>
        </w:rPr>
        <w:t>ostáváme</w:t>
      </w:r>
      <w:r>
        <w:rPr>
          <w:rFonts w:asciiTheme="minorHAnsi" w:eastAsiaTheme="minorEastAsia" w:hAnsiTheme="minorHAnsi" w:cstheme="minorHAnsi"/>
        </w:rPr>
        <w:t xml:space="preserve"> k</w:t>
      </w:r>
      <w:r w:rsidRPr="000329F1">
        <w:rPr>
          <w:rFonts w:asciiTheme="minorHAnsi" w:eastAsiaTheme="minorEastAsia" w:hAnsiTheme="minorHAnsi" w:cstheme="minorHAnsi"/>
        </w:rPr>
        <w:t xml:space="preserve"> výsled</w:t>
      </w:r>
      <w:r>
        <w:rPr>
          <w:rFonts w:asciiTheme="minorHAnsi" w:eastAsiaTheme="minorEastAsia" w:hAnsiTheme="minorHAnsi" w:cstheme="minorHAnsi"/>
        </w:rPr>
        <w:t>ku</w:t>
      </w:r>
      <w:r w:rsidRPr="000329F1">
        <w:rPr>
          <w:rFonts w:asciiTheme="minorHAnsi" w:eastAsiaTheme="minorEastAsia" w:hAnsiTheme="minorHAnsi" w:cstheme="minorHAnsi"/>
        </w:rPr>
        <w:t xml:space="preserve"> hospodaření</w:t>
      </w:r>
    </w:p>
    <w:p w14:paraId="3CA910BD" w14:textId="77777777" w:rsidR="009122A3" w:rsidRDefault="009122A3" w:rsidP="009122A3">
      <w:pPr>
        <w:pStyle w:val="Odstavecseseznamem"/>
        <w:numPr>
          <w:ilvl w:val="0"/>
          <w:numId w:val="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Od základu daně lze odečíst hodnotu daru poskytnutým právnickým osobám, dar by měl být minimálně 2.000 Kč a v úhrnu by hodnoty neměly překročit 10 % základu daně</w:t>
      </w:r>
    </w:p>
    <w:p w14:paraId="3CF3ED11" w14:textId="77777777" w:rsidR="009122A3" w:rsidRPr="00CA771A" w:rsidRDefault="009122A3" w:rsidP="009122A3">
      <w:pPr>
        <w:rPr>
          <w:rFonts w:asciiTheme="minorHAnsi" w:eastAsiaTheme="minorEastAsia" w:hAnsiTheme="minorHAnsi" w:cstheme="minorHAnsi"/>
          <w:b/>
          <w:bCs/>
        </w:rPr>
      </w:pPr>
      <w:r w:rsidRPr="00CA771A">
        <w:rPr>
          <w:rFonts w:asciiTheme="minorHAnsi" w:eastAsiaTheme="minorEastAsia" w:hAnsiTheme="minorHAnsi" w:cstheme="minorHAnsi"/>
          <w:b/>
          <w:bCs/>
        </w:rPr>
        <w:t>Sazba daně:</w:t>
      </w:r>
    </w:p>
    <w:p w14:paraId="74DA66CF" w14:textId="77777777" w:rsidR="009122A3" w:rsidRDefault="009122A3" w:rsidP="009122A3">
      <w:pPr>
        <w:pStyle w:val="Odstavecseseznamem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Je 19 % </w:t>
      </w:r>
    </w:p>
    <w:p w14:paraId="79A717E5" w14:textId="77777777" w:rsidR="009122A3" w:rsidRDefault="009122A3" w:rsidP="009122A3">
      <w:pPr>
        <w:pStyle w:val="Odstavecseseznamem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U základních investičních fondů je to 5 % a u fondů penzijních společností je to 0 %</w:t>
      </w:r>
    </w:p>
    <w:p w14:paraId="1A4CA068" w14:textId="77777777" w:rsidR="009122A3" w:rsidRDefault="009122A3" w:rsidP="009122A3">
      <w:pPr>
        <w:pStyle w:val="Odstavecseseznamem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Daň z neočekávaných zisků a to je 60 % nad srovnávací základ</w:t>
      </w:r>
    </w:p>
    <w:p w14:paraId="08B28522" w14:textId="77777777" w:rsidR="009122A3" w:rsidRDefault="009122A3" w:rsidP="009122A3">
      <w:pPr>
        <w:pStyle w:val="Odstavecseseznamem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V případě, že firma základně ho zdaní a zisk zůstane ve firmě k dalšímu podnikání, tak dalšímu zdanění nepodléhá</w:t>
      </w:r>
    </w:p>
    <w:p w14:paraId="43AA2A8A" w14:textId="77777777" w:rsidR="009122A3" w:rsidRDefault="009122A3" w:rsidP="009122A3">
      <w:pPr>
        <w:pStyle w:val="Odstavecseseznamem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V případě, že ten zisk chtějí využít společníci pro vlastní spotřebu, tak je musí zdanit zvláštní sazbou 15 %</w:t>
      </w:r>
    </w:p>
    <w:p w14:paraId="722ECB05" w14:textId="77777777" w:rsidR="009122A3" w:rsidRDefault="009122A3" w:rsidP="009122A3">
      <w:pPr>
        <w:rPr>
          <w:rFonts w:asciiTheme="minorHAnsi" w:eastAsiaTheme="minorEastAsia" w:hAnsiTheme="minorHAnsi" w:cstheme="minorHAnsi"/>
        </w:rPr>
      </w:pPr>
    </w:p>
    <w:p w14:paraId="082F6552" w14:textId="77777777" w:rsidR="009122A3" w:rsidRDefault="009122A3" w:rsidP="009122A3">
      <w:pPr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</w:pPr>
      <w:r w:rsidRPr="008A6DA6"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  <w:t>SILNIČNÍ DAŇ</w:t>
      </w:r>
    </w:p>
    <w:p w14:paraId="1D4EC0D9" w14:textId="77777777" w:rsidR="009122A3" w:rsidRPr="008A6DA6" w:rsidRDefault="009122A3" w:rsidP="009122A3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/>
          <w:color w:val="385623" w:themeColor="accent6" w:themeShade="80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Předmětem daně jsou vozidla používaná podnikáním s hmotností na 12 tun</w:t>
      </w:r>
    </w:p>
    <w:p w14:paraId="7149184D" w14:textId="77777777" w:rsidR="009122A3" w:rsidRPr="008A6DA6" w:rsidRDefault="009122A3" w:rsidP="009122A3">
      <w:pPr>
        <w:pStyle w:val="Odstavecseseznamem"/>
        <w:numPr>
          <w:ilvl w:val="0"/>
          <w:numId w:val="3"/>
        </w:numPr>
        <w:rPr>
          <w:rFonts w:ascii="Times New Roman" w:eastAsiaTheme="minorEastAsia" w:hAnsi="Times New Roman"/>
          <w:color w:val="385623" w:themeColor="accent6" w:themeShade="80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Poplatníkem i plátcem je majitel vozidla zapsaný v technickém průkazu</w:t>
      </w:r>
    </w:p>
    <w:p w14:paraId="1C362927" w14:textId="77777777" w:rsidR="009122A3" w:rsidRPr="00790CA5" w:rsidRDefault="009122A3" w:rsidP="009122A3">
      <w:pPr>
        <w:rPr>
          <w:rFonts w:asciiTheme="minorHAnsi" w:eastAsiaTheme="minorEastAsia" w:hAnsiTheme="minorHAnsi" w:cstheme="minorHAnsi"/>
          <w:b/>
          <w:bCs/>
        </w:rPr>
      </w:pPr>
      <w:r w:rsidRPr="00790CA5">
        <w:rPr>
          <w:rFonts w:asciiTheme="minorHAnsi" w:eastAsiaTheme="minorEastAsia" w:hAnsiTheme="minorHAnsi" w:cstheme="minorHAnsi"/>
          <w:b/>
          <w:bCs/>
        </w:rPr>
        <w:t>Sazba daně:</w:t>
      </w:r>
    </w:p>
    <w:p w14:paraId="64D5754A" w14:textId="77777777" w:rsidR="009122A3" w:rsidRPr="008A6DA6" w:rsidRDefault="009122A3" w:rsidP="009122A3">
      <w:pPr>
        <w:pStyle w:val="Odstavecseseznamem"/>
        <w:numPr>
          <w:ilvl w:val="0"/>
          <w:numId w:val="4"/>
        </w:numPr>
        <w:rPr>
          <w:rFonts w:asciiTheme="minorHAnsi" w:eastAsiaTheme="minorEastAsia" w:hAnsiTheme="minorHAnsi" w:cstheme="minorHAnsi"/>
          <w:color w:val="385623" w:themeColor="accent6" w:themeShade="80"/>
        </w:rPr>
      </w:pPr>
      <w:r w:rsidRPr="008A6DA6">
        <w:rPr>
          <w:rFonts w:asciiTheme="minorHAnsi" w:eastAsiaTheme="minorEastAsia" w:hAnsiTheme="minorHAnsi" w:cstheme="minorHAnsi"/>
        </w:rPr>
        <w:t>Závisí na hmotnosti vozidla a na počnu náprav</w:t>
      </w:r>
      <w:r>
        <w:rPr>
          <w:rFonts w:asciiTheme="minorHAnsi" w:eastAsiaTheme="minorEastAsia" w:hAnsiTheme="minorHAnsi" w:cstheme="minorHAnsi"/>
        </w:rPr>
        <w:t xml:space="preserve"> (kolik má kol)</w:t>
      </w:r>
    </w:p>
    <w:p w14:paraId="6C017398" w14:textId="77777777" w:rsidR="009122A3" w:rsidRDefault="009122A3" w:rsidP="009122A3">
      <w:pPr>
        <w:pStyle w:val="Odstavecseseznamem"/>
        <w:numPr>
          <w:ilvl w:val="0"/>
          <w:numId w:val="4"/>
        </w:numPr>
        <w:rPr>
          <w:rFonts w:asciiTheme="minorHAnsi" w:eastAsiaTheme="minorEastAsia" w:hAnsiTheme="minorHAnsi" w:cstheme="minorHAnsi"/>
        </w:rPr>
      </w:pPr>
      <w:r w:rsidRPr="00790CA5">
        <w:rPr>
          <w:rFonts w:asciiTheme="minorHAnsi" w:eastAsiaTheme="minorEastAsia" w:hAnsiTheme="minorHAnsi" w:cstheme="minorHAnsi"/>
        </w:rPr>
        <w:t xml:space="preserve">Zdaňovací období </w:t>
      </w:r>
      <w:r>
        <w:rPr>
          <w:rFonts w:asciiTheme="minorHAnsi" w:eastAsiaTheme="minorEastAsia" w:hAnsiTheme="minorHAnsi" w:cstheme="minorHAnsi"/>
        </w:rPr>
        <w:t>je kalendářní rok, nemusí se platit naráz, ale mohou se platit měsíčně a vyúčtovávají se do konce ledna dalšího roku</w:t>
      </w:r>
    </w:p>
    <w:p w14:paraId="0EBC74A6" w14:textId="77777777" w:rsidR="009122A3" w:rsidRDefault="009122A3" w:rsidP="009122A3">
      <w:pPr>
        <w:pStyle w:val="Odstavecseseznamem"/>
        <w:numPr>
          <w:ilvl w:val="0"/>
          <w:numId w:val="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Na plně elektrická auta jsou daňové zvýhodnění a nemusí se platit dálniční známka </w:t>
      </w:r>
    </w:p>
    <w:p w14:paraId="6ED3C377" w14:textId="77777777" w:rsidR="009122A3" w:rsidRDefault="009122A3" w:rsidP="009122A3">
      <w:pPr>
        <w:rPr>
          <w:rFonts w:asciiTheme="minorHAnsi" w:eastAsiaTheme="minorEastAsia" w:hAnsiTheme="minorHAnsi" w:cstheme="minorHAnsi"/>
        </w:rPr>
      </w:pPr>
    </w:p>
    <w:p w14:paraId="4CFEB127" w14:textId="77777777" w:rsidR="009122A3" w:rsidRPr="00790CA5" w:rsidRDefault="009122A3" w:rsidP="009122A3">
      <w:pPr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</w:pPr>
      <w:r w:rsidRPr="00790CA5"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  <w:t>DAŇ Z NEMOVITOSTÍ</w:t>
      </w:r>
    </w:p>
    <w:p w14:paraId="61DF07FF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Plátcem i poplatníkem je majitel nemovitosti uveden na katastrálním úřadě k prvnímu dni kalendářního roku </w:t>
      </w:r>
    </w:p>
    <w:p w14:paraId="4442B1E1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U pronajatých pozemků je to v uvedených případech nájemce </w:t>
      </w:r>
    </w:p>
    <w:p w14:paraId="4DAEE253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Zdaňovací období je kalendářní rok</w:t>
      </w:r>
    </w:p>
    <w:p w14:paraId="492D5EF9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Daň se podává jenom jednou</w:t>
      </w:r>
    </w:p>
    <w:p w14:paraId="6CA1419C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Daň je potřeba zaplatit do konce května </w:t>
      </w:r>
    </w:p>
    <w:p w14:paraId="015EDEA2" w14:textId="77777777" w:rsidR="009122A3" w:rsidRDefault="009122A3" w:rsidP="009122A3">
      <w:pPr>
        <w:pStyle w:val="Odstavecseseznamem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Daň je složená z dvou částí:</w:t>
      </w:r>
    </w:p>
    <w:p w14:paraId="2F8FA220" w14:textId="77777777" w:rsidR="009122A3" w:rsidRDefault="009122A3" w:rsidP="009122A3">
      <w:pPr>
        <w:pStyle w:val="Odstavecseseznamem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Daň z pozemků – základem je cena podle vyhlášky, rozloha (hlavně u staveních pozemků je to jenom rozloha) a forma využívání (hlavně u zemědělské půdy)</w:t>
      </w:r>
    </w:p>
    <w:p w14:paraId="344B8516" w14:textId="77777777" w:rsidR="009122A3" w:rsidRDefault="009122A3" w:rsidP="009122A3">
      <w:pPr>
        <w:pStyle w:val="Odstavecseseznamem"/>
        <w:numPr>
          <w:ilvl w:val="0"/>
          <w:numId w:val="6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 xml:space="preserve">Daň ze staveb a jednotek – základem je půdorys nadzemní části (sazba závisí na poloze stavby) </w:t>
      </w:r>
    </w:p>
    <w:p w14:paraId="503D6BB4" w14:textId="77777777" w:rsidR="009122A3" w:rsidRDefault="009122A3" w:rsidP="009122A3">
      <w:pPr>
        <w:rPr>
          <w:rFonts w:asciiTheme="minorHAnsi" w:eastAsiaTheme="minorEastAsia" w:hAnsiTheme="minorHAnsi" w:cstheme="minorHAnsi"/>
        </w:rPr>
      </w:pPr>
    </w:p>
    <w:p w14:paraId="5F59BE41" w14:textId="77777777" w:rsidR="009122A3" w:rsidRPr="002C69CA" w:rsidRDefault="009122A3" w:rsidP="009122A3">
      <w:pPr>
        <w:rPr>
          <w:rFonts w:ascii="Times New Roman" w:eastAsiaTheme="minorEastAsia" w:hAnsi="Times New Roman"/>
          <w:b/>
          <w:bCs/>
          <w:color w:val="385623" w:themeColor="accent6" w:themeShade="80"/>
          <w:sz w:val="32"/>
          <w:szCs w:val="24"/>
        </w:rPr>
      </w:pPr>
      <w:r w:rsidRPr="002C69CA">
        <w:rPr>
          <w:rFonts w:ascii="Times New Roman" w:eastAsiaTheme="minorEastAsia" w:hAnsi="Times New Roman"/>
          <w:b/>
          <w:bCs/>
          <w:color w:val="385623" w:themeColor="accent6" w:themeShade="80"/>
          <w:sz w:val="32"/>
          <w:szCs w:val="24"/>
        </w:rPr>
        <w:t>SOCIÁLNÍ A ZDRAVOTNÍ POJIŠTĚNÍ</w:t>
      </w:r>
    </w:p>
    <w:p w14:paraId="10E4AE50" w14:textId="77777777" w:rsidR="009122A3" w:rsidRDefault="009122A3" w:rsidP="009122A3">
      <w:pPr>
        <w:pStyle w:val="Odstavecseseznamem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/>
        </w:rPr>
        <w:t>Tvoří</w:t>
      </w:r>
      <w:proofErr w:type="gramEnd"/>
      <w:r>
        <w:rPr>
          <w:rFonts w:asciiTheme="minorHAnsi" w:eastAsiaTheme="minorEastAsia" w:hAnsiTheme="minorHAnsi" w:cstheme="minorHAnsi"/>
        </w:rPr>
        <w:t xml:space="preserve"> základ transferu mezi obyvateli (přerozdělování)</w:t>
      </w:r>
    </w:p>
    <w:p w14:paraId="2FFFFFB7" w14:textId="77777777" w:rsidR="009122A3" w:rsidRDefault="009122A3" w:rsidP="009122A3">
      <w:pPr>
        <w:pStyle w:val="Odstavecseseznamem"/>
        <w:rPr>
          <w:rFonts w:asciiTheme="minorHAnsi" w:eastAsiaTheme="minorEastAsia" w:hAnsiTheme="minorHAnsi" w:cstheme="minorHAnsi"/>
        </w:rPr>
      </w:pPr>
    </w:p>
    <w:p w14:paraId="0B01E25B" w14:textId="77777777" w:rsidR="009122A3" w:rsidRPr="002C69CA" w:rsidRDefault="009122A3" w:rsidP="009122A3">
      <w:pPr>
        <w:rPr>
          <w:rFonts w:asciiTheme="minorHAnsi" w:eastAsiaTheme="minorEastAsia" w:hAnsiTheme="minorHAnsi" w:cstheme="minorHAnsi"/>
          <w:b/>
          <w:bCs/>
        </w:rPr>
      </w:pPr>
      <w:r w:rsidRPr="002C69CA">
        <w:rPr>
          <w:rFonts w:asciiTheme="minorHAnsi" w:eastAsiaTheme="minorEastAsia" w:hAnsiTheme="minorHAnsi" w:cstheme="minorHAnsi"/>
          <w:b/>
          <w:bCs/>
        </w:rPr>
        <w:t xml:space="preserve">Zdravotní pojištění </w:t>
      </w:r>
    </w:p>
    <w:p w14:paraId="62556C7D" w14:textId="77777777" w:rsidR="009122A3" w:rsidRDefault="009122A3" w:rsidP="009122A3">
      <w:pPr>
        <w:pStyle w:val="Odstavecseseznamem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Na starost to mají zdravotní pojišťovny</w:t>
      </w:r>
    </w:p>
    <w:p w14:paraId="022FD06E" w14:textId="77777777" w:rsidR="009122A3" w:rsidRDefault="009122A3" w:rsidP="009122A3">
      <w:pPr>
        <w:pStyle w:val="Odstavecseseznamem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Hradí se z něj práce lékařů a léky </w:t>
      </w:r>
    </w:p>
    <w:p w14:paraId="7F5BB757" w14:textId="77777777" w:rsidR="009122A3" w:rsidRDefault="009122A3" w:rsidP="009122A3">
      <w:pPr>
        <w:pStyle w:val="Odstavecseseznamem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Za děti, studenty, ženy na mateřské, vojáky základní sužby, registrované nezaměstnané a za důchodce platí zdravotním pojišťovnám stát ze státního rozpočtu</w:t>
      </w:r>
    </w:p>
    <w:p w14:paraId="7C958B53" w14:textId="77777777" w:rsidR="009122A3" w:rsidRDefault="009122A3" w:rsidP="009122A3">
      <w:pPr>
        <w:pStyle w:val="Odstavecseseznamem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/>
        </w:rPr>
        <w:t>Ti</w:t>
      </w:r>
      <w:proofErr w:type="gramEnd"/>
      <w:r>
        <w:rPr>
          <w:rFonts w:asciiTheme="minorHAnsi" w:eastAsiaTheme="minorEastAsia" w:hAnsiTheme="minorHAnsi" w:cstheme="minorHAnsi"/>
        </w:rPr>
        <w:t xml:space="preserve"> co nepracují by měli odvádět alespoň minimum </w:t>
      </w:r>
    </w:p>
    <w:p w14:paraId="100EF6B3" w14:textId="77777777" w:rsidR="009122A3" w:rsidRDefault="009122A3" w:rsidP="009122A3">
      <w:pPr>
        <w:rPr>
          <w:rFonts w:asciiTheme="minorHAnsi" w:eastAsiaTheme="minorEastAsia" w:hAnsiTheme="minorHAnsi" w:cstheme="minorHAnsi"/>
        </w:rPr>
      </w:pPr>
    </w:p>
    <w:p w14:paraId="291AFB22" w14:textId="77777777" w:rsidR="009122A3" w:rsidRPr="00DD2581" w:rsidRDefault="009122A3" w:rsidP="009122A3">
      <w:pPr>
        <w:rPr>
          <w:rFonts w:asciiTheme="minorHAnsi" w:eastAsiaTheme="minorEastAsia" w:hAnsiTheme="minorHAnsi" w:cstheme="minorHAnsi"/>
          <w:b/>
          <w:bCs/>
        </w:rPr>
      </w:pPr>
      <w:r w:rsidRPr="00DD2581">
        <w:rPr>
          <w:rFonts w:asciiTheme="minorHAnsi" w:eastAsiaTheme="minorEastAsia" w:hAnsiTheme="minorHAnsi" w:cstheme="minorHAnsi"/>
          <w:b/>
          <w:bCs/>
        </w:rPr>
        <w:t>Sociální zabezpečení</w:t>
      </w:r>
    </w:p>
    <w:p w14:paraId="0B21137B" w14:textId="77777777" w:rsidR="009122A3" w:rsidRDefault="009122A3" w:rsidP="009122A3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Spravuje je správa sociálního zabezpečení a pojištění se dělí na 3 části:</w:t>
      </w:r>
    </w:p>
    <w:p w14:paraId="0EF51E24" w14:textId="77777777" w:rsidR="009122A3" w:rsidRDefault="009122A3" w:rsidP="009122A3">
      <w:pPr>
        <w:pStyle w:val="Odstavecseseznamem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Nemocenské pojištění – z něj jsou hrazeny nemocenské dávky</w:t>
      </w:r>
    </w:p>
    <w:p w14:paraId="6C92175A" w14:textId="77777777" w:rsidR="009122A3" w:rsidRDefault="009122A3" w:rsidP="009122A3">
      <w:pPr>
        <w:pStyle w:val="Odstavecseseznamem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Důchodové pojištění – z něj jdou vypláceny důchody (starobní, invalidní, vdovský, sirotčí)</w:t>
      </w:r>
    </w:p>
    <w:p w14:paraId="3B96D474" w14:textId="77777777" w:rsidR="009122A3" w:rsidRDefault="009122A3" w:rsidP="009122A3">
      <w:pPr>
        <w:pStyle w:val="Odstavecseseznamem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Příspěvek na státní politiku nezaměstnanosti – vyplácí podporu nezaměstnanosti, rekvalifikace, regionální programy, tvorba nových pracovních míst atd.</w:t>
      </w:r>
    </w:p>
    <w:p w14:paraId="24612A41" w14:textId="77777777" w:rsidR="009122A3" w:rsidRDefault="009122A3" w:rsidP="009122A3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Každý si musí povinně hradit důchodové pojištění a příspěvek na politiku zaměstnanosti a </w:t>
      </w:r>
      <w:proofErr w:type="gramStart"/>
      <w:r>
        <w:rPr>
          <w:rFonts w:asciiTheme="minorHAnsi" w:eastAsiaTheme="minorEastAsia" w:hAnsiTheme="minorHAnsi" w:cstheme="minorHAnsi"/>
        </w:rPr>
        <w:t>řeší</w:t>
      </w:r>
      <w:proofErr w:type="gramEnd"/>
      <w:r>
        <w:rPr>
          <w:rFonts w:asciiTheme="minorHAnsi" w:eastAsiaTheme="minorEastAsia" w:hAnsiTheme="minorHAnsi" w:cstheme="minorHAnsi"/>
        </w:rPr>
        <w:t xml:space="preserve"> tím podporu nezaměstnanosti</w:t>
      </w:r>
    </w:p>
    <w:p w14:paraId="3E9EB75C" w14:textId="77777777" w:rsidR="009122A3" w:rsidRDefault="009122A3" w:rsidP="009122A3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Nemocenské pojištění zaměstnanci povinně, OSVČ dobrovolně </w:t>
      </w:r>
    </w:p>
    <w:p w14:paraId="69ED23A7" w14:textId="77777777" w:rsidR="009122A3" w:rsidRDefault="009122A3" w:rsidP="009122A3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Navíc se může platit komerční pojištění – pojistné je vyšší, ale na straně druhé je i vyšší plnění </w:t>
      </w:r>
    </w:p>
    <w:p w14:paraId="497DB8B3" w14:textId="77777777" w:rsidR="009122A3" w:rsidRPr="00FF25A8" w:rsidRDefault="009122A3" w:rsidP="009122A3">
      <w:pPr>
        <w:ind w:left="360"/>
        <w:rPr>
          <w:rFonts w:asciiTheme="minorHAnsi" w:eastAsiaTheme="minorEastAsia" w:hAnsiTheme="minorHAnsi" w:cstheme="minorHAnsi"/>
          <w:b/>
          <w:bCs/>
        </w:rPr>
      </w:pPr>
      <w:r w:rsidRPr="00FF25A8">
        <w:rPr>
          <w:rFonts w:asciiTheme="minorHAnsi" w:eastAsiaTheme="minorEastAsia" w:hAnsiTheme="minorHAnsi" w:cstheme="minorHAnsi"/>
          <w:b/>
          <w:bCs/>
        </w:rPr>
        <w:t>Odvody zatím:</w:t>
      </w:r>
    </w:p>
    <w:p w14:paraId="77238E9B" w14:textId="77777777" w:rsidR="009122A3" w:rsidRDefault="009122A3" w:rsidP="009122A3">
      <w:pPr>
        <w:pStyle w:val="Odstavecseseznamem"/>
        <w:numPr>
          <w:ilvl w:val="0"/>
          <w:numId w:val="10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Zaměstnanci odvádí 11 % ze své mzdy a dalších 33,8 % odvádí za zaměstnance zaměstnavatel</w:t>
      </w:r>
    </w:p>
    <w:p w14:paraId="2A22B982" w14:textId="77777777" w:rsidR="009122A3" w:rsidRDefault="009122A3" w:rsidP="009122A3">
      <w:pPr>
        <w:pStyle w:val="Odstavecseseznamem"/>
        <w:numPr>
          <w:ilvl w:val="0"/>
          <w:numId w:val="10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Podnikatelé si ze svého zisku spočítají 50 % a z toho odvádí 45 % na sociální a zdravotní s tím, že výdaje na sociální a zdravotní pojištění nejsou daňovým nákladem </w:t>
      </w:r>
    </w:p>
    <w:p w14:paraId="11338AF8" w14:textId="77777777" w:rsidR="009122A3" w:rsidRDefault="009122A3" w:rsidP="009122A3">
      <w:pPr>
        <w:pStyle w:val="Odstavecseseznamem"/>
        <w:numPr>
          <w:ilvl w:val="0"/>
          <w:numId w:val="10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U sociálního a zdravotního platí princip solidarity =&gt; přispíváte podle svých příjmů a čerpáte podle svých potřeb</w:t>
      </w:r>
    </w:p>
    <w:p w14:paraId="0166FE4D" w14:textId="77777777" w:rsidR="009122A3" w:rsidRPr="00FF25A8" w:rsidRDefault="009122A3" w:rsidP="009122A3">
      <w:pPr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</w:pPr>
      <w:r w:rsidRPr="00FF25A8">
        <w:rPr>
          <w:rFonts w:ascii="Times New Roman" w:eastAsiaTheme="minorEastAsia" w:hAnsi="Times New Roman"/>
          <w:b/>
          <w:bCs/>
          <w:color w:val="385623" w:themeColor="accent6" w:themeShade="80"/>
          <w:sz w:val="28"/>
          <w:szCs w:val="22"/>
        </w:rPr>
        <w:t xml:space="preserve">CELNICTVÍ </w:t>
      </w:r>
    </w:p>
    <w:p w14:paraId="673677E8" w14:textId="77777777" w:rsidR="009122A3" w:rsidRDefault="009122A3" w:rsidP="009122A3">
      <w:pPr>
        <w:pStyle w:val="Odstavecseseznamem"/>
        <w:numPr>
          <w:ilvl w:val="0"/>
          <w:numId w:val="1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Cenotvorná funkce – nedílná součást dovážených výrobků</w:t>
      </w:r>
    </w:p>
    <w:p w14:paraId="2FA2F85E" w14:textId="77777777" w:rsidR="009122A3" w:rsidRDefault="009122A3" w:rsidP="009122A3">
      <w:pPr>
        <w:pStyle w:val="Odstavecseseznamem"/>
        <w:numPr>
          <w:ilvl w:val="0"/>
          <w:numId w:val="1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Druhy cel:</w:t>
      </w:r>
    </w:p>
    <w:p w14:paraId="1A1F0179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Dovozní clo – běžná při dovozu zboží mimo EU</w:t>
      </w:r>
    </w:p>
    <w:p w14:paraId="328831D6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Vývozní clo – není uplatňováno </w:t>
      </w:r>
    </w:p>
    <w:p w14:paraId="2DEC9F08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Dotace – výrobci mohou vyvážet na nižší cenu (hlavně zemědělské výrobky)</w:t>
      </w:r>
    </w:p>
    <w:p w14:paraId="699DC9E6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Vyrovnávací clo – clo které je vybíráno na dotované zboží v zemích </w:t>
      </w:r>
    </w:p>
    <w:p w14:paraId="65576E25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Odvetné clo – odveta za diskriminační clo provozované mimo EU </w:t>
      </w:r>
    </w:p>
    <w:p w14:paraId="6629695D" w14:textId="77777777" w:rsidR="009122A3" w:rsidRDefault="009122A3" w:rsidP="009122A3">
      <w:pPr>
        <w:pStyle w:val="Odstavecseseznamem"/>
        <w:numPr>
          <w:ilvl w:val="0"/>
          <w:numId w:val="1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Antidumpingové clo – ochrana před zbožím s extrémně nízkou cenou </w:t>
      </w:r>
    </w:p>
    <w:p w14:paraId="5DBC1283" w14:textId="77777777" w:rsidR="009122A3" w:rsidRDefault="009122A3" w:rsidP="009122A3">
      <w:pPr>
        <w:pStyle w:val="Odstavecseseznamem"/>
        <w:numPr>
          <w:ilvl w:val="0"/>
          <w:numId w:val="13"/>
        </w:numPr>
        <w:ind w:left="765" w:hanging="35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lastRenderedPageBreak/>
        <w:t>Vše, co dovážíme ze zemí mimo EU podléhá clu</w:t>
      </w:r>
    </w:p>
    <w:p w14:paraId="131F23DA" w14:textId="77777777" w:rsidR="009122A3" w:rsidRDefault="009122A3" w:rsidP="009122A3">
      <w:pPr>
        <w:pStyle w:val="Odstavecseseznamem"/>
        <w:numPr>
          <w:ilvl w:val="0"/>
          <w:numId w:val="13"/>
        </w:numPr>
        <w:ind w:left="765" w:hanging="35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Vývoz mimo EU je bez cla </w:t>
      </w:r>
    </w:p>
    <w:p w14:paraId="2CAF2A21" w14:textId="77777777" w:rsidR="009122A3" w:rsidRDefault="009122A3" w:rsidP="009122A3">
      <w:pPr>
        <w:pStyle w:val="Odstavecseseznamem"/>
        <w:numPr>
          <w:ilvl w:val="0"/>
          <w:numId w:val="1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Musí dojít k vyplnění JCD (jednotná celní deklarace)</w:t>
      </w:r>
    </w:p>
    <w:p w14:paraId="56EFF5D9" w14:textId="77777777" w:rsidR="009122A3" w:rsidRDefault="009122A3" w:rsidP="009122A3">
      <w:pPr>
        <w:pStyle w:val="Odstavecseseznamem"/>
        <w:numPr>
          <w:ilvl w:val="0"/>
          <w:numId w:val="13"/>
        </w:numPr>
        <w:ind w:left="765" w:hanging="357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Clo i DPH i případně spotřební daň vybírají celnice a je vyměřováno z celní hodnoty zboží (i vzorky zdarma)</w:t>
      </w:r>
    </w:p>
    <w:p w14:paraId="4EB77912" w14:textId="77777777" w:rsidR="009122A3" w:rsidRDefault="009122A3" w:rsidP="009122A3">
      <w:pPr>
        <w:pStyle w:val="Odstavecseseznamem"/>
        <w:numPr>
          <w:ilvl w:val="0"/>
          <w:numId w:val="1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Uvnitř EU jsou cla zrušená </w:t>
      </w:r>
    </w:p>
    <w:p w14:paraId="6FAC8F50" w14:textId="77777777" w:rsidR="009122A3" w:rsidRDefault="009122A3" w:rsidP="009122A3">
      <w:pPr>
        <w:pStyle w:val="Odstavecseseznamem"/>
        <w:numPr>
          <w:ilvl w:val="0"/>
          <w:numId w:val="1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Vůči nečlenským státům panuje jednotná celní politika s tím, že při vývozu se clo neplatí a při dovozu je to jednotným celním sazebníkem </w:t>
      </w:r>
    </w:p>
    <w:p w14:paraId="4A02DFDB" w14:textId="77777777" w:rsidR="009122A3" w:rsidRDefault="009122A3" w:rsidP="009122A3">
      <w:pPr>
        <w:pStyle w:val="Odstavecseseznamem"/>
        <w:numPr>
          <w:ilvl w:val="0"/>
          <w:numId w:val="11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Funkce cla:</w:t>
      </w:r>
    </w:p>
    <w:p w14:paraId="5365F56F" w14:textId="77777777" w:rsidR="009122A3" w:rsidRDefault="009122A3" w:rsidP="009122A3">
      <w:pPr>
        <w:pStyle w:val="Odstavecseseznamem"/>
        <w:numPr>
          <w:ilvl w:val="0"/>
          <w:numId w:val="1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Funkce fiskální (rozpočtová) – peníze jdou do rozpočtu EU</w:t>
      </w:r>
    </w:p>
    <w:p w14:paraId="0DC58426" w14:textId="491C07D9" w:rsidR="00000000" w:rsidRPr="009122A3" w:rsidRDefault="009122A3" w:rsidP="009122A3">
      <w:pPr>
        <w:pStyle w:val="Odstavecseseznamem"/>
        <w:numPr>
          <w:ilvl w:val="0"/>
          <w:numId w:val="12"/>
        </w:numPr>
        <w:rPr>
          <w:rFonts w:asciiTheme="minorHAnsi" w:eastAsiaTheme="minorEastAsia" w:hAnsiTheme="minorHAnsi" w:cstheme="minorHAnsi"/>
        </w:rPr>
      </w:pPr>
      <w:r w:rsidRPr="009122A3">
        <w:rPr>
          <w:rFonts w:asciiTheme="minorHAnsi" w:eastAsiaTheme="minorEastAsia" w:hAnsiTheme="minorHAnsi" w:cstheme="minorHAnsi"/>
        </w:rPr>
        <w:t>Funkce obchodně politická</w:t>
      </w:r>
    </w:p>
    <w:sectPr w:rsidR="00B24234" w:rsidRPr="00912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300"/>
    <w:multiLevelType w:val="hybridMultilevel"/>
    <w:tmpl w:val="A25E8308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7E9F"/>
    <w:multiLevelType w:val="hybridMultilevel"/>
    <w:tmpl w:val="77240320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5993"/>
    <w:multiLevelType w:val="hybridMultilevel"/>
    <w:tmpl w:val="3EAA4EF4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535EB"/>
    <w:multiLevelType w:val="hybridMultilevel"/>
    <w:tmpl w:val="7D46775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C0752"/>
    <w:multiLevelType w:val="hybridMultilevel"/>
    <w:tmpl w:val="FA5666F2"/>
    <w:lvl w:ilvl="0" w:tplc="040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4772369B"/>
    <w:multiLevelType w:val="hybridMultilevel"/>
    <w:tmpl w:val="A2FE96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16CD2"/>
    <w:multiLevelType w:val="hybridMultilevel"/>
    <w:tmpl w:val="2522FE90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A5407"/>
    <w:multiLevelType w:val="hybridMultilevel"/>
    <w:tmpl w:val="BDC251C0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91FCF"/>
    <w:multiLevelType w:val="hybridMultilevel"/>
    <w:tmpl w:val="FB987916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3BA2"/>
    <w:multiLevelType w:val="hybridMultilevel"/>
    <w:tmpl w:val="CFFEF8B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87BC9"/>
    <w:multiLevelType w:val="hybridMultilevel"/>
    <w:tmpl w:val="1FB2436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671A1"/>
    <w:multiLevelType w:val="hybridMultilevel"/>
    <w:tmpl w:val="12AA642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1C1A17"/>
    <w:multiLevelType w:val="hybridMultilevel"/>
    <w:tmpl w:val="D5FA78D0"/>
    <w:lvl w:ilvl="0" w:tplc="8A183898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6A01859"/>
    <w:multiLevelType w:val="hybridMultilevel"/>
    <w:tmpl w:val="8AC8A976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704774">
    <w:abstractNumId w:val="2"/>
  </w:num>
  <w:num w:numId="2" w16cid:durableId="1419524376">
    <w:abstractNumId w:val="0"/>
  </w:num>
  <w:num w:numId="3" w16cid:durableId="1211764020">
    <w:abstractNumId w:val="6"/>
  </w:num>
  <w:num w:numId="4" w16cid:durableId="872882406">
    <w:abstractNumId w:val="7"/>
  </w:num>
  <w:num w:numId="5" w16cid:durableId="422385730">
    <w:abstractNumId w:val="8"/>
  </w:num>
  <w:num w:numId="6" w16cid:durableId="1894778909">
    <w:abstractNumId w:val="10"/>
  </w:num>
  <w:num w:numId="7" w16cid:durableId="453138479">
    <w:abstractNumId w:val="5"/>
  </w:num>
  <w:num w:numId="8" w16cid:durableId="1571188673">
    <w:abstractNumId w:val="1"/>
  </w:num>
  <w:num w:numId="9" w16cid:durableId="1570382480">
    <w:abstractNumId w:val="3"/>
  </w:num>
  <w:num w:numId="10" w16cid:durableId="1032000101">
    <w:abstractNumId w:val="9"/>
  </w:num>
  <w:num w:numId="11" w16cid:durableId="634914528">
    <w:abstractNumId w:val="13"/>
  </w:num>
  <w:num w:numId="12" w16cid:durableId="1159660012">
    <w:abstractNumId w:val="11"/>
  </w:num>
  <w:num w:numId="13" w16cid:durableId="1352678813">
    <w:abstractNumId w:val="12"/>
  </w:num>
  <w:num w:numId="14" w16cid:durableId="728306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A3"/>
    <w:rsid w:val="002B032A"/>
    <w:rsid w:val="00355BFD"/>
    <w:rsid w:val="0091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B963"/>
  <w15:chartTrackingRefBased/>
  <w15:docId w15:val="{9C8B075A-133D-42B5-87FA-F73FCF5B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122A3"/>
    <w:rPr>
      <w:rFonts w:ascii="Calibri" w:hAnsi="Calibri" w:cs="Times New Roman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1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Štusáková</dc:creator>
  <cp:keywords/>
  <dc:description/>
  <cp:lastModifiedBy>Kristýna Štusáková</cp:lastModifiedBy>
  <cp:revision>1</cp:revision>
  <dcterms:created xsi:type="dcterms:W3CDTF">2024-01-04T08:00:00Z</dcterms:created>
  <dcterms:modified xsi:type="dcterms:W3CDTF">2024-01-04T08:02:00Z</dcterms:modified>
</cp:coreProperties>
</file>