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0392B"/>
          <w:sz w:val="48"/>
          <w:szCs w:val="48"/>
        </w:rPr>
        <w:t xml:space="preserve">RedMetrics</w:t>
      </w:r>
    </w:p>
    <w:p>
      <w:pPr>
        <w:spacing w:after="40"/>
      </w:pPr>
      <w:r>
        <w:rPr>
          <w:rFonts w:ascii="Arial" w:cs="Arial" w:eastAsia="Arial" w:hAnsi="Arial"/>
          <w:color w:val="1B3A4B"/>
          <w:sz w:val="26"/>
          <w:szCs w:val="26"/>
        </w:rPr>
        <w:t xml:space="preserve">Biological Coastal Pollution Monitoring &amp; Prediction Platform</w:t>
      </w:r>
    </w:p>
    <w:p>
      <w:pPr>
        <w:pBdr>
          <w:bottom w:val="single" w:color="C0392B" w:sz="6" w:space="6"/>
        </w:pBdr>
        <w:spacing w:after="240"/>
      </w:pPr>
      <w:r>
        <w:rPr>
          <w:rFonts w:ascii="Arial" w:cs="Arial" w:eastAsia="Arial" w:hAnsi="Arial"/>
          <w:i/>
          <w:iCs/>
          <w:color w:val="444444"/>
          <w:sz w:val="20"/>
          <w:szCs w:val="20"/>
        </w:rPr>
        <w:t xml:space="preserve">Transforming Copernicus satellite data into real-time coastal biological pollution alerts for the Mediterranean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Challenge 2 — Tracking &amp; Preventing Water Pollution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Focus</w:t>
            </w:r>
          </w:p>
        </w:tc>
        <w:tc>
          <w:tcPr>
            <w:tcW w:type="dxa" w:w="67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Biological coastal pollution: toxic harmful algal blooms (Ostreopsis cf. ovata)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Pilot Region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Ligurian Coast, Italy (Genoa — 44.4°N, 8.9°E)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EU Space Data</w:t>
            </w:r>
          </w:p>
        </w:tc>
        <w:tc>
          <w:tcPr>
            <w:tcW w:type="dxa" w:w="67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Sentinel-2 (NDCI), CMEMS (SST, currents, salinity, chlorophyll-a), C3S ERA5 (wind, waves)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IoT Layer</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5 in-water sondes (temperature, pH, DO, nitrate, phosphate) — simulated for MVP</w:t>
            </w:r>
          </w:p>
        </w:tc>
      </w:tr>
    </w:tbl>
    <w:p>
      <w:pPr>
        <w:pBdr>
          <w:bottom w:val="single" w:color="2E75B6" w:sz="4" w:space="4"/>
        </w:pBdr>
        <w:spacing w:after="160" w:before="320"/>
      </w:pPr>
      <w:r>
        <w:rPr>
          <w:rFonts w:ascii="Arial" w:cs="Arial" w:eastAsia="Arial" w:hAnsi="Arial"/>
          <w:b/>
          <w:bCs/>
          <w:color w:val="1B3A4B"/>
          <w:sz w:val="26"/>
          <w:szCs w:val="26"/>
        </w:rPr>
        <w:t xml:space="preserve">1. The Pollution Problem We Address</w:t>
      </w:r>
    </w:p>
    <w:p>
      <w:pPr>
        <w:spacing w:after="120" w:line="276"/>
      </w:pPr>
      <w:r>
        <w:rPr>
          <w:rFonts w:ascii="Arial" w:cs="Arial" w:eastAsia="Arial" w:hAnsi="Arial"/>
          <w:color w:val="444444"/>
          <w:sz w:val="20"/>
          <w:szCs w:val="20"/>
        </w:rPr>
        <w:t xml:space="preserve">Every summer, toxic microalgae (Ostreopsis cf. ovata) bloom along Mediterranean coastlines. These are not aesthetic nuisances — they are biological pollutants that produce ovatoxins and palytoxin analogues. When wave action breaks on contaminated water, it aerosolises these toxins. Coastal residents and visitors inhale them, triggering mass respiratory and gastrointestinal emergencies 5–7 days later.</w:t>
      </w:r>
    </w:p>
    <w:p>
      <w:pPr>
        <w:spacing w:after="120" w:line="276"/>
      </w:pPr>
      <w:r>
        <w:rPr>
          <w:rFonts w:ascii="Arial" w:cs="Arial" w:eastAsia="Arial" w:hAnsi="Arial"/>
          <w:color w:val="444444"/>
          <w:sz w:val="20"/>
          <w:szCs w:val="20"/>
        </w:rPr>
        <w:t xml:space="preserve">This is a water pollution crisis with a direct human health pathway that remains entirely unmonitored by existing systems. Current marine monitoring focuses on shellfish safety and fisheries; no operational platform tracks the bloom-to-airborne-toxin-to-hospital chain for coastal populations.</w:t>
      </w:r>
    </w:p>
    <w:p>
      <w:pPr>
        <w:spacing w:after="80" w:line="276"/>
      </w:pPr>
      <w:r>
        <w:rPr>
          <w:rFonts w:ascii="Arial" w:cs="Arial" w:eastAsia="Arial" w:hAnsi="Arial"/>
          <w:b/>
          <w:bCs/>
          <w:color w:val="1A1A1A"/>
          <w:sz w:val="20"/>
          <w:szCs w:val="20"/>
        </w:rPr>
        <w:t xml:space="preserve">Scale of the problem: </w:t>
      </w:r>
      <w:r>
        <w:rPr>
          <w:rFonts w:ascii="Arial" w:cs="Arial" w:eastAsia="Arial" w:hAnsi="Arial"/>
          <w:color w:val="444444"/>
          <w:sz w:val="20"/>
          <w:szCs w:val="20"/>
        </w:rPr>
        <w:t xml:space="preserve">Published clinical evidence (Kirkpatrick et al., 2006) documents a 54% increase in respiratory ER admissions during bloom events. The 2005 Genoa Ostreopsis outbreak sent over 200 patients to hospitals in a single weekend with zero prior warning. Bloom frequency in the Mediterranean has roughly tripled since 2015 (ISPRA monitoring data).</w:t>
      </w:r>
    </w:p>
    <w:p>
      <w:pPr>
        <w:spacing w:after="80" w:line="276"/>
      </w:pPr>
      <w:r>
        <w:rPr>
          <w:rFonts w:ascii="Arial" w:cs="Arial" w:eastAsia="Arial" w:hAnsi="Arial"/>
          <w:b/>
          <w:bCs/>
          <w:color w:val="1A1A1A"/>
          <w:sz w:val="20"/>
          <w:szCs w:val="20"/>
        </w:rPr>
        <w:t xml:space="preserve">The gap we fill: </w:t>
      </w:r>
      <w:r>
        <w:rPr>
          <w:rFonts w:ascii="Arial" w:cs="Arial" w:eastAsia="Arial" w:hAnsi="Arial"/>
          <w:color w:val="444444"/>
          <w:sz w:val="20"/>
          <w:szCs w:val="20"/>
        </w:rPr>
        <w:t xml:space="preserve">The bloom is visible from space 7 days before patients arrive at the ER. Satellites detect the chlorophyll spike, ocean models track the warm low-salinity water feeding the bloom, and wind forecasts predict toxin drift direction. All the data exists — it sits in five separate scientific archives that no coastal authority, hospital, or insurer is equipped to query. RedMetrics fuses these sources into a single operational pollution alert.</w:t>
      </w:r>
    </w:p>
    <w:p>
      <w:pPr>
        <w:pBdr>
          <w:bottom w:val="single" w:color="2E75B6" w:sz="4" w:space="4"/>
        </w:pBdr>
        <w:spacing w:after="160" w:before="320"/>
      </w:pPr>
      <w:r>
        <w:rPr>
          <w:rFonts w:ascii="Arial" w:cs="Arial" w:eastAsia="Arial" w:hAnsi="Arial"/>
          <w:b/>
          <w:bCs/>
          <w:color w:val="1B3A4B"/>
          <w:sz w:val="26"/>
          <w:szCs w:val="26"/>
        </w:rPr>
        <w:t xml:space="preserve">2. EU Space Technologies Used</w:t>
      </w:r>
    </w:p>
    <w:p>
      <w:pPr>
        <w:spacing w:after="120" w:line="276"/>
      </w:pPr>
      <w:r>
        <w:rPr>
          <w:rFonts w:ascii="Arial" w:cs="Arial" w:eastAsia="Arial" w:hAnsi="Arial"/>
          <w:color w:val="444444"/>
          <w:sz w:val="20"/>
          <w:szCs w:val="20"/>
        </w:rPr>
        <w:t xml:space="preserve">RedMetrics is built entirely on open-access Copernicus data. Every component of our monitoring pipeline depends on EU space infrastructure — without it, the product cannot function.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6"/>
      </w:tblGrid>
      <w:tr>
        <w:tc>
          <w:tcPr>
            <w:tcW w:type="dxa" w:w="26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Variables</w:t>
            </w:r>
          </w:p>
        </w:tc>
        <w:tc>
          <w:tcPr>
            <w:tcW w:type="dxa" w:w="3706"/>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Pollution Monitoring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Sentinel-2 (CDSE)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NDCI (Normalised Difference Chlorophyll Index) via Statistical API</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Detects coastal water colour anomalies indicating biological pollution onset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CMEMS (Copernicus Marine Service)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Sea surface temperature, currents (u/v), salinity, chlorophyll-a (biogeochemistry reanalysis)</w:t>
            </w:r>
          </w:p>
        </w:tc>
        <w:tc>
          <w:tcPr>
            <w:tcW w:type="dxa" w:w="37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Monitors oceanographic conditions that promote toxic bloom growth and tracks pollutant dispersal via current modelling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C3S ERA5 (Climate Data Store)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10m wind speed/direction, significant wave height, mean wave direction</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Physics-informed aerosolisation layer: predicts when offshore biological toxins will physically blow onshore and reach coastal populations</w:t>
            </w:r>
          </w:p>
        </w:tc>
      </w:tr>
    </w:tbl>
    <w:p>
      <w:pPr>
        <w:spacing w:after="60"/>
      </w:pPr>
    </w:p>
    <w:p>
      <w:pPr>
        <w:spacing w:after="120" w:line="276"/>
      </w:pPr>
      <w:r>
        <w:rPr>
          <w:rFonts w:ascii="Arial" w:cs="Arial" w:eastAsia="Arial" w:hAnsi="Arial"/>
          <w:color w:val="444444"/>
          <w:sz w:val="20"/>
          <w:szCs w:val="20"/>
        </w:rPr>
        <w:t xml:space="preserve">Additionally, we cross-reference satellite observations with a network of IoT water-quality sondes measuring dissolved oxygen, pH, nitrate, and phosphate concentrations in real time — providing ground-truth validation that strengthens satellite-based detections and reduces false-positive rates.</w:t>
      </w:r>
    </w:p>
    <w:p>
      <w:pPr>
        <w:pBdr>
          <w:bottom w:val="single" w:color="2E75B6" w:sz="4" w:space="4"/>
        </w:pBdr>
        <w:spacing w:after="160" w:before="320"/>
      </w:pPr>
      <w:r>
        <w:rPr>
          <w:rFonts w:ascii="Arial" w:cs="Arial" w:eastAsia="Arial" w:hAnsi="Arial"/>
          <w:b/>
          <w:bCs/>
          <w:color w:val="1B3A4B"/>
          <w:sz w:val="26"/>
          <w:szCs w:val="26"/>
        </w:rPr>
        <w:t xml:space="preserve">3. Our Solution: The TideAlert Monitoring Framework</w:t>
      </w:r>
    </w:p>
    <w:p>
      <w:pPr>
        <w:spacing w:after="120" w:line="276"/>
      </w:pPr>
      <w:r>
        <w:rPr>
          <w:rFonts w:ascii="Arial" w:cs="Arial" w:eastAsia="Arial" w:hAnsi="Arial"/>
          <w:color w:val="444444"/>
          <w:sz w:val="20"/>
          <w:szCs w:val="20"/>
        </w:rPr>
        <w:t xml:space="preserve">RedMetrics operates a fully automated 4-stage pollution monitoring pipeline that transforms raw Copernicus data into actionable coastal biological pollution alerts:</w:t>
      </w:r>
    </w:p>
    <w:p>
      <w:pPr>
        <w:spacing w:after="80" w:line="276"/>
      </w:pPr>
      <w:r>
        <w:rPr>
          <w:rFonts w:ascii="Arial" w:cs="Arial" w:eastAsia="Arial" w:hAnsi="Arial"/>
          <w:b/>
          <w:bCs/>
          <w:color w:val="1A1A1A"/>
          <w:sz w:val="20"/>
          <w:szCs w:val="20"/>
        </w:rPr>
        <w:t xml:space="preserve">Stage 1 — Bloom Detection &amp; Early Warning: </w:t>
      </w:r>
      <w:r>
        <w:rPr>
          <w:rFonts w:ascii="Arial" w:cs="Arial" w:eastAsia="Arial" w:hAnsi="Arial"/>
          <w:color w:val="444444"/>
          <w:sz w:val="20"/>
          <w:szCs w:val="20"/>
        </w:rPr>
        <w:t xml:space="preserve">A calibrated LightGBM classifier ingests 16 satellite and IoT features daily to produce a 7-day toxic bloom probability forecast. Features include NDCI, SST, salinity, current velocity, and in-water nutrient levels. Validation AUC: 0.95 on time-series holdout.</w:t>
      </w:r>
    </w:p>
    <w:p>
      <w:pPr>
        <w:spacing w:after="80" w:line="276"/>
      </w:pPr>
      <w:r>
        <w:rPr>
          <w:rFonts w:ascii="Arial" w:cs="Arial" w:eastAsia="Arial" w:hAnsi="Arial"/>
          <w:b/>
          <w:bCs/>
          <w:color w:val="1A1A1A"/>
          <w:sz w:val="20"/>
          <w:szCs w:val="20"/>
        </w:rPr>
        <w:t xml:space="preserve">Stage 2 — Aerosolisation Risk Index (RRI): </w:t>
      </w:r>
      <w:r>
        <w:rPr>
          <w:rFonts w:ascii="Arial" w:cs="Arial" w:eastAsia="Arial" w:hAnsi="Arial"/>
          <w:color w:val="444444"/>
          <w:sz w:val="20"/>
          <w:szCs w:val="20"/>
        </w:rPr>
        <w:t xml:space="preserve">A deterministic physics model calculates when offshore toxins will reach onshore populations. It projects wind vectors onto the coastline’s shore-normal angle, weights by wave-driven spray generation, and applies a toxin-release multiplier during bloom decline. Output: Respiratory Risk Index (0–100) with severity tiers (GREEN/AMBER/RED/CRITICAL).</w:t>
      </w:r>
    </w:p>
    <w:p>
      <w:pPr>
        <w:spacing w:after="80" w:line="276"/>
      </w:pPr>
      <w:r>
        <w:rPr>
          <w:rFonts w:ascii="Arial" w:cs="Arial" w:eastAsia="Arial" w:hAnsi="Arial"/>
          <w:b/>
          <w:bCs/>
          <w:color w:val="1A1A1A"/>
          <w:sz w:val="20"/>
          <w:szCs w:val="20"/>
        </w:rPr>
        <w:t xml:space="preserve">Stage 3 — Health Impact Forecasting: </w:t>
      </w:r>
      <w:r>
        <w:rPr>
          <w:rFonts w:ascii="Arial" w:cs="Arial" w:eastAsia="Arial" w:hAnsi="Arial"/>
          <w:color w:val="444444"/>
          <w:sz w:val="20"/>
          <w:szCs w:val="20"/>
        </w:rPr>
        <w:t xml:space="preserve">Ridge regression translates the RRI signal into predicted hospital surge volumes per facility, calibrated against published clinical evidence (+54% respiratory admissions during blooms). Outputs include expected additional admissions, recommended nursing shifts, and medication stock requirements in euros.</w:t>
      </w:r>
    </w:p>
    <w:p>
      <w:pPr>
        <w:spacing w:after="80" w:line="276"/>
      </w:pPr>
      <w:r>
        <w:rPr>
          <w:rFonts w:ascii="Arial" w:cs="Arial" w:eastAsia="Arial" w:hAnsi="Arial"/>
          <w:b/>
          <w:bCs/>
          <w:color w:val="1A1A1A"/>
          <w:sz w:val="20"/>
          <w:szCs w:val="20"/>
        </w:rPr>
        <w:t xml:space="preserve">Stage 4 — Parametric Trigger &amp; Response: </w:t>
      </w:r>
      <w:r>
        <w:rPr>
          <w:rFonts w:ascii="Arial" w:cs="Arial" w:eastAsia="Arial" w:hAnsi="Arial"/>
          <w:color w:val="444444"/>
          <w:sz w:val="20"/>
          <w:szCs w:val="20"/>
        </w:rPr>
        <w:t xml:space="preserve">A dual-source AND-gated trigger (satellite RRI sustained above threshold + IoT dissolved oxygen and pH confirmation) fires automatic alerts and, for insured facilities, generates machine-readable event certificates for parametric payouts — no manual claims process required.</w:t>
      </w:r>
    </w:p>
    <w:p>
      <w:pPr>
        <w:pBdr>
          <w:bottom w:val="single" w:color="2E75B6" w:sz="4" w:space="4"/>
        </w:pBdr>
        <w:spacing w:after="160" w:before="320"/>
      </w:pPr>
      <w:r>
        <w:rPr>
          <w:rFonts w:ascii="Arial" w:cs="Arial" w:eastAsia="Arial" w:hAnsi="Arial"/>
          <w:b/>
          <w:bCs/>
          <w:color w:val="1B3A4B"/>
          <w:sz w:val="26"/>
          <w:szCs w:val="26"/>
        </w:rPr>
        <w:t xml:space="preserve">4. Innovation &amp; Value Created</w:t>
      </w:r>
    </w:p>
    <w:p>
      <w:pPr>
        <w:spacing w:after="120" w:line="276"/>
      </w:pPr>
      <w:r>
        <w:rPr>
          <w:rFonts w:ascii="Arial" w:cs="Arial" w:eastAsia="Arial" w:hAnsi="Arial"/>
          <w:color w:val="444444"/>
          <w:sz w:val="20"/>
          <w:szCs w:val="20"/>
        </w:rPr>
        <w:t xml:space="preserve">RedMetrics addresses a critical blind spot in European coastal pollution monitoring. While existing systems (S-3 EUROHAB, CyFi) focus on shellfish safety or remain in academic research, no operational platform monitors the complete chain from biological water pollution to airborne human health impact. Our key innovations:</w:t>
      </w:r>
    </w:p>
    <w:p>
      <w:pPr>
        <w:pStyle w:val="ListParagraph"/>
        <w:numPr>
          <w:ilvl w:val="0"/>
          <w:numId w:val="2"/>
        </w:numPr>
        <w:spacing w:after="60" w:line="264"/>
      </w:pPr>
      <w:r>
        <w:rPr>
          <w:rFonts w:ascii="Arial" w:cs="Arial" w:eastAsia="Arial" w:hAnsi="Arial"/>
          <w:color w:val="444444"/>
          <w:sz w:val="19"/>
          <w:szCs w:val="19"/>
        </w:rPr>
        <w:t xml:space="preserve">First operational satellite-to-health-impact pipeline for coastal biological pollution in Europe</w:t>
      </w:r>
    </w:p>
    <w:p>
      <w:pPr>
        <w:pStyle w:val="ListParagraph"/>
        <w:numPr>
          <w:ilvl w:val="0"/>
          <w:numId w:val="2"/>
        </w:numPr>
        <w:spacing w:after="60" w:line="264"/>
      </w:pPr>
      <w:r>
        <w:rPr>
          <w:rFonts w:ascii="Arial" w:cs="Arial" w:eastAsia="Arial" w:hAnsi="Arial"/>
          <w:color w:val="444444"/>
          <w:sz w:val="19"/>
          <w:szCs w:val="19"/>
        </w:rPr>
        <w:t xml:space="preserve">Physics-informed aerosolisation model that predicts when water-based pollutants become airborne respiratory threats</w:t>
      </w:r>
    </w:p>
    <w:p>
      <w:pPr>
        <w:pStyle w:val="ListParagraph"/>
        <w:numPr>
          <w:ilvl w:val="0"/>
          <w:numId w:val="2"/>
        </w:numPr>
        <w:spacing w:after="60" w:line="264"/>
      </w:pPr>
      <w:r>
        <w:rPr>
          <w:rFonts w:ascii="Arial" w:cs="Arial" w:eastAsia="Arial" w:hAnsi="Arial"/>
          <w:color w:val="444444"/>
          <w:sz w:val="19"/>
          <w:szCs w:val="19"/>
        </w:rPr>
        <w:t xml:space="preserve">Dual-source verification (satellite + IoT) that minimises false alerts while maintaining early-warning lead time</w:t>
      </w:r>
    </w:p>
    <w:p>
      <w:pPr>
        <w:pStyle w:val="ListParagraph"/>
        <w:numPr>
          <w:ilvl w:val="0"/>
          <w:numId w:val="2"/>
        </w:numPr>
        <w:spacing w:after="60" w:line="264"/>
      </w:pPr>
      <w:r>
        <w:rPr>
          <w:rFonts w:ascii="Arial" w:cs="Arial" w:eastAsia="Arial" w:hAnsi="Arial"/>
          <w:color w:val="444444"/>
          <w:sz w:val="19"/>
          <w:szCs w:val="19"/>
        </w:rPr>
        <w:t xml:space="preserve">Fully built on free, open-access Copernicus data — zero proprietary data dependencies, fully reproducible</w:t>
      </w:r>
    </w:p>
    <w:p>
      <w:pPr>
        <w:pStyle w:val="ListParagraph"/>
        <w:numPr>
          <w:ilvl w:val="0"/>
          <w:numId w:val="2"/>
        </w:numPr>
        <w:spacing w:after="60" w:line="264"/>
      </w:pPr>
      <w:r>
        <w:rPr>
          <w:rFonts w:ascii="Arial" w:cs="Arial" w:eastAsia="Arial" w:hAnsi="Arial"/>
          <w:color w:val="444444"/>
          <w:sz w:val="19"/>
          <w:szCs w:val="19"/>
        </w:rPr>
        <w:t xml:space="preserve">10-year historical dataset (2015–2024) enabling trend analysis and back-testing of biological pollution patterns</w:t>
      </w:r>
    </w:p>
    <w:p>
      <w:pPr>
        <w:spacing w:after="60" w:line="276"/>
      </w:pPr>
      <w:r>
        <w:rPr>
          <w:rFonts w:ascii="Arial" w:cs="Arial" w:eastAsia="Arial" w:hAnsi="Arial"/>
          <w:color w:val="444444"/>
          <w:sz w:val="20"/>
          <w:szCs w:val="20"/>
        </w:rPr>
        <w:t xml:space="preserve">Value for future users: coastal hospitals gain 7 days of advance preparation time for pollution-driven health emergencies. Insurers gain the first independently verifiable biological catastrophe trigger for parametric products. Public health authorities gain a monitoring layer for a pollutant class that currently goes entirely untracked between ISPRA sampling campaigns.</w:t>
      </w:r>
    </w:p>
    <w:p>
      <w:r>
        <w:br/>
      </w:r>
    </w:p>
    <w:p>
      <w:pPr>
        <w:pBdr>
          <w:bottom w:val="single" w:color="2E75B6" w:sz="4" w:space="4"/>
        </w:pBdr>
        <w:spacing w:after="160" w:before="320"/>
      </w:pPr>
      <w:r>
        <w:rPr>
          <w:rFonts w:ascii="Arial" w:cs="Arial" w:eastAsia="Arial" w:hAnsi="Arial"/>
          <w:b/>
          <w:bCs/>
          <w:color w:val="1B3A4B"/>
          <w:sz w:val="26"/>
          <w:szCs w:val="26"/>
        </w:rPr>
        <w:t xml:space="preserve">5. Working Prototype</w:t>
      </w:r>
    </w:p>
    <w:p>
      <w:pPr>
        <w:spacing w:after="120" w:line="276"/>
      </w:pPr>
      <w:r>
        <w:rPr>
          <w:rFonts w:ascii="Arial" w:cs="Arial" w:eastAsia="Arial" w:hAnsi="Arial"/>
          <w:color w:val="444444"/>
          <w:sz w:val="20"/>
          <w:szCs w:val="20"/>
        </w:rPr>
        <w:t xml:space="preserve">Our MVP consists of three fully functional web interfaces and a complete ML pipeline, all built during the 48-hour hackathon window:</w:t>
      </w:r>
    </w:p>
    <w:p>
      <w:pPr>
        <w:spacing w:after="80" w:line="276"/>
      </w:pPr>
      <w:r>
        <w:rPr>
          <w:rFonts w:ascii="Arial" w:cs="Arial" w:eastAsia="Arial" w:hAnsi="Arial"/>
          <w:b/>
          <w:bCs/>
          <w:color w:val="1A1A1A"/>
          <w:sz w:val="20"/>
          <w:szCs w:val="20"/>
        </w:rPr>
        <w:t xml:space="preserve">Hospital Dashboard: </w:t>
      </w:r>
      <w:r>
        <w:rPr>
          <w:rFonts w:ascii="Arial" w:cs="Arial" w:eastAsia="Arial" w:hAnsi="Arial"/>
          <w:color w:val="444444"/>
          <w:sz w:val="20"/>
          <w:szCs w:val="20"/>
        </w:rPr>
        <w:t xml:space="preserve">Real-time RRI indicator with severity tier, 7-day surge forecast (admissions, staffing, medication cost), 30-day sensor monitoring view, and historical replay of documented bloom events.</w:t>
      </w:r>
    </w:p>
    <w:p>
      <w:pPr>
        <w:spacing w:after="80" w:line="276"/>
      </w:pPr>
      <w:r>
        <w:rPr>
          <w:rFonts w:ascii="Arial" w:cs="Arial" w:eastAsia="Arial" w:hAnsi="Arial"/>
          <w:b/>
          <w:bCs/>
          <w:color w:val="1A1A1A"/>
          <w:sz w:val="20"/>
          <w:szCs w:val="20"/>
        </w:rPr>
        <w:t xml:space="preserve">Insurance Dashboard: </w:t>
      </w:r>
      <w:r>
        <w:rPr>
          <w:rFonts w:ascii="Arial" w:cs="Arial" w:eastAsia="Arial" w:hAnsi="Arial"/>
          <w:color w:val="444444"/>
          <w:sz w:val="20"/>
          <w:szCs w:val="20"/>
        </w:rPr>
        <w:t xml:space="preserve">Portfolio map showing insured coastal facilities colour-coded by current pollution exposure, live trigger evaluation feed with dual-condition status, event certificate log, and payout simulation tool.</w:t>
      </w:r>
    </w:p>
    <w:p>
      <w:pPr>
        <w:spacing w:after="80" w:line="276"/>
      </w:pPr>
      <w:r>
        <w:rPr>
          <w:rFonts w:ascii="Arial" w:cs="Arial" w:eastAsia="Arial" w:hAnsi="Arial"/>
          <w:b/>
          <w:bCs/>
          <w:color w:val="1A1A1A"/>
          <w:sz w:val="20"/>
          <w:szCs w:val="20"/>
        </w:rPr>
        <w:t xml:space="preserve">Interactive Map Visualisation: </w:t>
      </w:r>
      <w:r>
        <w:rPr>
          <w:rFonts w:ascii="Arial" w:cs="Arial" w:eastAsia="Arial" w:hAnsi="Arial"/>
          <w:color w:val="444444"/>
          <w:sz w:val="20"/>
          <w:szCs w:val="20"/>
        </w:rPr>
        <w:t xml:space="preserve">3D flythrough from Europe to the Ligurian coast with GPU-rendered wind particle trails and animated bloom shader, showing the pollution spreading from offshore to onshore in real time.</w:t>
      </w:r>
    </w:p>
    <w:p>
      <w:pPr>
        <w:spacing w:after="80" w:line="276"/>
      </w:pPr>
      <w:r>
        <w:rPr>
          <w:rFonts w:ascii="Arial" w:cs="Arial" w:eastAsia="Arial" w:hAnsi="Arial"/>
          <w:b/>
          <w:bCs/>
          <w:color w:val="1A1A1A"/>
          <w:sz w:val="20"/>
          <w:szCs w:val="20"/>
        </w:rPr>
        <w:t xml:space="preserve">Demo moment: </w:t>
      </w:r>
      <w:r>
        <w:rPr>
          <w:rFonts w:ascii="Arial" w:cs="Arial" w:eastAsia="Arial" w:hAnsi="Arial"/>
          <w:color w:val="444444"/>
          <w:sz w:val="20"/>
          <w:szCs w:val="20"/>
        </w:rPr>
        <w:t xml:space="preserve">We replay the documented 2005 Genoa Ostreopsis outbreak. The audience watches the RRI climb day-by-day from GREEN to CRITICAL, the hospital dashboard update with surge projections, and the parametric trigger fire automatically on day 8 — demonstrating that our system would have given 7 days of warning for an event that blindsided hospitals with 200+ patients in a single weekend.</w:t>
      </w:r>
    </w:p>
    <w:p>
      <w:pPr>
        <w:pBdr>
          <w:bottom w:val="single" w:color="2E75B6" w:sz="4" w:space="4"/>
        </w:pBdr>
        <w:spacing w:after="160" w:before="320"/>
      </w:pPr>
      <w:r>
        <w:rPr>
          <w:rFonts w:ascii="Arial" w:cs="Arial" w:eastAsia="Arial" w:hAnsi="Arial"/>
          <w:b/>
          <w:bCs/>
          <w:color w:val="1B3A4B"/>
          <w:sz w:val="26"/>
          <w:szCs w:val="26"/>
        </w:rPr>
        <w:t xml:space="preserve">6. Technical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906"/>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ML / Data Pipeline</w:t>
            </w:r>
          </w:p>
        </w:tc>
        <w:tc>
          <w:tcPr>
            <w:tcW w:type="dxa" w:w="6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Python 3.11, LightGBM, scikit-learn, pandas, xarray, sentinelhub, copernicusmarine, cdsapi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Backend</w:t>
            </w:r>
          </w:p>
        </w:tc>
        <w:tc>
          <w:tcPr>
            <w:tcW w:type="dxa" w:w="69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Supabase (Postgres 15 + PostGIS + pg_net + Realtime), Deno Edge Functions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Frontends</w:t>
            </w:r>
          </w:p>
        </w:tc>
        <w:tc>
          <w:tcPr>
            <w:tcW w:type="dxa" w:w="6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Vite 8 + React 19 + TypeScript, Tailwind CSS v4, Mapbox GL JS 3.x, Recharts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Satellite APIs</w:t>
            </w:r>
          </w:p>
        </w:tc>
        <w:tc>
          <w:tcPr>
            <w:tcW w:type="dxa" w:w="69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CDSE Sentinel Hub Statistical API (OAuth), copernicusmarine CLI, CDS API (Beta 2024+)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Real-time</w:t>
            </w:r>
          </w:p>
        </w:tc>
        <w:tc>
          <w:tcPr>
            <w:tcW w:type="dxa" w:w="6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Supabase Realtime (WebSocket), pg_net → Edge Function webhook chain</w:t>
            </w:r>
          </w:p>
        </w:tc>
      </w:tr>
    </w:tbl>
    <w:p>
      <w:pPr>
        <w:spacing w:after="60"/>
      </w:pPr>
    </w:p>
    <w:p>
      <w:pPr>
        <w:spacing w:after="120" w:line="276"/>
      </w:pPr>
      <w:r>
        <w:rPr>
          <w:rFonts w:ascii="Arial" w:cs="Arial" w:eastAsia="Arial" w:hAnsi="Arial"/>
          <w:color w:val="444444"/>
          <w:sz w:val="20"/>
          <w:szCs w:val="20"/>
        </w:rPr>
        <w:t xml:space="preserve">All satellite data is ingested via free, publicly accessible Copernicus APIs. The pipeline runs as a single Python entry point (pipeline/run_live_rri.py) that produces daily pollution assessments and writes results to a PostgreSQL database with real-time push to connected dashboards.</w:t>
      </w:r>
    </w:p>
    <w:p>
      <w:pPr>
        <w:pBdr>
          <w:bottom w:val="single" w:color="2E75B6" w:sz="4" w:space="4"/>
        </w:pBdr>
        <w:spacing w:after="160" w:before="320"/>
      </w:pPr>
      <w:r>
        <w:rPr>
          <w:rFonts w:ascii="Arial" w:cs="Arial" w:eastAsia="Arial" w:hAnsi="Arial"/>
          <w:b/>
          <w:bCs/>
          <w:color w:val="1B3A4B"/>
          <w:sz w:val="26"/>
          <w:szCs w:val="26"/>
        </w:rPr>
        <w:t xml:space="preserve">7. Business Model &amp; Sustainability</w:t>
      </w:r>
    </w:p>
    <w:p>
      <w:pPr>
        <w:spacing w:after="120" w:line="276"/>
      </w:pPr>
      <w:r>
        <w:rPr>
          <w:rFonts w:ascii="Arial" w:cs="Arial" w:eastAsia="Arial" w:hAnsi="Arial"/>
          <w:color w:val="444444"/>
          <w:sz w:val="20"/>
          <w:szCs w:val="20"/>
        </w:rPr>
        <w:t xml:space="preserve">RedMetrics operates as a pure Data-as-a-Service (DaaS) InsurTech platform, selling actuarial context rather than raw environmental data. We bridge the gap between expensive traditional catastrophe models (which completely ignore biological marine risks) and free government portals (which lack the predictive algorithms and API integrations required by enterprise finance). Our target buyers are Chief Actuaries, Heads of Climate Risk, and Underwriting Directors at European insurance and reinsurance firms.</w:t>
      </w:r>
    </w:p>
    <w:p>
      <w:pPr>
        <w:spacing w:after="80" w:line="276"/>
      </w:pPr>
      <w:r>
        <w:rPr>
          <w:rFonts w:ascii="Arial" w:cs="Arial" w:eastAsia="Arial" w:hAnsi="Arial"/>
          <w:b/>
          <w:bCs/>
          <w:color w:val="1A1A1A"/>
          <w:sz w:val="20"/>
          <w:szCs w:val="20"/>
        </w:rPr>
        <w:t xml:space="preserve">Products &amp; Pricing: </w:t>
      </w:r>
      <w:r>
        <w:rPr>
          <w:rFonts w:ascii="Arial" w:cs="Arial" w:eastAsia="Arial" w:hAnsi="Arial"/>
          <w:color w:val="444444"/>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4506"/>
        <w:gridCol w:w="2400"/>
      </w:tblGrid>
      <w:tr>
        <w:tc>
          <w:tcPr>
            <w:tcW w:type="dxa" w:w="26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4506"/>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2E75B6" w:sz="1"/>
              <w:left w:val="single" w:color="2E75B6" w:sz="1"/>
              <w:bottom w:val="single" w:color="2E75B6" w:sz="1"/>
              <w:right w:val="single" w:color="2E75B6"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Historical Actuarial License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One-time access to 10 years of satellite-verified Ostreopsis bloom data per coastal zone, enabling actuaries to back-test and price coastal disaster policies.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€500–€1,000 per region (one-time)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Live Portfolio API</w:t>
            </w:r>
          </w:p>
        </w:tc>
        <w:tc>
          <w:tcPr>
            <w:tcW w:type="dxa" w:w="4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 subscription delivering real-time RRI scores and 72-hour disaster forecasting directly into underwriting software for dynamic capital reserve management.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€50–€150/month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9"/>
                <w:szCs w:val="19"/>
              </w:rPr>
              <w:t xml:space="preserve">Custom Integration Setup</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Dedicated engineering support to connect our API into the insurer’s proprietary underwriting software or catastrophe models.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€250 (one-time)</w:t>
            </w:r>
          </w:p>
        </w:tc>
      </w:tr>
    </w:tbl>
    <w:p>
      <w:pPr>
        <w:spacing w:after="60"/>
      </w:pPr>
    </w:p>
    <w:p>
      <w:pPr>
        <w:spacing w:after="80" w:line="276"/>
      </w:pPr>
      <w:r>
        <w:rPr>
          <w:rFonts w:ascii="Arial" w:cs="Arial" w:eastAsia="Arial" w:hAnsi="Arial"/>
          <w:b/>
          <w:bCs/>
          <w:color w:val="1A1A1A"/>
          <w:sz w:val="20"/>
          <w:szCs w:val="20"/>
        </w:rPr>
        <w:t xml:space="preserve">Unit economics: </w:t>
      </w:r>
      <w:r>
        <w:rPr>
          <w:rFonts w:ascii="Arial" w:cs="Arial" w:eastAsia="Arial" w:hAnsi="Arial"/>
          <w:color w:val="444444"/>
          <w:sz w:val="20"/>
          <w:szCs w:val="20"/>
        </w:rPr>
        <w:t xml:space="preserve">COGS is near zero because all source data (Copernicus) is free. Operational costs are limited to cloud infrastructure (Supabase EU) and marketing. Break-even requires only 8–12 active clients. Year 1 target: 50 regional insurers and municipal syndicates across the Mediterranean, projecting €110,000 in annual revenue (€50K upfront licensing + €60K annualised MRR).</w:t>
      </w:r>
    </w:p>
    <w:p>
      <w:pPr>
        <w:spacing w:after="80" w:line="276"/>
      </w:pPr>
      <w:r>
        <w:rPr>
          <w:rFonts w:ascii="Arial" w:cs="Arial" w:eastAsia="Arial" w:hAnsi="Arial"/>
          <w:b/>
          <w:bCs/>
          <w:color w:val="1A1A1A"/>
          <w:sz w:val="20"/>
          <w:szCs w:val="20"/>
        </w:rPr>
        <w:t xml:space="preserve">Go-to-market: </w:t>
      </w:r>
      <w:r>
        <w:rPr>
          <w:rFonts w:ascii="Arial" w:cs="Arial" w:eastAsia="Arial" w:hAnsi="Arial"/>
          <w:color w:val="444444"/>
          <w:sz w:val="20"/>
          <w:szCs w:val="20"/>
        </w:rPr>
        <w:t xml:space="preserve">Account-Based Marketing targeting 100 Chief Actuaries across Europe via LinkedIn, actuarial white paper publication to establish thought leadership in biological marine risk pricing, and direct networking at InsurTech and catastrophe risk conferences. Initial geographic focus on high-awareness Mediterranean markets (Ligurian Coast, French Basque Coast, Catalonia) before expanding into untapped Adriatic markets (Croatia) where blooms go entirely undetected by public health organisations.</w:t>
      </w:r>
    </w:p>
    <w:p>
      <w:pPr>
        <w:spacing w:after="80" w:line="276"/>
      </w:pPr>
      <w:r>
        <w:rPr>
          <w:rFonts w:ascii="Arial" w:cs="Arial" w:eastAsia="Arial" w:hAnsi="Arial"/>
          <w:b/>
          <w:bCs/>
          <w:color w:val="1A1A1A"/>
          <w:sz w:val="20"/>
          <w:szCs w:val="20"/>
        </w:rPr>
        <w:t xml:space="preserve">Funding: </w:t>
      </w:r>
      <w:r>
        <w:rPr>
          <w:rFonts w:ascii="Arial" w:cs="Arial" w:eastAsia="Arial" w:hAnsi="Arial"/>
          <w:color w:val="444444"/>
          <w:sz w:val="20"/>
          <w:szCs w:val="20"/>
        </w:rPr>
        <w:t xml:space="preserve">Seeking €50,000 in non-equity funding via the ESA Business Incubation Centre (ESA BIC) to fund initial cloud infrastructure and execute the first 6-month marketing roadmap. This runway is sufficient to reach break-even client volume without dilutive venture capital.</w:t>
      </w:r>
    </w:p>
    <w:p>
      <w:pPr>
        <w:pBdr>
          <w:bottom w:val="single" w:color="2E75B6" w:sz="4" w:space="4"/>
        </w:pBdr>
        <w:spacing w:after="160" w:before="320"/>
      </w:pPr>
      <w:r>
        <w:rPr>
          <w:rFonts w:ascii="Arial" w:cs="Arial" w:eastAsia="Arial" w:hAnsi="Arial"/>
          <w:b/>
          <w:bCs/>
          <w:color w:val="1B3A4B"/>
          <w:sz w:val="26"/>
          <w:szCs w:val="26"/>
        </w:rPr>
        <w:t xml:space="preserve">8. Contribution to EU Space for Water</w:t>
      </w:r>
    </w:p>
    <w:p>
      <w:pPr>
        <w:spacing w:after="120" w:line="276"/>
      </w:pPr>
      <w:r>
        <w:rPr>
          <w:rFonts w:ascii="Arial" w:cs="Arial" w:eastAsia="Arial" w:hAnsi="Arial"/>
          <w:color w:val="444444"/>
          <w:sz w:val="20"/>
          <w:szCs w:val="20"/>
        </w:rPr>
        <w:t xml:space="preserve">RedMetrics directly addresses Challenge 2’s call for tracking and preventing water pollution in coastal and maritime environments. Our specific contributions:</w:t>
      </w:r>
    </w:p>
    <w:p>
      <w:pPr>
        <w:pStyle w:val="ListParagraph"/>
        <w:numPr>
          <w:ilvl w:val="0"/>
          <w:numId w:val="2"/>
        </w:numPr>
        <w:spacing w:after="60" w:line="264"/>
      </w:pPr>
      <w:r>
        <w:rPr>
          <w:rFonts w:ascii="Arial" w:cs="Arial" w:eastAsia="Arial" w:hAnsi="Arial"/>
          <w:color w:val="444444"/>
          <w:sz w:val="19"/>
          <w:szCs w:val="19"/>
        </w:rPr>
        <w:t xml:space="preserve">Biological pollution monitoring: We track a class of coastal water pollutant (toxic dinoflagellate blooms) that is currently not covered by any operational monitoring system in Europe between ISPRA’s periodic sampling campaigns.</w:t>
      </w:r>
    </w:p>
    <w:p>
      <w:pPr>
        <w:pStyle w:val="ListParagraph"/>
        <w:numPr>
          <w:ilvl w:val="0"/>
          <w:numId w:val="2"/>
        </w:numPr>
        <w:spacing w:after="60" w:line="264"/>
      </w:pPr>
      <w:r>
        <w:rPr>
          <w:rFonts w:ascii="Arial" w:cs="Arial" w:eastAsia="Arial" w:hAnsi="Arial"/>
          <w:color w:val="444444"/>
          <w:sz w:val="19"/>
          <w:szCs w:val="19"/>
        </w:rPr>
        <w:t xml:space="preserve">Pollution impact pathway: We don’t just detect the pollutant in water — we model its complete impact chain from water contamination through aerosolisation to human health consequences, providing a uniquely comprehensive view of coastal biological pollution.</w:t>
      </w:r>
    </w:p>
    <w:p>
      <w:pPr>
        <w:pStyle w:val="ListParagraph"/>
        <w:numPr>
          <w:ilvl w:val="0"/>
          <w:numId w:val="2"/>
        </w:numPr>
        <w:spacing w:after="60" w:line="264"/>
      </w:pPr>
      <w:r>
        <w:rPr>
          <w:rFonts w:ascii="Arial" w:cs="Arial" w:eastAsia="Arial" w:hAnsi="Arial"/>
          <w:color w:val="444444"/>
          <w:sz w:val="19"/>
          <w:szCs w:val="19"/>
        </w:rPr>
        <w:t xml:space="preserve">Historical trend analysis: Our 10-year satellite-verified dataset (2015–2024) helps authorities understand long-term trends in Mediterranean eutrophication and biological threat evolution driven by climate change.</w:t>
      </w:r>
    </w:p>
    <w:p>
      <w:pPr>
        <w:pStyle w:val="ListParagraph"/>
        <w:numPr>
          <w:ilvl w:val="0"/>
          <w:numId w:val="2"/>
        </w:numPr>
        <w:spacing w:after="60" w:line="264"/>
      </w:pPr>
      <w:r>
        <w:rPr>
          <w:rFonts w:ascii="Arial" w:cs="Arial" w:eastAsia="Arial" w:hAnsi="Arial"/>
          <w:color w:val="444444"/>
          <w:sz w:val="19"/>
          <w:szCs w:val="19"/>
        </w:rPr>
        <w:t xml:space="preserve">Disaster response coordination: The 7-day early warning window enables coastal hospitals and emergency services to coordinate staffing and supplies before pollution-driven health crises materialise.</w:t>
      </w:r>
    </w:p>
    <w:p>
      <w:pPr>
        <w:spacing w:after="60" w:line="276"/>
      </w:pPr>
      <w:r>
        <w:rPr>
          <w:rFonts w:ascii="Arial" w:cs="Arial" w:eastAsia="Arial" w:hAnsi="Arial"/>
          <w:color w:val="444444"/>
          <w:sz w:val="20"/>
          <w:szCs w:val="20"/>
        </w:rPr>
        <w:t xml:space="preserve">The Mediterranean basin, particularly the Adriatic and Ligurian seas, faces accelerating biological pollution from warming waters. RedMetrics provides the monitoring infrastructure to track, predict, and respond to these events — turning open Copernicus data into protection for coastal populations.</w:t>
      </w:r>
    </w:p>
    <w:p>
      <w:pPr>
        <w:pBdr>
          <w:bottom w:val="single" w:color="2E75B6" w:sz="4" w:space="4"/>
        </w:pBdr>
        <w:spacing w:after="160" w:before="320"/>
      </w:pPr>
      <w:r>
        <w:rPr>
          <w:rFonts w:ascii="Arial" w:cs="Arial" w:eastAsia="Arial" w:hAnsi="Arial"/>
          <w:b/>
          <w:bCs/>
          <w:color w:val="1B3A4B"/>
          <w:sz w:val="26"/>
          <w:szCs w:val="26"/>
        </w:rPr>
        <w:t xml:space="preserve">9. Team</w:t>
      </w:r>
    </w:p>
    <w:p>
      <w:pPr>
        <w:spacing w:after="120" w:line="276"/>
      </w:pPr>
      <w:r>
        <w:rPr>
          <w:rFonts w:ascii="Arial" w:cs="Arial" w:eastAsia="Arial" w:hAnsi="Arial"/>
          <w:i/>
          <w:iCs/>
          <w:color w:val="444444"/>
          <w:sz w:val="20"/>
          <w:szCs w:val="20"/>
        </w:rPr>
        <w:t xml:space="preserve">Our team combines the technical, scientific, and business profiles required to deliver a credible coastal pollution monitoring platform. Team details are provided in the Taikai team section.</w:t>
      </w:r>
    </w:p>
    <w:p>
      <w:pPr>
        <w:spacing w:after="0" w:before="200"/>
      </w:pPr>
    </w:p>
    <w:p>
      <w:pPr>
        <w:pBdr>
          <w:top w:val="single" w:color="C0392B" w:sz="2" w:space="6"/>
        </w:pBdr>
        <w:spacing w:before="200"/>
      </w:pPr>
      <w:r>
        <w:rPr>
          <w:rFonts w:ascii="Arial" w:cs="Arial" w:eastAsia="Arial" w:hAnsi="Arial"/>
          <w:b/>
          <w:bCs/>
          <w:color w:val="C0392B"/>
          <w:sz w:val="18"/>
          <w:szCs w:val="18"/>
        </w:rPr>
        <w:t xml:space="preserve">RedMetrics</w:t>
      </w:r>
      <w:r>
        <w:rPr>
          <w:rFonts w:ascii="Arial" w:cs="Arial" w:eastAsia="Arial" w:hAnsi="Arial"/>
          <w:i/>
          <w:iCs/>
          <w:color w:val="444444"/>
          <w:sz w:val="18"/>
          <w:szCs w:val="18"/>
        </w:rPr>
        <w:t xml:space="preserve"> — Monitoring biological coastal pollution using Copernicus satellite data to protect Mediterranean communities.</w:t>
      </w:r>
    </w:p>
    <w:p>
      <w:pPr>
        <w:spacing w:after="0"/>
      </w:pPr>
      <w:r>
        <w:rPr>
          <w:rFonts w:ascii="Arial" w:cs="Arial" w:eastAsia="Arial" w:hAnsi="Arial"/>
          <w:color w:val="999999"/>
          <w:sz w:val="16"/>
          <w:szCs w:val="16"/>
        </w:rPr>
        <w:t xml:space="preserve">CASSINI Hackathon 11th Edition | April 24–26, 2026 | Challenge 2: Tracking &amp; Preventing Water Pollution</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RedMetrics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spacing w:after="80"/>
    </w:pPr>
    <w:r>
      <w:rPr>
        <w:rFonts w:ascii="Arial" w:cs="Arial" w:eastAsia="Arial" w:hAnsi="Arial"/>
        <w:color w:val="2E75B6"/>
        <w:sz w:val="16"/>
        <w:szCs w:val="16"/>
      </w:rPr>
      <w:t xml:space="preserve">CASSINI 11th Edition — Space for Water</w:t>
    </w:r>
    <w:r>
      <w:rPr>
        <w:rFonts w:ascii="Arial" w:cs="Arial" w:eastAsia="Arial" w:hAnsi="Arial"/>
        <w:b/>
        <w:bCs/>
        <w:color w:val="2E75B6"/>
        <w:sz w:val="16"/>
        <w:szCs w:val="16"/>
      </w:rPr>
      <w:t xml:space="preserve">	Challenge 2: Tracking &amp; Preventing Water Pollution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Stage %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2026-04-26T09:11:18.338Z</dcterms:created>
  <dcterms:modified xsi:type="dcterms:W3CDTF">2026-04-26T09:11:18.339Z</dcterms:modified>
</cp:coreProperties>
</file>

<file path=docProps/custom.xml><?xml version="1.0" encoding="utf-8"?>
<Properties xmlns="http://schemas.openxmlformats.org/officeDocument/2006/custom-properties" xmlns:vt="http://schemas.openxmlformats.org/officeDocument/2006/docPropsVTypes"/>
</file>