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E9" w:rsidRDefault="00677E46" w:rsidP="00677E46">
      <w:pPr>
        <w:pStyle w:val="Title"/>
        <w:rPr>
          <w:lang w:val="hr-HR"/>
        </w:rPr>
      </w:pPr>
      <w:r>
        <w:rPr>
          <w:lang w:val="hr-HR"/>
        </w:rPr>
        <w:t>Evaluating Noise Reduction in Protein Multialignments</w:t>
      </w:r>
    </w:p>
    <w:p w:rsidR="00677E46" w:rsidRDefault="00677E46" w:rsidP="00677E46">
      <w:pPr>
        <w:rPr>
          <w:rStyle w:val="Emphasis"/>
          <w:lang w:val="hr-HR"/>
        </w:rPr>
      </w:pPr>
      <w:r>
        <w:rPr>
          <w:rStyle w:val="Emphasis"/>
          <w:lang w:val="hr-HR"/>
        </w:rPr>
        <w:t>Filip Domazet</w:t>
      </w:r>
    </w:p>
    <w:p w:rsidR="00677E46" w:rsidRDefault="00677E46" w:rsidP="00677E46">
      <w:pPr>
        <w:pStyle w:val="Heading1"/>
      </w:pPr>
      <w:r>
        <w:t>Introduction</w:t>
      </w:r>
    </w:p>
    <w:p w:rsidR="0013031C" w:rsidRDefault="00677E46" w:rsidP="00677E46">
      <w:r>
        <w:tab/>
        <w:t xml:space="preserve">Protein </w:t>
      </w:r>
      <w:proofErr w:type="spellStart"/>
      <w:r>
        <w:t>multialignments</w:t>
      </w:r>
      <w:proofErr w:type="spellEnd"/>
      <w:r>
        <w:t xml:space="preserve"> are alignments of three or more protein sequences. Such alignments are performed in order to infer sequence homology and conduct a </w:t>
      </w:r>
      <w:proofErr w:type="spellStart"/>
      <w:r>
        <w:t>phylogenetic</w:t>
      </w:r>
      <w:proofErr w:type="spellEnd"/>
      <w:r>
        <w:t xml:space="preserve"> analysis to assess the sequences’ shared evolutionary origin. </w:t>
      </w:r>
    </w:p>
    <w:p w:rsidR="0013031C" w:rsidRDefault="0013031C" w:rsidP="0013031C">
      <w:pPr>
        <w:ind w:firstLine="720"/>
      </w:pPr>
      <w:r>
        <w:t xml:space="preserve">These alignments can be noisy as some regions in the protein are not inherited and others could have evolved so quickly that the correct alignment is impossible to infer. In order to get better results in </w:t>
      </w:r>
      <w:r w:rsidR="006B5F4D">
        <w:t>subsequent analyse</w:t>
      </w:r>
      <w:r>
        <w:t xml:space="preserve">s one could try avoiding these regions by removing such “bad” columns from the </w:t>
      </w:r>
      <w:proofErr w:type="spellStart"/>
      <w:r>
        <w:t>multialignment</w:t>
      </w:r>
      <w:proofErr w:type="spellEnd"/>
      <w:r>
        <w:t>. This project aims to evaluate whether performing such noise reduction causes significant improvement</w:t>
      </w:r>
      <w:r w:rsidR="00FA65FA">
        <w:t xml:space="preserve"> </w:t>
      </w:r>
      <w:r>
        <w:t xml:space="preserve">by comparing trees inferred from artificially generated data to their reference trees. </w:t>
      </w:r>
    </w:p>
    <w:p w:rsidR="0013031C" w:rsidRDefault="0013031C" w:rsidP="0013031C">
      <w:pPr>
        <w:pStyle w:val="Heading1"/>
      </w:pPr>
      <w:r>
        <w:t>Results</w:t>
      </w:r>
    </w:p>
    <w:p w:rsidR="0013031C" w:rsidRDefault="0013031C" w:rsidP="0013031C">
      <w:r>
        <w:tab/>
      </w:r>
      <w:r w:rsidR="00CD57FA">
        <w:t xml:space="preserve">In order to test whether noise reduction is worthwhile, six data sets were used. Each data set was comprised of 300 protein multiple sequence alignments from sequences which were artificially evolved from the reference tree. Three of the sets have a symmetric reference tree, and three have an asymmetric one. Both cases use three different mutation rates, </w:t>
      </w:r>
      <w:proofErr w:type="spellStart"/>
      <w:r w:rsidR="00CD57FA">
        <w:t>ie</w:t>
      </w:r>
      <w:proofErr w:type="spellEnd"/>
      <w:r w:rsidR="00CD57FA">
        <w:t xml:space="preserve">. </w:t>
      </w:r>
      <w:proofErr w:type="gramStart"/>
      <w:r w:rsidR="00CD57FA">
        <w:t>the</w:t>
      </w:r>
      <w:proofErr w:type="gramEnd"/>
      <w:r w:rsidR="00CD57FA">
        <w:t xml:space="preserve"> average number of mutations per site. These are 0.5, 1.0 and 2.0. </w:t>
      </w:r>
    </w:p>
    <w:p w:rsidR="00CD57FA" w:rsidRDefault="00CD57FA" w:rsidP="0013031C">
      <w:r>
        <w:tab/>
        <w:t xml:space="preserve">For each such alignment, another alignment was generated but with removed “bad” columns. For both of these, a distance matrix between sequences is calculated and a tree is then inferred. The last step was to calculate the distance to the reference tree. </w:t>
      </w:r>
    </w:p>
    <w:p w:rsidR="00FE1094" w:rsidRDefault="00CD57FA" w:rsidP="0013031C">
      <w:r>
        <w:tab/>
      </w:r>
      <w:r w:rsidR="006B5F4D">
        <w:t>O</w:t>
      </w:r>
      <w:r>
        <w:t xml:space="preserve">nce this has been performed for all the alignments </w:t>
      </w:r>
      <w:r w:rsidR="006B5F4D">
        <w:t>in a data set, it was</w:t>
      </w:r>
      <w:r>
        <w:t xml:space="preserve"> evaluated whether the tree inferred from the alignment with reduced noise shows a significantly smaller distance to the reference tree. It </w:t>
      </w:r>
      <w:r w:rsidR="006B5F4D">
        <w:t>was</w:t>
      </w:r>
      <w:r>
        <w:t xml:space="preserve"> also evaluated whether</w:t>
      </w:r>
      <w:r w:rsidR="00D14396">
        <w:t xml:space="preserve"> the distance is significantly larger, </w:t>
      </w:r>
      <w:r w:rsidR="006B5F4D">
        <w:t xml:space="preserve">in order </w:t>
      </w:r>
      <w:r w:rsidR="00D14396">
        <w:t xml:space="preserve">to also verify whether performing noise reduction actually causes worse results. </w:t>
      </w:r>
      <w:r w:rsidR="008D3605">
        <w:t xml:space="preserve">The results are shown in </w:t>
      </w:r>
      <w:r w:rsidR="008D3605">
        <w:fldChar w:fldCharType="begin"/>
      </w:r>
      <w:r w:rsidR="008D3605">
        <w:instrText xml:space="preserve"> REF _Ref345334826 \h </w:instrText>
      </w:r>
      <w:r w:rsidR="008D3605">
        <w:fldChar w:fldCharType="separate"/>
      </w:r>
      <w:r w:rsidR="008D3605">
        <w:t xml:space="preserve">Table </w:t>
      </w:r>
      <w:r w:rsidR="008D3605">
        <w:rPr>
          <w:noProof/>
        </w:rPr>
        <w:t>1</w:t>
      </w:r>
      <w:r w:rsidR="008D3605">
        <w:fldChar w:fldCharType="end"/>
      </w:r>
      <w:r w:rsidR="00DA449C">
        <w:t>, with a significance level of 5% being used</w:t>
      </w:r>
      <w:r w:rsidR="008D3605">
        <w:t xml:space="preserve">. </w:t>
      </w:r>
    </w:p>
    <w:p w:rsidR="00FE1094" w:rsidRDefault="00FE1094">
      <w:r>
        <w:br w:type="page"/>
      </w:r>
    </w:p>
    <w:tbl>
      <w:tblPr>
        <w:tblStyle w:val="TableGrid"/>
        <w:tblW w:w="0" w:type="auto"/>
        <w:jc w:val="center"/>
        <w:tblInd w:w="0" w:type="dxa"/>
        <w:tblLook w:val="04A0"/>
      </w:tblPr>
      <w:tblGrid>
        <w:gridCol w:w="2043"/>
        <w:gridCol w:w="1410"/>
        <w:gridCol w:w="485"/>
        <w:gridCol w:w="470"/>
        <w:gridCol w:w="485"/>
        <w:gridCol w:w="470"/>
        <w:gridCol w:w="470"/>
        <w:gridCol w:w="485"/>
      </w:tblGrid>
      <w:tr w:rsidR="00FE1094" w:rsidTr="00DD63D4">
        <w:trPr>
          <w:jc w:val="center"/>
        </w:trPr>
        <w:tc>
          <w:tcPr>
            <w:tcW w:w="0" w:type="auto"/>
            <w:vMerge w:val="restart"/>
            <w:tcBorders>
              <w:top w:val="single" w:sz="4" w:space="0" w:color="auto"/>
              <w:left w:val="single" w:sz="4" w:space="0" w:color="auto"/>
              <w:right w:val="single" w:sz="4" w:space="0" w:color="auto"/>
            </w:tcBorders>
            <w:vAlign w:val="center"/>
            <w:hideMark/>
          </w:tcPr>
          <w:p w:rsidR="00FE1094" w:rsidRDefault="00FE1094" w:rsidP="00FE1094">
            <w:pPr>
              <w:jc w:val="center"/>
              <w:rPr>
                <w:lang w:val="en-GB"/>
              </w:rPr>
            </w:pPr>
            <w:r>
              <w:rPr>
                <w:lang w:val="en-GB"/>
              </w:rPr>
              <w:lastRenderedPageBreak/>
              <w:t>Alternative hypothesis</w:t>
            </w:r>
          </w:p>
        </w:tc>
        <w:tc>
          <w:tcPr>
            <w:tcW w:w="0" w:type="auto"/>
            <w:tcBorders>
              <w:top w:val="single" w:sz="4" w:space="0" w:color="auto"/>
              <w:left w:val="single" w:sz="4" w:space="0" w:color="auto"/>
              <w:bottom w:val="single" w:sz="4" w:space="0" w:color="auto"/>
              <w:right w:val="double" w:sz="4" w:space="0" w:color="auto"/>
            </w:tcBorders>
            <w:hideMark/>
          </w:tcPr>
          <w:p w:rsidR="00FE1094" w:rsidRDefault="00FE1094" w:rsidP="00C141EA">
            <w:pPr>
              <w:rPr>
                <w:lang w:val="en-GB"/>
              </w:rPr>
            </w:pPr>
            <w:r>
              <w:rPr>
                <w:lang w:val="en-GB"/>
              </w:rPr>
              <w:t>Ref tree type:</w:t>
            </w:r>
          </w:p>
        </w:tc>
        <w:tc>
          <w:tcPr>
            <w:tcW w:w="0" w:type="auto"/>
            <w:gridSpan w:val="3"/>
            <w:tcBorders>
              <w:top w:val="single" w:sz="4" w:space="0" w:color="auto"/>
              <w:left w:val="double" w:sz="4" w:space="0" w:color="auto"/>
              <w:bottom w:val="single" w:sz="4" w:space="0" w:color="auto"/>
              <w:right w:val="double" w:sz="4" w:space="0" w:color="auto"/>
            </w:tcBorders>
            <w:vAlign w:val="center"/>
            <w:hideMark/>
          </w:tcPr>
          <w:p w:rsidR="00FE1094" w:rsidRDefault="00FE1094" w:rsidP="00FE1094">
            <w:pPr>
              <w:jc w:val="center"/>
              <w:rPr>
                <w:lang w:val="en-GB"/>
              </w:rPr>
            </w:pPr>
            <w:r>
              <w:rPr>
                <w:lang w:val="en-GB"/>
              </w:rPr>
              <w:t>Symmetric</w:t>
            </w:r>
          </w:p>
        </w:tc>
        <w:tc>
          <w:tcPr>
            <w:tcW w:w="0" w:type="auto"/>
            <w:gridSpan w:val="3"/>
            <w:tcBorders>
              <w:top w:val="single" w:sz="4" w:space="0" w:color="auto"/>
              <w:left w:val="double" w:sz="4" w:space="0" w:color="auto"/>
              <w:bottom w:val="single" w:sz="4" w:space="0" w:color="auto"/>
              <w:right w:val="single" w:sz="4" w:space="0" w:color="auto"/>
            </w:tcBorders>
            <w:vAlign w:val="center"/>
            <w:hideMark/>
          </w:tcPr>
          <w:p w:rsidR="00FE1094" w:rsidRDefault="00FE1094" w:rsidP="00FE1094">
            <w:pPr>
              <w:jc w:val="center"/>
              <w:rPr>
                <w:lang w:val="en-GB"/>
              </w:rPr>
            </w:pPr>
            <w:r>
              <w:rPr>
                <w:lang w:val="en-GB"/>
              </w:rPr>
              <w:t>Asymmetric</w:t>
            </w:r>
          </w:p>
        </w:tc>
      </w:tr>
      <w:tr w:rsidR="00FE1094" w:rsidTr="00DD63D4">
        <w:trPr>
          <w:jc w:val="center"/>
        </w:trPr>
        <w:tc>
          <w:tcPr>
            <w:tcW w:w="0" w:type="auto"/>
            <w:vMerge/>
            <w:tcBorders>
              <w:left w:val="sing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p>
        </w:tc>
        <w:tc>
          <w:tcPr>
            <w:tcW w:w="0" w:type="auto"/>
            <w:tcBorders>
              <w:top w:val="single" w:sz="4" w:space="0" w:color="auto"/>
              <w:left w:val="single" w:sz="4" w:space="0" w:color="auto"/>
              <w:bottom w:val="single" w:sz="18" w:space="0" w:color="auto"/>
              <w:right w:val="double" w:sz="4" w:space="0" w:color="auto"/>
            </w:tcBorders>
            <w:hideMark/>
          </w:tcPr>
          <w:p w:rsidR="00FE1094" w:rsidRDefault="00FE1094" w:rsidP="00C141EA">
            <w:pPr>
              <w:spacing w:after="200" w:line="276" w:lineRule="auto"/>
              <w:rPr>
                <w:sz w:val="22"/>
                <w:szCs w:val="22"/>
                <w:lang w:val="en-GB"/>
              </w:rPr>
            </w:pPr>
            <w:r>
              <w:rPr>
                <w:lang w:val="en-GB"/>
              </w:rPr>
              <w:t>Mutation rate</w:t>
            </w:r>
            <w:r>
              <w:rPr>
                <w:lang w:val="en-GB"/>
              </w:rPr>
              <w:t>:</w:t>
            </w:r>
          </w:p>
        </w:tc>
        <w:tc>
          <w:tcPr>
            <w:tcW w:w="0" w:type="auto"/>
            <w:tcBorders>
              <w:top w:val="single" w:sz="4" w:space="0" w:color="auto"/>
              <w:left w:val="doub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r>
              <w:rPr>
                <w:lang w:val="en-GB"/>
              </w:rPr>
              <w:t>0.5</w:t>
            </w:r>
          </w:p>
        </w:tc>
        <w:tc>
          <w:tcPr>
            <w:tcW w:w="0" w:type="auto"/>
            <w:tcBorders>
              <w:top w:val="single" w:sz="4" w:space="0" w:color="auto"/>
              <w:left w:val="sing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r>
              <w:rPr>
                <w:lang w:val="en-GB"/>
              </w:rPr>
              <w:t>1.0</w:t>
            </w:r>
          </w:p>
        </w:tc>
        <w:tc>
          <w:tcPr>
            <w:tcW w:w="0" w:type="auto"/>
            <w:tcBorders>
              <w:top w:val="single" w:sz="4" w:space="0" w:color="auto"/>
              <w:left w:val="single" w:sz="4" w:space="0" w:color="auto"/>
              <w:bottom w:val="single" w:sz="18" w:space="0" w:color="auto"/>
              <w:right w:val="double" w:sz="4" w:space="0" w:color="auto"/>
            </w:tcBorders>
            <w:hideMark/>
          </w:tcPr>
          <w:p w:rsidR="00FE1094" w:rsidRDefault="00FE1094" w:rsidP="00C141EA">
            <w:pPr>
              <w:spacing w:after="200" w:line="276" w:lineRule="auto"/>
              <w:rPr>
                <w:sz w:val="22"/>
                <w:szCs w:val="22"/>
                <w:lang w:val="en-GB"/>
              </w:rPr>
            </w:pPr>
            <w:r>
              <w:rPr>
                <w:lang w:val="en-GB"/>
              </w:rPr>
              <w:t>2.0</w:t>
            </w:r>
          </w:p>
        </w:tc>
        <w:tc>
          <w:tcPr>
            <w:tcW w:w="0" w:type="auto"/>
            <w:tcBorders>
              <w:top w:val="single" w:sz="4" w:space="0" w:color="auto"/>
              <w:left w:val="doub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r>
              <w:rPr>
                <w:lang w:val="en-GB"/>
              </w:rPr>
              <w:t>0.5</w:t>
            </w:r>
          </w:p>
        </w:tc>
        <w:tc>
          <w:tcPr>
            <w:tcW w:w="0" w:type="auto"/>
            <w:tcBorders>
              <w:top w:val="single" w:sz="4" w:space="0" w:color="auto"/>
              <w:left w:val="sing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r>
              <w:rPr>
                <w:lang w:val="en-GB"/>
              </w:rPr>
              <w:t>1.0</w:t>
            </w:r>
          </w:p>
        </w:tc>
        <w:tc>
          <w:tcPr>
            <w:tcW w:w="0" w:type="auto"/>
            <w:tcBorders>
              <w:top w:val="single" w:sz="4" w:space="0" w:color="auto"/>
              <w:left w:val="single" w:sz="4" w:space="0" w:color="auto"/>
              <w:bottom w:val="single" w:sz="18" w:space="0" w:color="auto"/>
              <w:right w:val="single" w:sz="4" w:space="0" w:color="auto"/>
            </w:tcBorders>
            <w:hideMark/>
          </w:tcPr>
          <w:p w:rsidR="00FE1094" w:rsidRDefault="00FE1094" w:rsidP="00C141EA">
            <w:pPr>
              <w:spacing w:after="200" w:line="276" w:lineRule="auto"/>
              <w:rPr>
                <w:sz w:val="22"/>
                <w:szCs w:val="22"/>
                <w:lang w:val="en-GB"/>
              </w:rPr>
            </w:pPr>
            <w:r>
              <w:rPr>
                <w:lang w:val="en-GB"/>
              </w:rPr>
              <w:t>2.0</w:t>
            </w:r>
          </w:p>
        </w:tc>
      </w:tr>
      <w:tr w:rsidR="008D3605" w:rsidTr="00DD63D4">
        <w:trPr>
          <w:jc w:val="center"/>
        </w:trPr>
        <w:tc>
          <w:tcPr>
            <w:tcW w:w="0" w:type="auto"/>
            <w:tcBorders>
              <w:top w:val="single" w:sz="18" w:space="0" w:color="auto"/>
              <w:left w:val="sing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proofErr w:type="spellStart"/>
            <w:r>
              <w:rPr>
                <w:lang w:val="en-GB"/>
              </w:rPr>
              <w:t>μ</w:t>
            </w:r>
            <w:r>
              <w:rPr>
                <w:vertAlign w:val="subscript"/>
                <w:lang w:val="en-GB"/>
              </w:rPr>
              <w:t>noisy</w:t>
            </w:r>
            <w:proofErr w:type="spellEnd"/>
            <w:r>
              <w:rPr>
                <w:lang w:val="en-GB"/>
              </w:rPr>
              <w:t xml:space="preserve"> &gt; </w:t>
            </w:r>
            <w:proofErr w:type="spellStart"/>
            <w:r>
              <w:rPr>
                <w:lang w:val="en-GB"/>
              </w:rPr>
              <w:t>μ</w:t>
            </w:r>
            <w:r>
              <w:rPr>
                <w:vertAlign w:val="subscript"/>
                <w:lang w:val="en-GB"/>
              </w:rPr>
              <w:t>denoised</w:t>
            </w:r>
            <w:proofErr w:type="spellEnd"/>
          </w:p>
        </w:tc>
        <w:tc>
          <w:tcPr>
            <w:tcW w:w="0" w:type="auto"/>
            <w:tcBorders>
              <w:top w:val="single" w:sz="4" w:space="0" w:color="auto"/>
              <w:left w:val="single" w:sz="4" w:space="0" w:color="auto"/>
              <w:bottom w:val="single" w:sz="18" w:space="0" w:color="auto"/>
              <w:right w:val="double" w:sz="4" w:space="0" w:color="auto"/>
            </w:tcBorders>
            <w:hideMark/>
          </w:tcPr>
          <w:p w:rsidR="008D3605" w:rsidRDefault="008D3605" w:rsidP="00C141EA">
            <w:pPr>
              <w:spacing w:after="200" w:line="276" w:lineRule="auto"/>
              <w:rPr>
                <w:sz w:val="22"/>
                <w:szCs w:val="22"/>
                <w:lang w:val="en-GB"/>
              </w:rPr>
            </w:pPr>
            <w:r>
              <w:rPr>
                <w:lang w:val="en-GB"/>
              </w:rPr>
              <w:t>Significance:</w:t>
            </w:r>
          </w:p>
        </w:tc>
        <w:tc>
          <w:tcPr>
            <w:tcW w:w="0" w:type="auto"/>
            <w:tcBorders>
              <w:top w:val="single" w:sz="4" w:space="0" w:color="auto"/>
              <w:left w:val="doub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r>
              <w:rPr>
                <w:lang w:val="en-GB"/>
              </w:rPr>
              <w:t>yes</w:t>
            </w:r>
          </w:p>
        </w:tc>
        <w:tc>
          <w:tcPr>
            <w:tcW w:w="0" w:type="auto"/>
            <w:tcBorders>
              <w:top w:val="single" w:sz="4" w:space="0" w:color="auto"/>
              <w:left w:val="sing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18" w:space="0" w:color="auto"/>
              <w:right w:val="double" w:sz="4" w:space="0" w:color="auto"/>
            </w:tcBorders>
            <w:vAlign w:val="center"/>
            <w:hideMark/>
          </w:tcPr>
          <w:p w:rsidR="008D3605" w:rsidRDefault="008D3605" w:rsidP="00C141EA">
            <w:pPr>
              <w:spacing w:after="200" w:line="276" w:lineRule="auto"/>
              <w:jc w:val="center"/>
              <w:rPr>
                <w:sz w:val="22"/>
                <w:szCs w:val="22"/>
                <w:lang w:val="en-GB"/>
              </w:rPr>
            </w:pPr>
            <w:r>
              <w:rPr>
                <w:lang w:val="en-GB"/>
              </w:rPr>
              <w:t>yes</w:t>
            </w:r>
          </w:p>
        </w:tc>
        <w:tc>
          <w:tcPr>
            <w:tcW w:w="0" w:type="auto"/>
            <w:tcBorders>
              <w:top w:val="single" w:sz="4" w:space="0" w:color="auto"/>
              <w:left w:val="doub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18"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r>
              <w:rPr>
                <w:lang w:val="en-GB"/>
              </w:rPr>
              <w:t>no</w:t>
            </w:r>
          </w:p>
        </w:tc>
      </w:tr>
      <w:tr w:rsidR="008D3605" w:rsidTr="00DD63D4">
        <w:trPr>
          <w:jc w:val="center"/>
        </w:trPr>
        <w:tc>
          <w:tcPr>
            <w:tcW w:w="0" w:type="auto"/>
            <w:tcBorders>
              <w:top w:val="single" w:sz="18" w:space="0" w:color="auto"/>
              <w:left w:val="single" w:sz="4" w:space="0" w:color="auto"/>
              <w:bottom w:val="single" w:sz="4" w:space="0" w:color="auto"/>
              <w:right w:val="single" w:sz="4" w:space="0" w:color="auto"/>
            </w:tcBorders>
            <w:vAlign w:val="center"/>
            <w:hideMark/>
          </w:tcPr>
          <w:p w:rsidR="008D3605" w:rsidRDefault="008D3605" w:rsidP="00C141EA">
            <w:pPr>
              <w:spacing w:after="200" w:line="276" w:lineRule="auto"/>
              <w:jc w:val="center"/>
              <w:rPr>
                <w:sz w:val="22"/>
                <w:szCs w:val="22"/>
                <w:lang w:val="en-GB"/>
              </w:rPr>
            </w:pPr>
            <w:proofErr w:type="spellStart"/>
            <w:r>
              <w:rPr>
                <w:lang w:val="en-GB"/>
              </w:rPr>
              <w:t>μ</w:t>
            </w:r>
            <w:r>
              <w:rPr>
                <w:vertAlign w:val="subscript"/>
                <w:lang w:val="en-GB"/>
              </w:rPr>
              <w:t>noisy</w:t>
            </w:r>
            <w:proofErr w:type="spellEnd"/>
            <w:r>
              <w:rPr>
                <w:lang w:val="en-GB"/>
              </w:rPr>
              <w:t xml:space="preserve"> &lt; </w:t>
            </w:r>
            <w:proofErr w:type="spellStart"/>
            <w:r>
              <w:rPr>
                <w:lang w:val="en-GB"/>
              </w:rPr>
              <w:t>μ</w:t>
            </w:r>
            <w:r>
              <w:rPr>
                <w:vertAlign w:val="subscript"/>
                <w:lang w:val="en-GB"/>
              </w:rPr>
              <w:t>denoised</w:t>
            </w:r>
            <w:proofErr w:type="spellEnd"/>
          </w:p>
        </w:tc>
        <w:tc>
          <w:tcPr>
            <w:tcW w:w="0" w:type="auto"/>
            <w:tcBorders>
              <w:top w:val="single" w:sz="4" w:space="0" w:color="auto"/>
              <w:left w:val="single" w:sz="4" w:space="0" w:color="auto"/>
              <w:bottom w:val="single" w:sz="4" w:space="0" w:color="auto"/>
              <w:right w:val="double" w:sz="4" w:space="0" w:color="auto"/>
            </w:tcBorders>
            <w:hideMark/>
          </w:tcPr>
          <w:p w:rsidR="008D3605" w:rsidRDefault="008D3605" w:rsidP="00C06224">
            <w:pPr>
              <w:spacing w:after="200" w:line="276" w:lineRule="auto"/>
              <w:rPr>
                <w:sz w:val="22"/>
                <w:szCs w:val="22"/>
                <w:lang w:val="en-GB"/>
              </w:rPr>
            </w:pPr>
            <w:r>
              <w:rPr>
                <w:lang w:val="en-GB"/>
              </w:rPr>
              <w:t>Significance:</w:t>
            </w:r>
          </w:p>
        </w:tc>
        <w:tc>
          <w:tcPr>
            <w:tcW w:w="0" w:type="auto"/>
            <w:tcBorders>
              <w:top w:val="single" w:sz="4" w:space="0" w:color="auto"/>
              <w:left w:val="double" w:sz="4" w:space="0" w:color="auto"/>
              <w:bottom w:val="single" w:sz="4" w:space="0" w:color="auto"/>
              <w:right w:val="single" w:sz="4" w:space="0" w:color="auto"/>
            </w:tcBorders>
            <w:hideMark/>
          </w:tcPr>
          <w:p w:rsidR="008D3605" w:rsidRDefault="008D3605" w:rsidP="00C06224">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4" w:space="0" w:color="auto"/>
              <w:right w:val="single" w:sz="4" w:space="0" w:color="auto"/>
            </w:tcBorders>
            <w:hideMark/>
          </w:tcPr>
          <w:p w:rsidR="008D3605" w:rsidRDefault="008D3605" w:rsidP="00C06224">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4" w:space="0" w:color="auto"/>
              <w:right w:val="double" w:sz="4" w:space="0" w:color="auto"/>
            </w:tcBorders>
            <w:hideMark/>
          </w:tcPr>
          <w:p w:rsidR="008D3605" w:rsidRDefault="008D3605" w:rsidP="00C06224">
            <w:pPr>
              <w:spacing w:after="200" w:line="276" w:lineRule="auto"/>
              <w:jc w:val="center"/>
              <w:rPr>
                <w:sz w:val="22"/>
                <w:szCs w:val="22"/>
                <w:lang w:val="en-GB"/>
              </w:rPr>
            </w:pPr>
            <w:r>
              <w:rPr>
                <w:lang w:val="en-GB"/>
              </w:rPr>
              <w:t>no</w:t>
            </w:r>
          </w:p>
        </w:tc>
        <w:tc>
          <w:tcPr>
            <w:tcW w:w="0" w:type="auto"/>
            <w:tcBorders>
              <w:top w:val="single" w:sz="4" w:space="0" w:color="auto"/>
              <w:left w:val="double" w:sz="4" w:space="0" w:color="auto"/>
              <w:bottom w:val="single" w:sz="4" w:space="0" w:color="auto"/>
              <w:right w:val="single" w:sz="4" w:space="0" w:color="auto"/>
            </w:tcBorders>
            <w:hideMark/>
          </w:tcPr>
          <w:p w:rsidR="008D3605" w:rsidRDefault="008D3605" w:rsidP="00C06224">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4" w:space="0" w:color="auto"/>
              <w:right w:val="single" w:sz="4" w:space="0" w:color="auto"/>
            </w:tcBorders>
            <w:hideMark/>
          </w:tcPr>
          <w:p w:rsidR="008D3605" w:rsidRDefault="008D3605" w:rsidP="00C06224">
            <w:pPr>
              <w:spacing w:after="200" w:line="276" w:lineRule="auto"/>
              <w:jc w:val="center"/>
              <w:rPr>
                <w:sz w:val="22"/>
                <w:szCs w:val="22"/>
                <w:lang w:val="en-GB"/>
              </w:rPr>
            </w:pPr>
            <w:r>
              <w:rPr>
                <w:lang w:val="en-GB"/>
              </w:rPr>
              <w:t>no</w:t>
            </w:r>
          </w:p>
        </w:tc>
        <w:tc>
          <w:tcPr>
            <w:tcW w:w="0" w:type="auto"/>
            <w:tcBorders>
              <w:top w:val="single" w:sz="4" w:space="0" w:color="auto"/>
              <w:left w:val="single" w:sz="4" w:space="0" w:color="auto"/>
              <w:bottom w:val="single" w:sz="4" w:space="0" w:color="auto"/>
              <w:right w:val="single" w:sz="4" w:space="0" w:color="auto"/>
            </w:tcBorders>
            <w:hideMark/>
          </w:tcPr>
          <w:p w:rsidR="008D3605" w:rsidRDefault="008D3605" w:rsidP="00C06224">
            <w:pPr>
              <w:keepNext/>
              <w:spacing w:after="200" w:line="276" w:lineRule="auto"/>
              <w:jc w:val="center"/>
              <w:rPr>
                <w:sz w:val="22"/>
                <w:szCs w:val="22"/>
                <w:lang w:val="en-GB"/>
              </w:rPr>
            </w:pPr>
            <w:r>
              <w:rPr>
                <w:lang w:val="en-GB"/>
              </w:rPr>
              <w:t>yes</w:t>
            </w:r>
          </w:p>
        </w:tc>
      </w:tr>
    </w:tbl>
    <w:p w:rsidR="008D3605" w:rsidRDefault="008D3605" w:rsidP="008D3605">
      <w:pPr>
        <w:pStyle w:val="Caption"/>
        <w:jc w:val="center"/>
      </w:pPr>
      <w:bookmarkStart w:id="0" w:name="_Ref345334826"/>
      <w:r>
        <w:t xml:space="preserve">Table </w:t>
      </w:r>
      <w:fldSimple w:instr=" SEQ Table \* ARABIC ">
        <w:r w:rsidR="008B4BE8">
          <w:rPr>
            <w:noProof/>
          </w:rPr>
          <w:t>1</w:t>
        </w:r>
      </w:fldSimple>
      <w:bookmarkEnd w:id="0"/>
      <w:r>
        <w:t xml:space="preserve"> - Significance of distance to reference tree difference</w:t>
      </w:r>
    </w:p>
    <w:p w:rsidR="008D3605" w:rsidRDefault="00224F7A" w:rsidP="00224F7A">
      <w:pPr>
        <w:ind w:firstLine="720"/>
        <w:rPr>
          <w:lang w:val="en-GB"/>
        </w:rPr>
      </w:pPr>
      <w:r>
        <w:rPr>
          <w:lang w:val="en-GB"/>
        </w:rPr>
        <w:t>Overall, the results do not seem to encourage performing noise reduction.</w:t>
      </w:r>
      <w:r w:rsidR="007F3430">
        <w:rPr>
          <w:lang w:val="en-GB"/>
        </w:rPr>
        <w:t xml:space="preserve"> Out of six tests, only two show a significant improvement when using alignments with reduced noise, and one test shows that performing noise reduction gave a worse result. </w:t>
      </w:r>
      <w:r w:rsidR="00DA449C">
        <w:rPr>
          <w:lang w:val="en-GB"/>
        </w:rPr>
        <w:t>The two significant tests are both for the symmetric case, indicating it might be worth to consider whether reducing noise is worthwhile for such cases. In order to evaluate this, some statistical information about the generated data was calculated</w:t>
      </w:r>
      <w:r w:rsidR="008B4BE8">
        <w:rPr>
          <w:lang w:val="en-GB"/>
        </w:rPr>
        <w:t xml:space="preserve">, and is presented in </w:t>
      </w:r>
      <w:r w:rsidR="008B4BE8">
        <w:rPr>
          <w:lang w:val="en-GB"/>
        </w:rPr>
        <w:fldChar w:fldCharType="begin"/>
      </w:r>
      <w:r w:rsidR="008B4BE8">
        <w:rPr>
          <w:lang w:val="en-GB"/>
        </w:rPr>
        <w:instrText xml:space="preserve"> REF _Ref345341040 \h </w:instrText>
      </w:r>
      <w:r w:rsidR="008B4BE8">
        <w:rPr>
          <w:lang w:val="en-GB"/>
        </w:rPr>
      </w:r>
      <w:r w:rsidR="008B4BE8">
        <w:rPr>
          <w:lang w:val="en-GB"/>
        </w:rPr>
        <w:fldChar w:fldCharType="separate"/>
      </w:r>
      <w:r w:rsidR="008B4BE8">
        <w:t xml:space="preserve">Table </w:t>
      </w:r>
      <w:r w:rsidR="008B4BE8">
        <w:rPr>
          <w:noProof/>
        </w:rPr>
        <w:t>2</w:t>
      </w:r>
      <w:r w:rsidR="008B4BE8">
        <w:rPr>
          <w:lang w:val="en-GB"/>
        </w:rPr>
        <w:fldChar w:fldCharType="end"/>
      </w:r>
      <w:r w:rsidR="00DA449C">
        <w:rPr>
          <w:lang w:val="en-GB"/>
        </w:rPr>
        <w:t xml:space="preserve">. </w:t>
      </w:r>
    </w:p>
    <w:tbl>
      <w:tblPr>
        <w:tblStyle w:val="TableGrid"/>
        <w:tblW w:w="0" w:type="auto"/>
        <w:jc w:val="center"/>
        <w:tblInd w:w="0" w:type="dxa"/>
        <w:tblLook w:val="04A0"/>
      </w:tblPr>
      <w:tblGrid>
        <w:gridCol w:w="1183"/>
        <w:gridCol w:w="1371"/>
        <w:gridCol w:w="1080"/>
        <w:gridCol w:w="1080"/>
        <w:gridCol w:w="1080"/>
        <w:gridCol w:w="1238"/>
        <w:gridCol w:w="1272"/>
        <w:gridCol w:w="1272"/>
      </w:tblGrid>
      <w:tr w:rsidR="00DA449C" w:rsidTr="00DD63D4">
        <w:trPr>
          <w:jc w:val="center"/>
        </w:trPr>
        <w:tc>
          <w:tcPr>
            <w:tcW w:w="0" w:type="auto"/>
            <w:vMerge w:val="restart"/>
            <w:tcBorders>
              <w:top w:val="single" w:sz="4" w:space="0" w:color="auto"/>
              <w:left w:val="single" w:sz="4" w:space="0" w:color="auto"/>
              <w:right w:val="double" w:sz="12" w:space="0" w:color="auto"/>
            </w:tcBorders>
            <w:hideMark/>
          </w:tcPr>
          <w:p w:rsidR="00DA449C" w:rsidRDefault="00DA449C" w:rsidP="00C141EA">
            <w:pPr>
              <w:rPr>
                <w:lang w:val="en-GB"/>
              </w:rPr>
            </w:pPr>
            <w:r>
              <w:rPr>
                <w:lang w:val="en-GB"/>
              </w:rPr>
              <w:t>Variable</w:t>
            </w:r>
          </w:p>
        </w:tc>
        <w:tc>
          <w:tcPr>
            <w:tcW w:w="0" w:type="auto"/>
            <w:tcBorders>
              <w:top w:val="single" w:sz="4" w:space="0" w:color="auto"/>
              <w:left w:val="double" w:sz="12" w:space="0" w:color="auto"/>
              <w:bottom w:val="single" w:sz="4" w:space="0" w:color="auto"/>
              <w:right w:val="double" w:sz="4" w:space="0" w:color="auto"/>
            </w:tcBorders>
            <w:hideMark/>
          </w:tcPr>
          <w:p w:rsidR="00DA449C" w:rsidRDefault="00DA449C" w:rsidP="00C141EA">
            <w:pPr>
              <w:rPr>
                <w:lang w:val="en-GB"/>
              </w:rPr>
            </w:pPr>
            <w:r>
              <w:rPr>
                <w:lang w:val="en-GB"/>
              </w:rPr>
              <w:t>Ref tree type:</w:t>
            </w:r>
          </w:p>
        </w:tc>
        <w:tc>
          <w:tcPr>
            <w:tcW w:w="0" w:type="auto"/>
            <w:gridSpan w:val="3"/>
            <w:tcBorders>
              <w:top w:val="single" w:sz="4" w:space="0" w:color="auto"/>
              <w:left w:val="double" w:sz="4" w:space="0" w:color="auto"/>
              <w:bottom w:val="single" w:sz="4" w:space="0" w:color="auto"/>
              <w:right w:val="double" w:sz="4" w:space="0" w:color="auto"/>
            </w:tcBorders>
            <w:vAlign w:val="center"/>
            <w:hideMark/>
          </w:tcPr>
          <w:p w:rsidR="00DA449C" w:rsidRDefault="00DA449C" w:rsidP="00DA449C">
            <w:pPr>
              <w:jc w:val="center"/>
              <w:rPr>
                <w:lang w:val="en-GB"/>
              </w:rPr>
            </w:pPr>
            <w:r>
              <w:rPr>
                <w:lang w:val="en-GB"/>
              </w:rPr>
              <w:t>Symmetric</w:t>
            </w:r>
          </w:p>
        </w:tc>
        <w:tc>
          <w:tcPr>
            <w:tcW w:w="0" w:type="auto"/>
            <w:gridSpan w:val="3"/>
            <w:tcBorders>
              <w:top w:val="single" w:sz="4" w:space="0" w:color="auto"/>
              <w:left w:val="double" w:sz="4" w:space="0" w:color="auto"/>
              <w:bottom w:val="single" w:sz="4" w:space="0" w:color="auto"/>
              <w:right w:val="single" w:sz="4" w:space="0" w:color="auto"/>
            </w:tcBorders>
            <w:vAlign w:val="center"/>
            <w:hideMark/>
          </w:tcPr>
          <w:p w:rsidR="00DA449C" w:rsidRDefault="00DA449C" w:rsidP="00DA449C">
            <w:pPr>
              <w:jc w:val="center"/>
              <w:rPr>
                <w:lang w:val="en-GB"/>
              </w:rPr>
            </w:pPr>
            <w:r>
              <w:rPr>
                <w:lang w:val="en-GB"/>
              </w:rPr>
              <w:t>Asymmetric</w:t>
            </w:r>
          </w:p>
        </w:tc>
      </w:tr>
      <w:tr w:rsidR="00DA449C" w:rsidTr="00DD63D4">
        <w:trPr>
          <w:jc w:val="center"/>
        </w:trPr>
        <w:tc>
          <w:tcPr>
            <w:tcW w:w="0" w:type="auto"/>
            <w:vMerge/>
            <w:tcBorders>
              <w:left w:val="single" w:sz="4" w:space="0" w:color="auto"/>
              <w:bottom w:val="single" w:sz="18" w:space="0" w:color="auto"/>
              <w:right w:val="double" w:sz="12" w:space="0" w:color="auto"/>
            </w:tcBorders>
            <w:hideMark/>
          </w:tcPr>
          <w:p w:rsidR="00DA449C" w:rsidRDefault="00DA449C" w:rsidP="00C141EA">
            <w:pPr>
              <w:spacing w:after="200" w:line="276" w:lineRule="auto"/>
              <w:rPr>
                <w:sz w:val="22"/>
                <w:szCs w:val="22"/>
                <w:lang w:val="en-GB"/>
              </w:rPr>
            </w:pPr>
          </w:p>
        </w:tc>
        <w:tc>
          <w:tcPr>
            <w:tcW w:w="0" w:type="auto"/>
            <w:tcBorders>
              <w:top w:val="single" w:sz="4" w:space="0" w:color="auto"/>
              <w:left w:val="double" w:sz="12" w:space="0" w:color="auto"/>
              <w:bottom w:val="single" w:sz="18" w:space="0" w:color="auto"/>
              <w:right w:val="double" w:sz="4" w:space="0" w:color="auto"/>
            </w:tcBorders>
            <w:hideMark/>
          </w:tcPr>
          <w:p w:rsidR="00DA449C" w:rsidRDefault="00DA449C" w:rsidP="00C141EA">
            <w:pPr>
              <w:spacing w:after="200" w:line="276" w:lineRule="auto"/>
              <w:rPr>
                <w:sz w:val="22"/>
                <w:szCs w:val="22"/>
                <w:lang w:val="en-GB"/>
              </w:rPr>
            </w:pPr>
            <w:r>
              <w:rPr>
                <w:lang w:val="en-GB"/>
              </w:rPr>
              <w:t>Mutation rate:</w:t>
            </w:r>
          </w:p>
        </w:tc>
        <w:tc>
          <w:tcPr>
            <w:tcW w:w="0" w:type="auto"/>
            <w:tcBorders>
              <w:top w:val="single" w:sz="4" w:space="0" w:color="auto"/>
              <w:left w:val="double" w:sz="4" w:space="0" w:color="auto"/>
              <w:bottom w:val="single" w:sz="18" w:space="0" w:color="auto"/>
              <w:right w:val="single" w:sz="4" w:space="0" w:color="auto"/>
            </w:tcBorders>
            <w:vAlign w:val="center"/>
            <w:hideMark/>
          </w:tcPr>
          <w:p w:rsidR="00DA449C" w:rsidRDefault="00DA449C" w:rsidP="00DA449C">
            <w:pPr>
              <w:spacing w:after="200" w:line="276" w:lineRule="auto"/>
              <w:jc w:val="center"/>
              <w:rPr>
                <w:sz w:val="22"/>
                <w:szCs w:val="22"/>
                <w:lang w:val="en-GB"/>
              </w:rPr>
            </w:pPr>
            <w:r>
              <w:rPr>
                <w:lang w:val="en-GB"/>
              </w:rPr>
              <w:t>0.5</w:t>
            </w:r>
          </w:p>
        </w:tc>
        <w:tc>
          <w:tcPr>
            <w:tcW w:w="0" w:type="auto"/>
            <w:tcBorders>
              <w:top w:val="single" w:sz="4" w:space="0" w:color="auto"/>
              <w:left w:val="single" w:sz="4" w:space="0" w:color="auto"/>
              <w:bottom w:val="single" w:sz="18" w:space="0" w:color="auto"/>
              <w:right w:val="single" w:sz="4" w:space="0" w:color="auto"/>
            </w:tcBorders>
            <w:vAlign w:val="center"/>
            <w:hideMark/>
          </w:tcPr>
          <w:p w:rsidR="00DA449C" w:rsidRDefault="00DA449C" w:rsidP="00DA449C">
            <w:pPr>
              <w:spacing w:after="200" w:line="276" w:lineRule="auto"/>
              <w:jc w:val="center"/>
              <w:rPr>
                <w:sz w:val="22"/>
                <w:szCs w:val="22"/>
                <w:lang w:val="en-GB"/>
              </w:rPr>
            </w:pPr>
            <w:r>
              <w:rPr>
                <w:lang w:val="en-GB"/>
              </w:rPr>
              <w:t>1.0</w:t>
            </w:r>
          </w:p>
        </w:tc>
        <w:tc>
          <w:tcPr>
            <w:tcW w:w="0" w:type="auto"/>
            <w:tcBorders>
              <w:top w:val="single" w:sz="4" w:space="0" w:color="auto"/>
              <w:left w:val="single" w:sz="4" w:space="0" w:color="auto"/>
              <w:bottom w:val="single" w:sz="18" w:space="0" w:color="auto"/>
              <w:right w:val="double" w:sz="4" w:space="0" w:color="auto"/>
            </w:tcBorders>
            <w:vAlign w:val="center"/>
            <w:hideMark/>
          </w:tcPr>
          <w:p w:rsidR="00DA449C" w:rsidRDefault="00DA449C" w:rsidP="00DA449C">
            <w:pPr>
              <w:spacing w:after="200" w:line="276" w:lineRule="auto"/>
              <w:jc w:val="center"/>
              <w:rPr>
                <w:sz w:val="22"/>
                <w:szCs w:val="22"/>
                <w:lang w:val="en-GB"/>
              </w:rPr>
            </w:pPr>
            <w:r>
              <w:rPr>
                <w:lang w:val="en-GB"/>
              </w:rPr>
              <w:t>2.0</w:t>
            </w:r>
          </w:p>
        </w:tc>
        <w:tc>
          <w:tcPr>
            <w:tcW w:w="0" w:type="auto"/>
            <w:tcBorders>
              <w:top w:val="single" w:sz="4" w:space="0" w:color="auto"/>
              <w:left w:val="double" w:sz="4" w:space="0" w:color="auto"/>
              <w:bottom w:val="single" w:sz="18" w:space="0" w:color="auto"/>
              <w:right w:val="single" w:sz="4" w:space="0" w:color="auto"/>
            </w:tcBorders>
            <w:vAlign w:val="center"/>
            <w:hideMark/>
          </w:tcPr>
          <w:p w:rsidR="00DA449C" w:rsidRDefault="00DA449C" w:rsidP="00DA449C">
            <w:pPr>
              <w:spacing w:after="200" w:line="276" w:lineRule="auto"/>
              <w:jc w:val="center"/>
              <w:rPr>
                <w:sz w:val="22"/>
                <w:szCs w:val="22"/>
                <w:lang w:val="en-GB"/>
              </w:rPr>
            </w:pPr>
            <w:r>
              <w:rPr>
                <w:lang w:val="en-GB"/>
              </w:rPr>
              <w:t>0.5</w:t>
            </w:r>
          </w:p>
        </w:tc>
        <w:tc>
          <w:tcPr>
            <w:tcW w:w="0" w:type="auto"/>
            <w:tcBorders>
              <w:top w:val="single" w:sz="4" w:space="0" w:color="auto"/>
              <w:left w:val="single" w:sz="4" w:space="0" w:color="auto"/>
              <w:bottom w:val="single" w:sz="18" w:space="0" w:color="auto"/>
              <w:right w:val="single" w:sz="4" w:space="0" w:color="auto"/>
            </w:tcBorders>
            <w:vAlign w:val="center"/>
            <w:hideMark/>
          </w:tcPr>
          <w:p w:rsidR="00DA449C" w:rsidRDefault="00DA449C" w:rsidP="00DA449C">
            <w:pPr>
              <w:spacing w:after="200" w:line="276" w:lineRule="auto"/>
              <w:jc w:val="center"/>
              <w:rPr>
                <w:sz w:val="22"/>
                <w:szCs w:val="22"/>
                <w:lang w:val="en-GB"/>
              </w:rPr>
            </w:pPr>
            <w:r>
              <w:rPr>
                <w:lang w:val="en-GB"/>
              </w:rPr>
              <w:t>1.0</w:t>
            </w:r>
          </w:p>
        </w:tc>
        <w:tc>
          <w:tcPr>
            <w:tcW w:w="0" w:type="auto"/>
            <w:tcBorders>
              <w:top w:val="single" w:sz="4" w:space="0" w:color="auto"/>
              <w:left w:val="single" w:sz="4" w:space="0" w:color="auto"/>
              <w:bottom w:val="single" w:sz="18" w:space="0" w:color="auto"/>
              <w:right w:val="single" w:sz="4" w:space="0" w:color="auto"/>
            </w:tcBorders>
            <w:vAlign w:val="center"/>
            <w:hideMark/>
          </w:tcPr>
          <w:p w:rsidR="00DA449C" w:rsidRDefault="00DA449C" w:rsidP="00DA449C">
            <w:pPr>
              <w:spacing w:after="200" w:line="276" w:lineRule="auto"/>
              <w:jc w:val="center"/>
              <w:rPr>
                <w:sz w:val="22"/>
                <w:szCs w:val="22"/>
                <w:lang w:val="en-GB"/>
              </w:rPr>
            </w:pPr>
            <w:r>
              <w:rPr>
                <w:lang w:val="en-GB"/>
              </w:rPr>
              <w:t>2.0</w:t>
            </w:r>
          </w:p>
        </w:tc>
      </w:tr>
      <w:tr w:rsidR="00DD63D4" w:rsidTr="00DD63D4">
        <w:trPr>
          <w:jc w:val="center"/>
        </w:trPr>
        <w:tc>
          <w:tcPr>
            <w:tcW w:w="0" w:type="auto"/>
            <w:vMerge w:val="restart"/>
            <w:tcBorders>
              <w:top w:val="single" w:sz="18" w:space="0" w:color="auto"/>
              <w:left w:val="single" w:sz="4" w:space="0" w:color="auto"/>
              <w:bottom w:val="single" w:sz="18" w:space="0" w:color="auto"/>
              <w:right w:val="double" w:sz="12" w:space="0" w:color="auto"/>
            </w:tcBorders>
            <w:vAlign w:val="center"/>
            <w:hideMark/>
          </w:tcPr>
          <w:p w:rsidR="00DA449C" w:rsidRDefault="00DA449C" w:rsidP="00C141EA">
            <w:pPr>
              <w:spacing w:after="200" w:line="276" w:lineRule="auto"/>
              <w:jc w:val="center"/>
              <w:rPr>
                <w:sz w:val="22"/>
                <w:szCs w:val="22"/>
                <w:lang w:val="en-GB"/>
              </w:rPr>
            </w:pPr>
            <w:r>
              <w:rPr>
                <w:lang w:val="en-GB"/>
              </w:rPr>
              <w:t>D</w:t>
            </w:r>
          </w:p>
        </w:tc>
        <w:tc>
          <w:tcPr>
            <w:tcW w:w="0" w:type="auto"/>
            <w:tcBorders>
              <w:top w:val="single" w:sz="18"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proofErr w:type="spellStart"/>
            <w:r>
              <w:rPr>
                <w:lang w:val="en-GB"/>
              </w:rPr>
              <w:t>μ</w:t>
            </w:r>
            <w:r>
              <w:rPr>
                <w:lang w:val="en-GB"/>
              </w:rPr>
              <w:softHyphen/>
            </w:r>
            <w:r>
              <w:rPr>
                <w:lang w:val="en-GB"/>
              </w:rPr>
              <w:softHyphen/>
            </w:r>
            <w:r>
              <w:rPr>
                <w:vertAlign w:val="subscript"/>
                <w:lang w:val="en-GB"/>
              </w:rPr>
              <w:t>D</w:t>
            </w:r>
            <w:proofErr w:type="spellEnd"/>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0.1933</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0.1233</w:t>
            </w:r>
          </w:p>
        </w:tc>
        <w:tc>
          <w:tcPr>
            <w:tcW w:w="0" w:type="auto"/>
            <w:tcBorders>
              <w:top w:val="single" w:sz="18"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0.2533</w:t>
            </w:r>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0.02667</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-0.03667</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-0.07333</w:t>
            </w:r>
          </w:p>
        </w:tc>
      </w:tr>
      <w:tr w:rsidR="00DA449C" w:rsidTr="00DD63D4">
        <w:trPr>
          <w:jc w:val="center"/>
        </w:trPr>
        <w:tc>
          <w:tcPr>
            <w:tcW w:w="0" w:type="auto"/>
            <w:vMerge/>
            <w:tcBorders>
              <w:top w:val="double" w:sz="4" w:space="0" w:color="auto"/>
              <w:left w:val="single" w:sz="4" w:space="0" w:color="auto"/>
              <w:bottom w:val="single" w:sz="18" w:space="0" w:color="auto"/>
              <w:right w:val="double" w:sz="12" w:space="0" w:color="auto"/>
            </w:tcBorders>
            <w:vAlign w:val="center"/>
            <w:hideMark/>
          </w:tcPr>
          <w:p w:rsidR="00DA449C" w:rsidRDefault="00DA449C" w:rsidP="00C141EA">
            <w:pPr>
              <w:rPr>
                <w:sz w:val="22"/>
                <w:szCs w:val="22"/>
                <w:lang w:val="en-GB"/>
              </w:rPr>
            </w:pPr>
          </w:p>
        </w:tc>
        <w:tc>
          <w:tcPr>
            <w:tcW w:w="0" w:type="auto"/>
            <w:tcBorders>
              <w:top w:val="single" w:sz="4"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proofErr w:type="spellStart"/>
            <w:r>
              <w:rPr>
                <w:lang w:val="en-GB"/>
              </w:rPr>
              <w:t>σ</w:t>
            </w:r>
            <w:r>
              <w:rPr>
                <w:vertAlign w:val="subscript"/>
                <w:lang w:val="en-GB"/>
              </w:rPr>
              <w:t>D</w:t>
            </w:r>
            <w:proofErr w:type="spellEnd"/>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1.367</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1.652</w:t>
            </w:r>
          </w:p>
        </w:tc>
        <w:tc>
          <w:tcPr>
            <w:tcW w:w="0" w:type="auto"/>
            <w:tcBorders>
              <w:top w:val="single" w:sz="4"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2.289</w:t>
            </w:r>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0.7264</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0.6191</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0.6852</w:t>
            </w:r>
          </w:p>
        </w:tc>
      </w:tr>
      <w:tr w:rsidR="00DA449C" w:rsidTr="00DD63D4">
        <w:trPr>
          <w:jc w:val="center"/>
        </w:trPr>
        <w:tc>
          <w:tcPr>
            <w:tcW w:w="0" w:type="auto"/>
            <w:vMerge/>
            <w:tcBorders>
              <w:top w:val="double" w:sz="4" w:space="0" w:color="auto"/>
              <w:left w:val="single" w:sz="4" w:space="0" w:color="auto"/>
              <w:bottom w:val="single" w:sz="18" w:space="0" w:color="auto"/>
              <w:right w:val="double" w:sz="12" w:space="0" w:color="auto"/>
            </w:tcBorders>
            <w:vAlign w:val="center"/>
            <w:hideMark/>
          </w:tcPr>
          <w:p w:rsidR="00DA449C" w:rsidRDefault="00DA449C" w:rsidP="00C141EA">
            <w:pPr>
              <w:rPr>
                <w:sz w:val="22"/>
                <w:szCs w:val="22"/>
                <w:lang w:val="en-GB"/>
              </w:rPr>
            </w:pPr>
          </w:p>
        </w:tc>
        <w:tc>
          <w:tcPr>
            <w:tcW w:w="0" w:type="auto"/>
            <w:tcBorders>
              <w:top w:val="single" w:sz="4"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r>
              <w:rPr>
                <w:lang w:val="en-GB"/>
              </w:rPr>
              <w:t>standard error</w:t>
            </w:r>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0.0789</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0.0954</w:t>
            </w:r>
          </w:p>
        </w:tc>
        <w:tc>
          <w:tcPr>
            <w:tcW w:w="0" w:type="auto"/>
            <w:tcBorders>
              <w:top w:val="single" w:sz="4"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0.132</w:t>
            </w:r>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0.0419</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0.0357</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color w:val="000000"/>
                <w:sz w:val="22"/>
                <w:szCs w:val="22"/>
              </w:rPr>
            </w:pPr>
            <w:r>
              <w:rPr>
                <w:color w:val="000000"/>
              </w:rPr>
              <w:t>0.0396</w:t>
            </w:r>
          </w:p>
        </w:tc>
      </w:tr>
      <w:tr w:rsidR="00DA449C" w:rsidTr="00DD63D4">
        <w:trPr>
          <w:jc w:val="center"/>
        </w:trPr>
        <w:tc>
          <w:tcPr>
            <w:tcW w:w="0" w:type="auto"/>
            <w:vMerge/>
            <w:tcBorders>
              <w:top w:val="double" w:sz="4" w:space="0" w:color="auto"/>
              <w:left w:val="single" w:sz="4" w:space="0" w:color="auto"/>
              <w:bottom w:val="single" w:sz="18" w:space="0" w:color="auto"/>
              <w:right w:val="double" w:sz="12" w:space="0" w:color="auto"/>
            </w:tcBorders>
            <w:vAlign w:val="center"/>
            <w:hideMark/>
          </w:tcPr>
          <w:p w:rsidR="00DA449C" w:rsidRDefault="00DA449C" w:rsidP="00C141EA">
            <w:pPr>
              <w:rPr>
                <w:sz w:val="22"/>
                <w:szCs w:val="22"/>
                <w:lang w:val="en-GB"/>
              </w:rPr>
            </w:pPr>
          </w:p>
        </w:tc>
        <w:tc>
          <w:tcPr>
            <w:tcW w:w="0" w:type="auto"/>
            <w:tcBorders>
              <w:top w:val="single" w:sz="4" w:space="0" w:color="auto"/>
              <w:left w:val="double" w:sz="12" w:space="0" w:color="auto"/>
              <w:bottom w:val="single" w:sz="18" w:space="0" w:color="auto"/>
              <w:right w:val="double" w:sz="4" w:space="0" w:color="auto"/>
            </w:tcBorders>
            <w:hideMark/>
          </w:tcPr>
          <w:p w:rsidR="00DA449C" w:rsidRDefault="00DA449C" w:rsidP="00C141EA">
            <w:pPr>
              <w:spacing w:after="200" w:line="276" w:lineRule="auto"/>
              <w:rPr>
                <w:sz w:val="22"/>
                <w:szCs w:val="22"/>
                <w:lang w:val="en-GB"/>
              </w:rPr>
            </w:pPr>
            <w:r>
              <w:rPr>
                <w:lang w:val="en-GB"/>
              </w:rPr>
              <w:t>95% conf. interval</w:t>
            </w:r>
          </w:p>
        </w:tc>
        <w:tc>
          <w:tcPr>
            <w:tcW w:w="0" w:type="auto"/>
            <w:tcBorders>
              <w:top w:val="single" w:sz="4" w:space="0" w:color="auto"/>
              <w:left w:val="double" w:sz="4" w:space="0" w:color="auto"/>
              <w:bottom w:val="single" w:sz="18" w:space="0" w:color="auto"/>
              <w:right w:val="sing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0.193 ± 0.155</w:t>
            </w:r>
          </w:p>
        </w:tc>
        <w:tc>
          <w:tcPr>
            <w:tcW w:w="0" w:type="auto"/>
            <w:tcBorders>
              <w:top w:val="single" w:sz="4" w:space="0" w:color="auto"/>
              <w:left w:val="single" w:sz="4" w:space="0" w:color="auto"/>
              <w:bottom w:val="single" w:sz="18" w:space="0" w:color="auto"/>
              <w:right w:val="sing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0.123 ± 0.187</w:t>
            </w:r>
          </w:p>
        </w:tc>
        <w:tc>
          <w:tcPr>
            <w:tcW w:w="0" w:type="auto"/>
            <w:tcBorders>
              <w:top w:val="single" w:sz="4" w:space="0" w:color="auto"/>
              <w:left w:val="single" w:sz="4" w:space="0" w:color="auto"/>
              <w:bottom w:val="single" w:sz="18" w:space="0" w:color="auto"/>
              <w:right w:val="doub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0.253 ± 0.259</w:t>
            </w:r>
          </w:p>
        </w:tc>
        <w:tc>
          <w:tcPr>
            <w:tcW w:w="0" w:type="auto"/>
            <w:tcBorders>
              <w:top w:val="single" w:sz="4" w:space="0" w:color="auto"/>
              <w:left w:val="double" w:sz="4" w:space="0" w:color="auto"/>
              <w:bottom w:val="single" w:sz="18" w:space="0" w:color="auto"/>
              <w:right w:val="sing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0.0267 ± 0.0822</w:t>
            </w:r>
          </w:p>
        </w:tc>
        <w:tc>
          <w:tcPr>
            <w:tcW w:w="0" w:type="auto"/>
            <w:tcBorders>
              <w:top w:val="single" w:sz="4" w:space="0" w:color="auto"/>
              <w:left w:val="single" w:sz="4" w:space="0" w:color="auto"/>
              <w:bottom w:val="single" w:sz="18" w:space="0" w:color="auto"/>
              <w:right w:val="sing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-0.0367 ± 0.0701</w:t>
            </w:r>
          </w:p>
        </w:tc>
        <w:tc>
          <w:tcPr>
            <w:tcW w:w="0" w:type="auto"/>
            <w:tcBorders>
              <w:top w:val="single" w:sz="4" w:space="0" w:color="auto"/>
              <w:left w:val="single" w:sz="4" w:space="0" w:color="auto"/>
              <w:bottom w:val="single" w:sz="18" w:space="0" w:color="auto"/>
              <w:right w:val="single" w:sz="4" w:space="0" w:color="auto"/>
            </w:tcBorders>
            <w:vAlign w:val="bottom"/>
            <w:hideMark/>
          </w:tcPr>
          <w:p w:rsidR="00DA449C" w:rsidRDefault="00DA449C" w:rsidP="00C141EA">
            <w:pPr>
              <w:spacing w:after="200" w:line="276" w:lineRule="auto"/>
              <w:rPr>
                <w:rFonts w:ascii="Calibri" w:hAnsi="Calibri"/>
                <w:color w:val="000000"/>
                <w:sz w:val="22"/>
                <w:szCs w:val="22"/>
              </w:rPr>
            </w:pPr>
            <w:r>
              <w:rPr>
                <w:rFonts w:ascii="Calibri" w:hAnsi="Calibri"/>
                <w:color w:val="000000"/>
              </w:rPr>
              <w:t>-0.0733 ± 0.0775</w:t>
            </w:r>
          </w:p>
        </w:tc>
      </w:tr>
      <w:tr w:rsidR="00DA449C" w:rsidTr="00DD63D4">
        <w:trPr>
          <w:jc w:val="center"/>
        </w:trPr>
        <w:tc>
          <w:tcPr>
            <w:tcW w:w="0" w:type="auto"/>
            <w:vMerge w:val="restart"/>
            <w:tcBorders>
              <w:top w:val="single" w:sz="18" w:space="0" w:color="auto"/>
              <w:left w:val="single" w:sz="4" w:space="0" w:color="auto"/>
              <w:bottom w:val="single" w:sz="4" w:space="0" w:color="auto"/>
              <w:right w:val="double" w:sz="12" w:space="0" w:color="auto"/>
            </w:tcBorders>
            <w:vAlign w:val="center"/>
            <w:hideMark/>
          </w:tcPr>
          <w:p w:rsidR="00DA449C" w:rsidRDefault="00DA449C" w:rsidP="00C141EA">
            <w:pPr>
              <w:spacing w:after="200" w:line="276" w:lineRule="auto"/>
              <w:jc w:val="center"/>
              <w:rPr>
                <w:sz w:val="22"/>
                <w:szCs w:val="22"/>
                <w:lang w:val="en-GB"/>
              </w:rPr>
            </w:pPr>
            <w:proofErr w:type="spellStart"/>
            <w:r>
              <w:rPr>
                <w:lang w:val="en-GB"/>
              </w:rPr>
              <w:t>D_noisy</w:t>
            </w:r>
            <w:proofErr w:type="spellEnd"/>
          </w:p>
        </w:tc>
        <w:tc>
          <w:tcPr>
            <w:tcW w:w="0" w:type="auto"/>
            <w:tcBorders>
              <w:top w:val="single" w:sz="18"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proofErr w:type="spellStart"/>
            <w:r>
              <w:rPr>
                <w:lang w:val="en-GB"/>
              </w:rPr>
              <w:t>μ</w:t>
            </w:r>
            <w:r>
              <w:rPr>
                <w:vertAlign w:val="subscript"/>
                <w:lang w:val="en-GB"/>
              </w:rPr>
              <w:t>noisy</w:t>
            </w:r>
            <w:proofErr w:type="spellEnd"/>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10.54</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11.53</w:t>
            </w:r>
          </w:p>
        </w:tc>
        <w:tc>
          <w:tcPr>
            <w:tcW w:w="0" w:type="auto"/>
            <w:tcBorders>
              <w:top w:val="single" w:sz="18"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12.34</w:t>
            </w:r>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19.38</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19.25</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18.89</w:t>
            </w:r>
          </w:p>
        </w:tc>
      </w:tr>
      <w:tr w:rsidR="00DA449C" w:rsidTr="00DD63D4">
        <w:trPr>
          <w:jc w:val="center"/>
        </w:trPr>
        <w:tc>
          <w:tcPr>
            <w:tcW w:w="0" w:type="auto"/>
            <w:vMerge/>
            <w:tcBorders>
              <w:top w:val="single" w:sz="18" w:space="0" w:color="auto"/>
              <w:left w:val="single" w:sz="4" w:space="0" w:color="auto"/>
              <w:bottom w:val="single" w:sz="4" w:space="0" w:color="auto"/>
              <w:right w:val="double" w:sz="12" w:space="0" w:color="auto"/>
            </w:tcBorders>
            <w:vAlign w:val="center"/>
            <w:hideMark/>
          </w:tcPr>
          <w:p w:rsidR="00DA449C" w:rsidRDefault="00DA449C" w:rsidP="00C141EA">
            <w:pPr>
              <w:rPr>
                <w:sz w:val="22"/>
                <w:szCs w:val="22"/>
                <w:lang w:val="en-GB"/>
              </w:rPr>
            </w:pPr>
          </w:p>
        </w:tc>
        <w:tc>
          <w:tcPr>
            <w:tcW w:w="0" w:type="auto"/>
            <w:tcBorders>
              <w:top w:val="single" w:sz="4"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vertAlign w:val="subscript"/>
                <w:lang w:val="en-GB"/>
              </w:rPr>
            </w:pPr>
            <w:proofErr w:type="spellStart"/>
            <w:r>
              <w:rPr>
                <w:lang w:val="en-GB"/>
              </w:rPr>
              <w:t>σ</w:t>
            </w:r>
            <w:r>
              <w:rPr>
                <w:vertAlign w:val="subscript"/>
                <w:lang w:val="en-GB"/>
              </w:rPr>
              <w:t>noisy</w:t>
            </w:r>
            <w:proofErr w:type="spellEnd"/>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2.544</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2.481</w:t>
            </w:r>
          </w:p>
        </w:tc>
        <w:tc>
          <w:tcPr>
            <w:tcW w:w="0" w:type="auto"/>
            <w:tcBorders>
              <w:top w:val="single" w:sz="4"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2.590</w:t>
            </w:r>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3.481</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3.323</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3.163</w:t>
            </w:r>
          </w:p>
        </w:tc>
      </w:tr>
      <w:tr w:rsidR="00DA449C" w:rsidTr="00DD63D4">
        <w:trPr>
          <w:jc w:val="center"/>
        </w:trPr>
        <w:tc>
          <w:tcPr>
            <w:tcW w:w="0" w:type="auto"/>
            <w:vMerge w:val="restart"/>
            <w:tcBorders>
              <w:top w:val="single" w:sz="18" w:space="0" w:color="auto"/>
              <w:left w:val="single" w:sz="4" w:space="0" w:color="auto"/>
              <w:bottom w:val="single" w:sz="4" w:space="0" w:color="auto"/>
              <w:right w:val="double" w:sz="12" w:space="0" w:color="auto"/>
            </w:tcBorders>
            <w:vAlign w:val="center"/>
            <w:hideMark/>
          </w:tcPr>
          <w:p w:rsidR="00DA449C" w:rsidRDefault="00DA449C" w:rsidP="00C141EA">
            <w:pPr>
              <w:spacing w:after="200" w:line="276" w:lineRule="auto"/>
              <w:jc w:val="center"/>
              <w:rPr>
                <w:sz w:val="22"/>
                <w:szCs w:val="22"/>
                <w:lang w:val="en-GB"/>
              </w:rPr>
            </w:pPr>
            <w:proofErr w:type="spellStart"/>
            <w:r>
              <w:rPr>
                <w:lang w:val="en-GB"/>
              </w:rPr>
              <w:t>D_denoised</w:t>
            </w:r>
            <w:proofErr w:type="spellEnd"/>
          </w:p>
        </w:tc>
        <w:tc>
          <w:tcPr>
            <w:tcW w:w="0" w:type="auto"/>
            <w:tcBorders>
              <w:top w:val="single" w:sz="18"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proofErr w:type="spellStart"/>
            <w:r>
              <w:rPr>
                <w:lang w:val="en-GB"/>
              </w:rPr>
              <w:t>μ</w:t>
            </w:r>
            <w:r>
              <w:rPr>
                <w:vertAlign w:val="subscript"/>
                <w:lang w:val="en-GB"/>
              </w:rPr>
              <w:t>denoised</w:t>
            </w:r>
            <w:proofErr w:type="spellEnd"/>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10.35</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11.41</w:t>
            </w:r>
          </w:p>
        </w:tc>
        <w:tc>
          <w:tcPr>
            <w:tcW w:w="0" w:type="auto"/>
            <w:tcBorders>
              <w:top w:val="single" w:sz="18"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12.09</w:t>
            </w:r>
          </w:p>
        </w:tc>
        <w:tc>
          <w:tcPr>
            <w:tcW w:w="0" w:type="auto"/>
            <w:tcBorders>
              <w:top w:val="single" w:sz="18"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19.35</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19.29</w:t>
            </w:r>
          </w:p>
        </w:tc>
        <w:tc>
          <w:tcPr>
            <w:tcW w:w="0" w:type="auto"/>
            <w:tcBorders>
              <w:top w:val="single" w:sz="18"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18.96</w:t>
            </w:r>
          </w:p>
        </w:tc>
      </w:tr>
      <w:tr w:rsidR="00DA449C" w:rsidTr="00DD63D4">
        <w:trPr>
          <w:jc w:val="center"/>
        </w:trPr>
        <w:tc>
          <w:tcPr>
            <w:tcW w:w="0" w:type="auto"/>
            <w:vMerge/>
            <w:tcBorders>
              <w:top w:val="single" w:sz="18" w:space="0" w:color="auto"/>
              <w:left w:val="single" w:sz="4" w:space="0" w:color="auto"/>
              <w:bottom w:val="single" w:sz="4" w:space="0" w:color="auto"/>
              <w:right w:val="double" w:sz="12" w:space="0" w:color="auto"/>
            </w:tcBorders>
            <w:vAlign w:val="center"/>
            <w:hideMark/>
          </w:tcPr>
          <w:p w:rsidR="00DA449C" w:rsidRDefault="00DA449C" w:rsidP="00C141EA">
            <w:pPr>
              <w:rPr>
                <w:sz w:val="22"/>
                <w:szCs w:val="22"/>
                <w:lang w:val="en-GB"/>
              </w:rPr>
            </w:pPr>
          </w:p>
        </w:tc>
        <w:tc>
          <w:tcPr>
            <w:tcW w:w="0" w:type="auto"/>
            <w:tcBorders>
              <w:top w:val="single" w:sz="4" w:space="0" w:color="auto"/>
              <w:left w:val="double" w:sz="12" w:space="0" w:color="auto"/>
              <w:bottom w:val="single" w:sz="4" w:space="0" w:color="auto"/>
              <w:right w:val="double" w:sz="4" w:space="0" w:color="auto"/>
            </w:tcBorders>
            <w:hideMark/>
          </w:tcPr>
          <w:p w:rsidR="00DA449C" w:rsidRDefault="00DA449C" w:rsidP="00C141EA">
            <w:pPr>
              <w:spacing w:after="200" w:line="276" w:lineRule="auto"/>
              <w:rPr>
                <w:sz w:val="22"/>
                <w:szCs w:val="22"/>
                <w:lang w:val="en-GB"/>
              </w:rPr>
            </w:pPr>
            <w:proofErr w:type="spellStart"/>
            <w:r>
              <w:rPr>
                <w:lang w:val="en-GB"/>
              </w:rPr>
              <w:t>σ</w:t>
            </w:r>
            <w:r>
              <w:rPr>
                <w:vertAlign w:val="subscript"/>
                <w:lang w:val="en-GB"/>
              </w:rPr>
              <w:t>denoised</w:t>
            </w:r>
            <w:proofErr w:type="spellEnd"/>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2.566</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2.510</w:t>
            </w:r>
          </w:p>
        </w:tc>
        <w:tc>
          <w:tcPr>
            <w:tcW w:w="0" w:type="auto"/>
            <w:tcBorders>
              <w:top w:val="single" w:sz="4" w:space="0" w:color="auto"/>
              <w:left w:val="single" w:sz="4" w:space="0" w:color="auto"/>
              <w:bottom w:val="single" w:sz="4" w:space="0" w:color="auto"/>
              <w:right w:val="double" w:sz="4" w:space="0" w:color="auto"/>
            </w:tcBorders>
            <w:vAlign w:val="center"/>
            <w:hideMark/>
          </w:tcPr>
          <w:p w:rsidR="00DA449C" w:rsidRDefault="00DA449C" w:rsidP="00C141EA">
            <w:pPr>
              <w:spacing w:after="200" w:line="276" w:lineRule="auto"/>
              <w:jc w:val="center"/>
              <w:rPr>
                <w:sz w:val="22"/>
                <w:szCs w:val="22"/>
                <w:lang w:val="en-GB"/>
              </w:rPr>
            </w:pPr>
            <w:r>
              <w:rPr>
                <w:lang w:val="en-GB"/>
              </w:rPr>
              <w:t>2.821</w:t>
            </w:r>
          </w:p>
        </w:tc>
        <w:tc>
          <w:tcPr>
            <w:tcW w:w="0" w:type="auto"/>
            <w:tcBorders>
              <w:top w:val="single" w:sz="4" w:space="0" w:color="auto"/>
              <w:left w:val="doub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3.572</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C141EA">
            <w:pPr>
              <w:spacing w:after="200" w:line="276" w:lineRule="auto"/>
              <w:jc w:val="center"/>
              <w:rPr>
                <w:sz w:val="22"/>
                <w:szCs w:val="22"/>
                <w:lang w:val="en-GB"/>
              </w:rPr>
            </w:pPr>
            <w:r>
              <w:rPr>
                <w:lang w:val="en-GB"/>
              </w:rPr>
              <w:t>3.304</w:t>
            </w:r>
          </w:p>
        </w:tc>
        <w:tc>
          <w:tcPr>
            <w:tcW w:w="0" w:type="auto"/>
            <w:tcBorders>
              <w:top w:val="single" w:sz="4" w:space="0" w:color="auto"/>
              <w:left w:val="single" w:sz="4" w:space="0" w:color="auto"/>
              <w:bottom w:val="single" w:sz="4" w:space="0" w:color="auto"/>
              <w:right w:val="single" w:sz="4" w:space="0" w:color="auto"/>
            </w:tcBorders>
            <w:vAlign w:val="center"/>
            <w:hideMark/>
          </w:tcPr>
          <w:p w:rsidR="00DA449C" w:rsidRDefault="00DA449C" w:rsidP="008B4BE8">
            <w:pPr>
              <w:keepNext/>
              <w:spacing w:after="200" w:line="276" w:lineRule="auto"/>
              <w:jc w:val="center"/>
              <w:rPr>
                <w:sz w:val="22"/>
                <w:szCs w:val="22"/>
                <w:lang w:val="en-GB"/>
              </w:rPr>
            </w:pPr>
            <w:r>
              <w:rPr>
                <w:lang w:val="en-GB"/>
              </w:rPr>
              <w:t>3.141</w:t>
            </w:r>
          </w:p>
        </w:tc>
      </w:tr>
    </w:tbl>
    <w:p w:rsidR="00DA449C" w:rsidRDefault="008B4BE8" w:rsidP="008B4BE8">
      <w:pPr>
        <w:pStyle w:val="Caption"/>
        <w:jc w:val="center"/>
      </w:pPr>
      <w:bookmarkStart w:id="1" w:name="_Ref345341040"/>
      <w:r>
        <w:t xml:space="preserve">Table </w:t>
      </w:r>
      <w:fldSimple w:instr=" SEQ Table \* ARABIC ">
        <w:r>
          <w:rPr>
            <w:noProof/>
          </w:rPr>
          <w:t>2</w:t>
        </w:r>
      </w:fldSimple>
      <w:bookmarkEnd w:id="1"/>
      <w:r>
        <w:t xml:space="preserve"> - Statistical information on tree distances</w:t>
      </w:r>
    </w:p>
    <w:p w:rsidR="008B4BE8" w:rsidRDefault="008B4BE8" w:rsidP="008B4BE8">
      <w:pPr>
        <w:ind w:firstLine="720"/>
        <w:rPr>
          <w:lang w:val="en-GB"/>
        </w:rPr>
      </w:pPr>
      <w:r>
        <w:rPr>
          <w:lang w:val="en-GB"/>
        </w:rPr>
        <w:t xml:space="preserve">The variable </w:t>
      </w:r>
      <w:proofErr w:type="spellStart"/>
      <w:r>
        <w:rPr>
          <w:lang w:val="en-GB"/>
        </w:rPr>
        <w:t>D_noisy</w:t>
      </w:r>
      <w:proofErr w:type="spellEnd"/>
      <w:r>
        <w:rPr>
          <w:lang w:val="en-GB"/>
        </w:rPr>
        <w:t xml:space="preserve"> represents the distance of the noisy tree and the reference tree, </w:t>
      </w:r>
      <w:proofErr w:type="spellStart"/>
      <w:r>
        <w:rPr>
          <w:lang w:val="en-GB"/>
        </w:rPr>
        <w:t>D_denoised</w:t>
      </w:r>
      <w:proofErr w:type="spellEnd"/>
      <w:r>
        <w:rPr>
          <w:lang w:val="en-GB"/>
        </w:rPr>
        <w:t xml:space="preserve"> the distance between the </w:t>
      </w:r>
      <w:proofErr w:type="gramStart"/>
      <w:r>
        <w:rPr>
          <w:lang w:val="en-GB"/>
        </w:rPr>
        <w:t>tree</w:t>
      </w:r>
      <w:proofErr w:type="gramEnd"/>
      <w:r>
        <w:rPr>
          <w:lang w:val="en-GB"/>
        </w:rPr>
        <w:t xml:space="preserve"> inferred from the noise reduced alignment and the reference tree, while D represents the difference </w:t>
      </w:r>
      <w:proofErr w:type="spellStart"/>
      <w:r>
        <w:rPr>
          <w:lang w:val="en-GB"/>
        </w:rPr>
        <w:t>D_noisy</w:t>
      </w:r>
      <w:proofErr w:type="spellEnd"/>
      <w:r>
        <w:rPr>
          <w:lang w:val="en-GB"/>
        </w:rPr>
        <w:t xml:space="preserve"> – </w:t>
      </w:r>
      <w:proofErr w:type="spellStart"/>
      <w:r>
        <w:rPr>
          <w:lang w:val="en-GB"/>
        </w:rPr>
        <w:t>D_denoised</w:t>
      </w:r>
      <w:proofErr w:type="spellEnd"/>
      <w:r>
        <w:rPr>
          <w:lang w:val="en-GB"/>
        </w:rPr>
        <w:t>.</w:t>
      </w:r>
    </w:p>
    <w:p w:rsidR="008B4BE8" w:rsidRDefault="008B4BE8" w:rsidP="008B4BE8">
      <w:pPr>
        <w:ind w:firstLine="720"/>
        <w:rPr>
          <w:lang w:val="en-GB"/>
        </w:rPr>
      </w:pPr>
      <w:r>
        <w:rPr>
          <w:lang w:val="en-GB"/>
        </w:rPr>
        <w:t xml:space="preserve">It is perhaps more interesting to look at the relative improvement of performing noise reduction. This is presented in </w:t>
      </w:r>
      <w:r>
        <w:rPr>
          <w:lang w:val="en-GB"/>
        </w:rPr>
        <w:fldChar w:fldCharType="begin"/>
      </w:r>
      <w:r>
        <w:rPr>
          <w:lang w:val="en-GB"/>
        </w:rPr>
        <w:instrText xml:space="preserve"> REF _Ref345341566 \h </w:instrText>
      </w:r>
      <w:r>
        <w:rPr>
          <w:lang w:val="en-GB"/>
        </w:rPr>
      </w:r>
      <w:r>
        <w:rPr>
          <w:lang w:val="en-GB"/>
        </w:rPr>
        <w:fldChar w:fldCharType="separate"/>
      </w:r>
      <w:r>
        <w:t xml:space="preserve">Table </w:t>
      </w:r>
      <w:r>
        <w:rPr>
          <w:noProof/>
        </w:rPr>
        <w:t>3</w:t>
      </w:r>
      <w:r>
        <w:rPr>
          <w:lang w:val="en-GB"/>
        </w:rPr>
        <w:fldChar w:fldCharType="end"/>
      </w:r>
      <w:r>
        <w:rPr>
          <w:lang w:val="en-GB"/>
        </w:rPr>
        <w:t xml:space="preserve"> and is calculated as the ratio between </w:t>
      </w:r>
      <w:proofErr w:type="spellStart"/>
      <w:r>
        <w:rPr>
          <w:lang w:val="en-GB"/>
        </w:rPr>
        <w:t>μ</w:t>
      </w:r>
      <w:r>
        <w:rPr>
          <w:lang w:val="en-GB"/>
        </w:rPr>
        <w:softHyphen/>
      </w:r>
      <w:r>
        <w:rPr>
          <w:lang w:val="en-GB"/>
        </w:rPr>
        <w:softHyphen/>
      </w:r>
      <w:r>
        <w:rPr>
          <w:vertAlign w:val="subscript"/>
          <w:lang w:val="en-GB"/>
        </w:rPr>
        <w:t>D</w:t>
      </w:r>
      <w:proofErr w:type="spellEnd"/>
      <w:r>
        <w:rPr>
          <w:lang w:val="en-GB"/>
        </w:rPr>
        <w:t xml:space="preserve"> and </w:t>
      </w:r>
      <w:proofErr w:type="spellStart"/>
      <w:r>
        <w:rPr>
          <w:lang w:val="en-GB"/>
        </w:rPr>
        <w:t>μ</w:t>
      </w:r>
      <w:r>
        <w:rPr>
          <w:vertAlign w:val="subscript"/>
          <w:lang w:val="en-GB"/>
        </w:rPr>
        <w:t>noisy</w:t>
      </w:r>
      <w:proofErr w:type="spellEnd"/>
      <w:r>
        <w:rPr>
          <w:lang w:val="en-GB"/>
        </w:rPr>
        <w:t xml:space="preserve">. </w:t>
      </w:r>
    </w:p>
    <w:p w:rsidR="008B4BE8" w:rsidRDefault="008B4BE8" w:rsidP="008B4BE8">
      <w:pPr>
        <w:ind w:firstLine="720"/>
        <w:rPr>
          <w:lang w:val="en-GB"/>
        </w:rPr>
      </w:pPr>
    </w:p>
    <w:tbl>
      <w:tblPr>
        <w:tblStyle w:val="TableGrid"/>
        <w:tblW w:w="0" w:type="auto"/>
        <w:jc w:val="center"/>
        <w:tblInd w:w="0" w:type="dxa"/>
        <w:tblLook w:val="04A0"/>
      </w:tblPr>
      <w:tblGrid>
        <w:gridCol w:w="2021"/>
        <w:gridCol w:w="714"/>
        <w:gridCol w:w="714"/>
        <w:gridCol w:w="714"/>
        <w:gridCol w:w="815"/>
        <w:gridCol w:w="877"/>
        <w:gridCol w:w="877"/>
      </w:tblGrid>
      <w:tr w:rsidR="008B4BE8" w:rsidTr="008B4BE8">
        <w:trPr>
          <w:jc w:val="center"/>
        </w:trPr>
        <w:tc>
          <w:tcPr>
            <w:tcW w:w="0" w:type="auto"/>
            <w:tcBorders>
              <w:top w:val="single" w:sz="4" w:space="0" w:color="auto"/>
              <w:left w:val="single" w:sz="4" w:space="0" w:color="auto"/>
              <w:bottom w:val="single" w:sz="4" w:space="0" w:color="auto"/>
              <w:right w:val="double" w:sz="4" w:space="0" w:color="auto"/>
            </w:tcBorders>
            <w:hideMark/>
          </w:tcPr>
          <w:p w:rsidR="008B4BE8" w:rsidRDefault="008B4BE8" w:rsidP="00C141EA">
            <w:pPr>
              <w:rPr>
                <w:lang w:val="en-GB"/>
              </w:rPr>
            </w:pPr>
            <w:r>
              <w:rPr>
                <w:lang w:val="en-GB"/>
              </w:rPr>
              <w:lastRenderedPageBreak/>
              <w:t>Ref tree type:</w:t>
            </w:r>
          </w:p>
        </w:tc>
        <w:tc>
          <w:tcPr>
            <w:tcW w:w="0" w:type="auto"/>
            <w:gridSpan w:val="3"/>
            <w:tcBorders>
              <w:top w:val="single" w:sz="4" w:space="0" w:color="auto"/>
              <w:left w:val="double" w:sz="4" w:space="0" w:color="auto"/>
              <w:bottom w:val="single" w:sz="4" w:space="0" w:color="auto"/>
              <w:right w:val="single" w:sz="4" w:space="0" w:color="auto"/>
            </w:tcBorders>
            <w:vAlign w:val="center"/>
            <w:hideMark/>
          </w:tcPr>
          <w:p w:rsidR="008B4BE8" w:rsidRDefault="008B4BE8" w:rsidP="008B4BE8">
            <w:pPr>
              <w:jc w:val="center"/>
              <w:rPr>
                <w:lang w:val="en-GB"/>
              </w:rPr>
            </w:pPr>
            <w:r>
              <w:rPr>
                <w:lang w:val="en-GB"/>
              </w:rPr>
              <w:t>Symmetric</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B4BE8" w:rsidRDefault="008B4BE8" w:rsidP="008B4BE8">
            <w:pPr>
              <w:jc w:val="center"/>
              <w:rPr>
                <w:lang w:val="en-GB"/>
              </w:rPr>
            </w:pPr>
            <w:r>
              <w:rPr>
                <w:lang w:val="en-GB"/>
              </w:rPr>
              <w:t>Asymmetric</w:t>
            </w:r>
          </w:p>
        </w:tc>
      </w:tr>
      <w:tr w:rsidR="008B4BE8" w:rsidTr="008B4BE8">
        <w:trPr>
          <w:jc w:val="center"/>
        </w:trPr>
        <w:tc>
          <w:tcPr>
            <w:tcW w:w="0" w:type="auto"/>
            <w:tcBorders>
              <w:top w:val="single" w:sz="4" w:space="0" w:color="auto"/>
              <w:left w:val="single" w:sz="4" w:space="0" w:color="auto"/>
              <w:bottom w:val="double" w:sz="4" w:space="0" w:color="auto"/>
              <w:right w:val="double" w:sz="4" w:space="0" w:color="auto"/>
            </w:tcBorders>
            <w:hideMark/>
          </w:tcPr>
          <w:p w:rsidR="008B4BE8" w:rsidRDefault="008B4BE8" w:rsidP="00C141EA">
            <w:pPr>
              <w:spacing w:after="200" w:line="276" w:lineRule="auto"/>
              <w:rPr>
                <w:sz w:val="22"/>
                <w:szCs w:val="22"/>
                <w:lang w:val="en-GB"/>
              </w:rPr>
            </w:pPr>
            <w:r>
              <w:rPr>
                <w:lang w:val="en-GB"/>
              </w:rPr>
              <w:t>Mutation rate:</w:t>
            </w:r>
          </w:p>
        </w:tc>
        <w:tc>
          <w:tcPr>
            <w:tcW w:w="0" w:type="auto"/>
            <w:tcBorders>
              <w:top w:val="single" w:sz="4" w:space="0" w:color="auto"/>
              <w:left w:val="double" w:sz="4" w:space="0" w:color="auto"/>
              <w:bottom w:val="double" w:sz="4" w:space="0" w:color="auto"/>
              <w:right w:val="single" w:sz="4" w:space="0" w:color="auto"/>
            </w:tcBorders>
            <w:vAlign w:val="center"/>
            <w:hideMark/>
          </w:tcPr>
          <w:p w:rsidR="008B4BE8" w:rsidRDefault="008B4BE8" w:rsidP="008B4BE8">
            <w:pPr>
              <w:spacing w:after="200" w:line="276" w:lineRule="auto"/>
              <w:jc w:val="center"/>
              <w:rPr>
                <w:sz w:val="22"/>
                <w:szCs w:val="22"/>
                <w:lang w:val="en-GB"/>
              </w:rPr>
            </w:pPr>
            <w:r>
              <w:rPr>
                <w:lang w:val="en-GB"/>
              </w:rPr>
              <w:t>0.5</w:t>
            </w:r>
          </w:p>
        </w:tc>
        <w:tc>
          <w:tcPr>
            <w:tcW w:w="0" w:type="auto"/>
            <w:tcBorders>
              <w:top w:val="single" w:sz="4" w:space="0" w:color="auto"/>
              <w:left w:val="single" w:sz="4" w:space="0" w:color="auto"/>
              <w:bottom w:val="double" w:sz="4" w:space="0" w:color="auto"/>
              <w:right w:val="single" w:sz="4" w:space="0" w:color="auto"/>
            </w:tcBorders>
            <w:vAlign w:val="center"/>
            <w:hideMark/>
          </w:tcPr>
          <w:p w:rsidR="008B4BE8" w:rsidRDefault="008B4BE8" w:rsidP="008B4BE8">
            <w:pPr>
              <w:spacing w:after="200" w:line="276" w:lineRule="auto"/>
              <w:jc w:val="center"/>
              <w:rPr>
                <w:sz w:val="22"/>
                <w:szCs w:val="22"/>
                <w:lang w:val="en-GB"/>
              </w:rPr>
            </w:pPr>
            <w:r>
              <w:rPr>
                <w:lang w:val="en-GB"/>
              </w:rPr>
              <w:t>1.0</w:t>
            </w:r>
          </w:p>
        </w:tc>
        <w:tc>
          <w:tcPr>
            <w:tcW w:w="0" w:type="auto"/>
            <w:tcBorders>
              <w:top w:val="single" w:sz="4" w:space="0" w:color="auto"/>
              <w:left w:val="single" w:sz="4" w:space="0" w:color="auto"/>
              <w:bottom w:val="double" w:sz="4" w:space="0" w:color="auto"/>
              <w:right w:val="single" w:sz="4" w:space="0" w:color="auto"/>
            </w:tcBorders>
            <w:vAlign w:val="center"/>
            <w:hideMark/>
          </w:tcPr>
          <w:p w:rsidR="008B4BE8" w:rsidRDefault="008B4BE8" w:rsidP="008B4BE8">
            <w:pPr>
              <w:spacing w:after="200" w:line="276" w:lineRule="auto"/>
              <w:jc w:val="center"/>
              <w:rPr>
                <w:sz w:val="22"/>
                <w:szCs w:val="22"/>
                <w:lang w:val="en-GB"/>
              </w:rPr>
            </w:pPr>
            <w:r>
              <w:rPr>
                <w:lang w:val="en-GB"/>
              </w:rPr>
              <w:t>2.0</w:t>
            </w:r>
          </w:p>
        </w:tc>
        <w:tc>
          <w:tcPr>
            <w:tcW w:w="0" w:type="auto"/>
            <w:tcBorders>
              <w:top w:val="single" w:sz="4" w:space="0" w:color="auto"/>
              <w:left w:val="single" w:sz="4" w:space="0" w:color="auto"/>
              <w:bottom w:val="double" w:sz="4" w:space="0" w:color="auto"/>
              <w:right w:val="single" w:sz="4" w:space="0" w:color="auto"/>
            </w:tcBorders>
            <w:vAlign w:val="center"/>
            <w:hideMark/>
          </w:tcPr>
          <w:p w:rsidR="008B4BE8" w:rsidRDefault="008B4BE8" w:rsidP="008B4BE8">
            <w:pPr>
              <w:spacing w:after="200" w:line="276" w:lineRule="auto"/>
              <w:jc w:val="center"/>
              <w:rPr>
                <w:sz w:val="22"/>
                <w:szCs w:val="22"/>
                <w:lang w:val="en-GB"/>
              </w:rPr>
            </w:pPr>
            <w:r>
              <w:rPr>
                <w:lang w:val="en-GB"/>
              </w:rPr>
              <w:t>0.5</w:t>
            </w:r>
          </w:p>
        </w:tc>
        <w:tc>
          <w:tcPr>
            <w:tcW w:w="0" w:type="auto"/>
            <w:tcBorders>
              <w:top w:val="single" w:sz="4" w:space="0" w:color="auto"/>
              <w:left w:val="single" w:sz="4" w:space="0" w:color="auto"/>
              <w:bottom w:val="double" w:sz="4" w:space="0" w:color="auto"/>
              <w:right w:val="single" w:sz="4" w:space="0" w:color="auto"/>
            </w:tcBorders>
            <w:vAlign w:val="center"/>
            <w:hideMark/>
          </w:tcPr>
          <w:p w:rsidR="008B4BE8" w:rsidRDefault="008B4BE8" w:rsidP="008B4BE8">
            <w:pPr>
              <w:spacing w:after="200" w:line="276" w:lineRule="auto"/>
              <w:jc w:val="center"/>
              <w:rPr>
                <w:sz w:val="22"/>
                <w:szCs w:val="22"/>
                <w:lang w:val="en-GB"/>
              </w:rPr>
            </w:pPr>
            <w:r>
              <w:rPr>
                <w:lang w:val="en-GB"/>
              </w:rPr>
              <w:t>1.0</w:t>
            </w:r>
          </w:p>
        </w:tc>
        <w:tc>
          <w:tcPr>
            <w:tcW w:w="0" w:type="auto"/>
            <w:tcBorders>
              <w:top w:val="single" w:sz="4" w:space="0" w:color="auto"/>
              <w:left w:val="single" w:sz="4" w:space="0" w:color="auto"/>
              <w:bottom w:val="double" w:sz="4" w:space="0" w:color="auto"/>
              <w:right w:val="single" w:sz="4" w:space="0" w:color="auto"/>
            </w:tcBorders>
            <w:vAlign w:val="center"/>
            <w:hideMark/>
          </w:tcPr>
          <w:p w:rsidR="008B4BE8" w:rsidRPr="008B4BE8" w:rsidRDefault="008B4BE8" w:rsidP="008B4BE8">
            <w:pPr>
              <w:spacing w:after="200" w:line="276" w:lineRule="auto"/>
              <w:jc w:val="center"/>
              <w:rPr>
                <w:lang w:val="en-GB"/>
              </w:rPr>
            </w:pPr>
            <w:r w:rsidRPr="008B4BE8">
              <w:rPr>
                <w:lang w:val="en-GB"/>
              </w:rPr>
              <w:t>2.0</w:t>
            </w:r>
          </w:p>
        </w:tc>
      </w:tr>
      <w:tr w:rsidR="008B4BE8" w:rsidTr="008B4BE8">
        <w:trPr>
          <w:jc w:val="center"/>
        </w:trPr>
        <w:tc>
          <w:tcPr>
            <w:tcW w:w="0" w:type="auto"/>
            <w:tcBorders>
              <w:top w:val="double" w:sz="4" w:space="0" w:color="auto"/>
              <w:left w:val="single" w:sz="4" w:space="0" w:color="auto"/>
              <w:bottom w:val="single" w:sz="4" w:space="0" w:color="auto"/>
              <w:right w:val="double" w:sz="4" w:space="0" w:color="auto"/>
            </w:tcBorders>
            <w:hideMark/>
          </w:tcPr>
          <w:p w:rsidR="008B4BE8" w:rsidRDefault="008B4BE8" w:rsidP="00C141EA">
            <w:pPr>
              <w:spacing w:after="200" w:line="276" w:lineRule="auto"/>
              <w:rPr>
                <w:sz w:val="22"/>
                <w:szCs w:val="22"/>
                <w:lang w:val="en-GB"/>
              </w:rPr>
            </w:pPr>
            <w:r>
              <w:rPr>
                <w:lang w:val="en-GB"/>
              </w:rPr>
              <w:t>Relative improvement</w:t>
            </w:r>
          </w:p>
        </w:tc>
        <w:tc>
          <w:tcPr>
            <w:tcW w:w="0" w:type="auto"/>
            <w:tcBorders>
              <w:top w:val="double" w:sz="4" w:space="0" w:color="auto"/>
              <w:left w:val="double" w:sz="4" w:space="0" w:color="auto"/>
              <w:bottom w:val="single" w:sz="4" w:space="0" w:color="auto"/>
              <w:right w:val="single" w:sz="4" w:space="0" w:color="auto"/>
            </w:tcBorders>
            <w:vAlign w:val="bottom"/>
            <w:hideMark/>
          </w:tcPr>
          <w:p w:rsidR="008B4BE8" w:rsidRDefault="008B4BE8" w:rsidP="00C141EA">
            <w:pPr>
              <w:spacing w:after="200" w:line="276" w:lineRule="auto"/>
              <w:jc w:val="right"/>
              <w:rPr>
                <w:rFonts w:ascii="Calibri" w:hAnsi="Calibri"/>
                <w:color w:val="000000"/>
                <w:sz w:val="22"/>
                <w:szCs w:val="22"/>
              </w:rPr>
            </w:pPr>
            <w:r>
              <w:rPr>
                <w:rFonts w:ascii="Calibri" w:hAnsi="Calibri"/>
                <w:color w:val="000000"/>
              </w:rPr>
              <w:t>1.83%</w:t>
            </w:r>
          </w:p>
        </w:tc>
        <w:tc>
          <w:tcPr>
            <w:tcW w:w="0" w:type="auto"/>
            <w:tcBorders>
              <w:top w:val="double" w:sz="4" w:space="0" w:color="auto"/>
              <w:left w:val="single" w:sz="4" w:space="0" w:color="auto"/>
              <w:bottom w:val="single" w:sz="4" w:space="0" w:color="auto"/>
              <w:right w:val="single" w:sz="4" w:space="0" w:color="auto"/>
            </w:tcBorders>
            <w:vAlign w:val="bottom"/>
            <w:hideMark/>
          </w:tcPr>
          <w:p w:rsidR="008B4BE8" w:rsidRDefault="008B4BE8" w:rsidP="00C141EA">
            <w:pPr>
              <w:spacing w:after="200" w:line="276" w:lineRule="auto"/>
              <w:jc w:val="right"/>
              <w:rPr>
                <w:rFonts w:ascii="Calibri" w:hAnsi="Calibri"/>
                <w:color w:val="000000"/>
                <w:sz w:val="22"/>
                <w:szCs w:val="22"/>
              </w:rPr>
            </w:pPr>
            <w:r>
              <w:rPr>
                <w:rFonts w:ascii="Calibri" w:hAnsi="Calibri"/>
                <w:color w:val="000000"/>
              </w:rPr>
              <w:t>1.07%</w:t>
            </w:r>
          </w:p>
        </w:tc>
        <w:tc>
          <w:tcPr>
            <w:tcW w:w="0" w:type="auto"/>
            <w:tcBorders>
              <w:top w:val="double" w:sz="4" w:space="0" w:color="auto"/>
              <w:left w:val="single" w:sz="4" w:space="0" w:color="auto"/>
              <w:bottom w:val="single" w:sz="4" w:space="0" w:color="auto"/>
              <w:right w:val="single" w:sz="4" w:space="0" w:color="auto"/>
            </w:tcBorders>
            <w:vAlign w:val="bottom"/>
            <w:hideMark/>
          </w:tcPr>
          <w:p w:rsidR="008B4BE8" w:rsidRDefault="008B4BE8" w:rsidP="00C141EA">
            <w:pPr>
              <w:spacing w:after="200" w:line="276" w:lineRule="auto"/>
              <w:jc w:val="right"/>
              <w:rPr>
                <w:rFonts w:ascii="Calibri" w:hAnsi="Calibri"/>
                <w:color w:val="000000"/>
                <w:sz w:val="22"/>
                <w:szCs w:val="22"/>
              </w:rPr>
            </w:pPr>
            <w:r>
              <w:rPr>
                <w:rFonts w:ascii="Calibri" w:hAnsi="Calibri"/>
                <w:color w:val="000000"/>
              </w:rPr>
              <w:t>2.05%</w:t>
            </w:r>
          </w:p>
        </w:tc>
        <w:tc>
          <w:tcPr>
            <w:tcW w:w="0" w:type="auto"/>
            <w:tcBorders>
              <w:top w:val="double" w:sz="4" w:space="0" w:color="auto"/>
              <w:left w:val="single" w:sz="4" w:space="0" w:color="auto"/>
              <w:bottom w:val="single" w:sz="4" w:space="0" w:color="auto"/>
              <w:right w:val="single" w:sz="4" w:space="0" w:color="auto"/>
            </w:tcBorders>
            <w:vAlign w:val="bottom"/>
            <w:hideMark/>
          </w:tcPr>
          <w:p w:rsidR="008B4BE8" w:rsidRDefault="008B4BE8" w:rsidP="00C141EA">
            <w:pPr>
              <w:spacing w:after="200" w:line="276" w:lineRule="auto"/>
              <w:jc w:val="right"/>
              <w:rPr>
                <w:rFonts w:ascii="Calibri" w:hAnsi="Calibri"/>
                <w:color w:val="000000"/>
                <w:sz w:val="22"/>
                <w:szCs w:val="22"/>
              </w:rPr>
            </w:pPr>
            <w:r>
              <w:rPr>
                <w:rFonts w:ascii="Calibri" w:hAnsi="Calibri"/>
                <w:color w:val="000000"/>
              </w:rPr>
              <w:t>0.138%</w:t>
            </w:r>
          </w:p>
        </w:tc>
        <w:tc>
          <w:tcPr>
            <w:tcW w:w="0" w:type="auto"/>
            <w:tcBorders>
              <w:top w:val="double" w:sz="4" w:space="0" w:color="auto"/>
              <w:left w:val="single" w:sz="4" w:space="0" w:color="auto"/>
              <w:bottom w:val="single" w:sz="4" w:space="0" w:color="auto"/>
              <w:right w:val="single" w:sz="4" w:space="0" w:color="auto"/>
            </w:tcBorders>
            <w:vAlign w:val="bottom"/>
            <w:hideMark/>
          </w:tcPr>
          <w:p w:rsidR="008B4BE8" w:rsidRDefault="008B4BE8" w:rsidP="00C141EA">
            <w:pPr>
              <w:spacing w:after="200" w:line="276" w:lineRule="auto"/>
              <w:jc w:val="right"/>
              <w:rPr>
                <w:rFonts w:ascii="Calibri" w:hAnsi="Calibri"/>
                <w:color w:val="000000"/>
                <w:sz w:val="22"/>
                <w:szCs w:val="22"/>
              </w:rPr>
            </w:pPr>
            <w:r>
              <w:rPr>
                <w:rFonts w:ascii="Calibri" w:hAnsi="Calibri"/>
                <w:color w:val="000000"/>
              </w:rPr>
              <w:t>-0.190%</w:t>
            </w:r>
          </w:p>
        </w:tc>
        <w:tc>
          <w:tcPr>
            <w:tcW w:w="0" w:type="auto"/>
            <w:tcBorders>
              <w:top w:val="double" w:sz="4" w:space="0" w:color="auto"/>
              <w:left w:val="single" w:sz="4" w:space="0" w:color="auto"/>
              <w:bottom w:val="single" w:sz="4" w:space="0" w:color="auto"/>
              <w:right w:val="single" w:sz="4" w:space="0" w:color="auto"/>
            </w:tcBorders>
            <w:vAlign w:val="bottom"/>
            <w:hideMark/>
          </w:tcPr>
          <w:p w:rsidR="008B4BE8" w:rsidRDefault="008B4BE8" w:rsidP="008B4BE8">
            <w:pPr>
              <w:keepNext/>
              <w:spacing w:after="200" w:line="276" w:lineRule="auto"/>
              <w:jc w:val="right"/>
              <w:rPr>
                <w:rFonts w:ascii="Calibri" w:hAnsi="Calibri"/>
                <w:color w:val="000000"/>
                <w:sz w:val="22"/>
                <w:szCs w:val="22"/>
              </w:rPr>
            </w:pPr>
            <w:r>
              <w:rPr>
                <w:rFonts w:ascii="Calibri" w:hAnsi="Calibri"/>
                <w:color w:val="000000"/>
              </w:rPr>
              <w:t>-0.388%</w:t>
            </w:r>
          </w:p>
        </w:tc>
      </w:tr>
    </w:tbl>
    <w:p w:rsidR="008B4BE8" w:rsidRDefault="008B4BE8" w:rsidP="008B4BE8">
      <w:pPr>
        <w:pStyle w:val="Caption"/>
        <w:jc w:val="center"/>
      </w:pPr>
      <w:bookmarkStart w:id="2" w:name="_Ref345341566"/>
      <w:r>
        <w:t xml:space="preserve">Table </w:t>
      </w:r>
      <w:fldSimple w:instr=" SEQ Table \* ARABIC ">
        <w:r>
          <w:rPr>
            <w:noProof/>
          </w:rPr>
          <w:t>3</w:t>
        </w:r>
      </w:fldSimple>
      <w:bookmarkEnd w:id="2"/>
      <w:r>
        <w:t xml:space="preserve"> - Relative improvement obtained from performing noise reduction</w:t>
      </w:r>
    </w:p>
    <w:p w:rsidR="008B4BE8" w:rsidRPr="008B4BE8" w:rsidRDefault="008B4BE8" w:rsidP="008B4BE8">
      <w:r>
        <w:tab/>
        <w:t xml:space="preserve">As can </w:t>
      </w:r>
      <w:r w:rsidR="00287B55">
        <w:t xml:space="preserve">be seen, even in cases which were shown significant, the largest increase is 2.05%, thus reinforcing the conclusion that noise reduction is not worthwhile. </w:t>
      </w:r>
    </w:p>
    <w:p w:rsidR="00CD57FA" w:rsidRDefault="00CD57FA" w:rsidP="00CD57FA">
      <w:pPr>
        <w:pStyle w:val="Heading1"/>
      </w:pPr>
      <w:r>
        <w:t>Discussion</w:t>
      </w:r>
    </w:p>
    <w:p w:rsidR="00E606B2" w:rsidRDefault="00CD57FA" w:rsidP="00CD57FA">
      <w:r>
        <w:tab/>
      </w:r>
      <w:r w:rsidR="00287B55">
        <w:t xml:space="preserve">An experiment was performed on six data sets to evaluate whether performing noise reduction on protein </w:t>
      </w:r>
      <w:proofErr w:type="spellStart"/>
      <w:r w:rsidR="00287B55">
        <w:t>mutlialignments</w:t>
      </w:r>
      <w:proofErr w:type="spellEnd"/>
      <w:r w:rsidR="00287B55">
        <w:t xml:space="preserve"> is a worthwhile effort. </w:t>
      </w:r>
      <w:r w:rsidR="006B5F4D">
        <w:t>The p</w:t>
      </w:r>
      <w:r w:rsidR="00287B55">
        <w:t>erformance measure used was how closely the inferred tree</w:t>
      </w:r>
      <w:r w:rsidR="00E606B2">
        <w:t xml:space="preserve"> from the noise reduced alignment</w:t>
      </w:r>
      <w:r w:rsidR="00287B55">
        <w:t xml:space="preserve"> resemble</w:t>
      </w:r>
      <w:r w:rsidR="001F65A3">
        <w:t>s</w:t>
      </w:r>
      <w:r w:rsidR="00287B55">
        <w:t xml:space="preserve"> the reference tree when compared to the case before noise reduction. Out of six datasets, </w:t>
      </w:r>
      <w:r w:rsidR="00E606B2">
        <w:t xml:space="preserve">only two showed a statistically significant improvement, while one showed a worse result. Even for the two significant cases, the largest relative improvement was 2.05%, thus leading to the conclusion that noise reduction might not be worthwhile. </w:t>
      </w:r>
    </w:p>
    <w:p w:rsidR="00E606B2" w:rsidRDefault="00E606B2" w:rsidP="00E606B2">
      <w:pPr>
        <w:ind w:firstLine="720"/>
      </w:pPr>
      <w:r>
        <w:t>To compare the inferred trees to the reference tree, a Robinson-</w:t>
      </w:r>
      <w:proofErr w:type="spellStart"/>
      <w:r>
        <w:t>Foulds</w:t>
      </w:r>
      <w:proofErr w:type="spellEnd"/>
      <w:r>
        <w:t xml:space="preserve"> metric was used. One could also compare the number of times an inferred tree is equal to the reference tree</w:t>
      </w:r>
      <w:r w:rsidR="001F65A3">
        <w:t>. H</w:t>
      </w:r>
      <w:r>
        <w:t xml:space="preserve">owever, in most cases the two trees are different from the reference tree, but one of those trees might still resemble the reference tree more closely, so a tree comparison metric is needed. </w:t>
      </w:r>
    </w:p>
    <w:p w:rsidR="00E606B2" w:rsidRDefault="00E606B2" w:rsidP="00E606B2">
      <w:pPr>
        <w:ind w:firstLine="720"/>
      </w:pPr>
      <w:r>
        <w:t>Further investigation could be done with different distance metrics, to see whether the results would be the same. It could also be worth to compare how individual noise reducti</w:t>
      </w:r>
      <w:r w:rsidR="004350C4">
        <w:t xml:space="preserve">on rules affect the performance. Perhaps some of the rules are better left out. </w:t>
      </w:r>
    </w:p>
    <w:p w:rsidR="004350C4" w:rsidRDefault="004350C4" w:rsidP="004350C4">
      <w:pPr>
        <w:pStyle w:val="Heading1"/>
      </w:pPr>
      <w:r>
        <w:t>Materials and Methods</w:t>
      </w:r>
    </w:p>
    <w:p w:rsidR="004350C4" w:rsidRDefault="004350C4" w:rsidP="004350C4">
      <w:r>
        <w:tab/>
        <w:t xml:space="preserve">The generated data consists of protein </w:t>
      </w:r>
      <w:proofErr w:type="spellStart"/>
      <w:r>
        <w:t>multialignments</w:t>
      </w:r>
      <w:proofErr w:type="spellEnd"/>
      <w:r>
        <w:t xml:space="preserve"> generated by the program </w:t>
      </w:r>
      <w:r w:rsidRPr="004350C4">
        <w:rPr>
          <w:rFonts w:ascii="Courier New" w:hAnsi="Courier New" w:cs="Courier New"/>
        </w:rPr>
        <w:t>muscle</w:t>
      </w:r>
      <w:r>
        <w:t xml:space="preserve"> on sequences obtained by artificial evolution along the reference tree. For each such </w:t>
      </w:r>
      <w:proofErr w:type="spellStart"/>
      <w:r>
        <w:t>multialignment</w:t>
      </w:r>
      <w:proofErr w:type="spellEnd"/>
      <w:r>
        <w:t xml:space="preserve">, another alignment was created by removing “bad” columns. The following rules were used to identify noisy columns: </w:t>
      </w:r>
    </w:p>
    <w:p w:rsidR="004350C4" w:rsidRDefault="004350C4" w:rsidP="004350C4">
      <w:pPr>
        <w:pStyle w:val="ListParagraph"/>
        <w:numPr>
          <w:ilvl w:val="0"/>
          <w:numId w:val="1"/>
        </w:numPr>
      </w:pPr>
      <w:r>
        <w:t xml:space="preserve">the column contains more than 50% </w:t>
      </w:r>
      <w:proofErr w:type="spellStart"/>
      <w:r>
        <w:t>indels</w:t>
      </w:r>
      <w:proofErr w:type="spellEnd"/>
    </w:p>
    <w:p w:rsidR="004350C4" w:rsidRDefault="004350C4" w:rsidP="004350C4">
      <w:pPr>
        <w:pStyle w:val="ListParagraph"/>
        <w:numPr>
          <w:ilvl w:val="0"/>
          <w:numId w:val="1"/>
        </w:numPr>
      </w:pPr>
      <w:r>
        <w:t>at least 50% amino acids are unique</w:t>
      </w:r>
    </w:p>
    <w:p w:rsidR="004350C4" w:rsidRDefault="004350C4" w:rsidP="004350C4">
      <w:pPr>
        <w:pStyle w:val="ListParagraph"/>
        <w:numPr>
          <w:ilvl w:val="0"/>
          <w:numId w:val="1"/>
        </w:numPr>
      </w:pPr>
      <w:r>
        <w:t>no amino acid appears more than twice</w:t>
      </w:r>
    </w:p>
    <w:p w:rsidR="004350C4" w:rsidRDefault="004350C4" w:rsidP="004350C4">
      <w:pPr>
        <w:ind w:firstLine="720"/>
      </w:pPr>
      <w:r>
        <w:t xml:space="preserve">To </w:t>
      </w:r>
      <w:r w:rsidR="0066623E">
        <w:t xml:space="preserve">calculate the distance matrix from an alignment, the Jones-Taylor-Thornton substitution model was used, as implemented by the </w:t>
      </w:r>
      <w:proofErr w:type="spellStart"/>
      <w:r w:rsidR="0066623E" w:rsidRPr="0066623E">
        <w:rPr>
          <w:rFonts w:ascii="Courier New" w:hAnsi="Courier New" w:cs="Courier New"/>
        </w:rPr>
        <w:t>phylip</w:t>
      </w:r>
      <w:proofErr w:type="spellEnd"/>
      <w:r w:rsidR="0066623E">
        <w:t xml:space="preserve"> program </w:t>
      </w:r>
      <w:proofErr w:type="spellStart"/>
      <w:r w:rsidR="0066623E" w:rsidRPr="0066623E">
        <w:rPr>
          <w:rFonts w:ascii="Courier New" w:hAnsi="Courier New" w:cs="Courier New"/>
        </w:rPr>
        <w:t>protdist</w:t>
      </w:r>
      <w:proofErr w:type="spellEnd"/>
      <w:r w:rsidR="0066623E">
        <w:t xml:space="preserve">. From the distance matrix, a tree was inferred using the neighbor-joining algorithm, as implemented by the </w:t>
      </w:r>
      <w:proofErr w:type="spellStart"/>
      <w:r w:rsidR="0066623E" w:rsidRPr="0066623E">
        <w:rPr>
          <w:rFonts w:ascii="Courier New" w:hAnsi="Courier New" w:cs="Courier New"/>
        </w:rPr>
        <w:t>phylip</w:t>
      </w:r>
      <w:proofErr w:type="spellEnd"/>
      <w:r w:rsidR="0066623E">
        <w:t xml:space="preserve"> program </w:t>
      </w:r>
      <w:r w:rsidR="0066623E" w:rsidRPr="0066623E">
        <w:rPr>
          <w:rFonts w:ascii="Courier New" w:hAnsi="Courier New" w:cs="Courier New"/>
        </w:rPr>
        <w:t>neighbor</w:t>
      </w:r>
      <w:r w:rsidR="0066623E">
        <w:t>. The distance between the inferred tree and the reference tree was then calculated by using the Robinson-</w:t>
      </w:r>
      <w:proofErr w:type="spellStart"/>
      <w:r w:rsidR="0066623E">
        <w:t>Foulds</w:t>
      </w:r>
      <w:proofErr w:type="spellEnd"/>
      <w:r w:rsidR="0066623E">
        <w:t xml:space="preserve"> metric, as implemented by the </w:t>
      </w:r>
      <w:proofErr w:type="spellStart"/>
      <w:r w:rsidR="0066623E" w:rsidRPr="0066623E">
        <w:rPr>
          <w:rFonts w:ascii="Courier New" w:hAnsi="Courier New" w:cs="Courier New"/>
        </w:rPr>
        <w:t>DendroPy</w:t>
      </w:r>
      <w:r w:rsidR="0066623E">
        <w:t>’s</w:t>
      </w:r>
      <w:proofErr w:type="spellEnd"/>
      <w:r w:rsidR="0066623E">
        <w:t xml:space="preserve"> </w:t>
      </w:r>
      <w:proofErr w:type="spellStart"/>
      <w:r w:rsidR="0066623E" w:rsidRPr="0066623E">
        <w:rPr>
          <w:rFonts w:ascii="Courier New" w:hAnsi="Courier New" w:cs="Courier New"/>
        </w:rPr>
        <w:t>symmetric_difference</w:t>
      </w:r>
      <w:proofErr w:type="spellEnd"/>
      <w:r w:rsidR="0066623E">
        <w:t xml:space="preserve"> method. </w:t>
      </w:r>
    </w:p>
    <w:p w:rsidR="0066623E" w:rsidRDefault="0066623E" w:rsidP="004350C4">
      <w:pPr>
        <w:ind w:firstLine="720"/>
      </w:pPr>
      <w:r>
        <w:lastRenderedPageBreak/>
        <w:t>This was done for each alignment in the data set, and a file was generated where every row co</w:t>
      </w:r>
      <w:r w:rsidR="00935D0A">
        <w:t xml:space="preserve">ntained the distance between the reference and the noisy tree, and the distance between the reference and the noise reduced tree. </w:t>
      </w:r>
    </w:p>
    <w:p w:rsidR="00750855" w:rsidRPr="004350C4" w:rsidRDefault="00750855" w:rsidP="004350C4">
      <w:pPr>
        <w:ind w:firstLine="720"/>
      </w:pPr>
      <w:r>
        <w:t xml:space="preserve">This data was then statistically analyzed. The </w:t>
      </w:r>
      <w:proofErr w:type="spellStart"/>
      <w:r>
        <w:t>Wilcoxon’s</w:t>
      </w:r>
      <w:proofErr w:type="spellEnd"/>
      <w:r>
        <w:t xml:space="preserve"> signed-rank test was used to evaluate significance of the improvement at the 5% level. The t-test showed identical results </w:t>
      </w:r>
      <w:r w:rsidR="001F65A3">
        <w:t>in</w:t>
      </w:r>
      <w:r>
        <w:t xml:space="preserve"> regard</w:t>
      </w:r>
      <w:r w:rsidR="00541C98">
        <w:t>s to significance; therefore testing the data for normality was avoided</w:t>
      </w:r>
      <w:r>
        <w:t xml:space="preserve">. </w:t>
      </w:r>
    </w:p>
    <w:p w:rsidR="004350C4" w:rsidRPr="00CD57FA" w:rsidRDefault="004350C4" w:rsidP="00E606B2">
      <w:pPr>
        <w:ind w:firstLine="720"/>
      </w:pPr>
    </w:p>
    <w:p w:rsidR="00FA65FA" w:rsidRPr="0013031C" w:rsidRDefault="00FA65FA" w:rsidP="0013031C"/>
    <w:sectPr w:rsidR="00FA65FA" w:rsidRPr="0013031C" w:rsidSect="00F47D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46C0A"/>
    <w:multiLevelType w:val="hybridMultilevel"/>
    <w:tmpl w:val="EF3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77E46"/>
    <w:rsid w:val="0013031C"/>
    <w:rsid w:val="001E6706"/>
    <w:rsid w:val="001F65A3"/>
    <w:rsid w:val="00224F7A"/>
    <w:rsid w:val="00272B16"/>
    <w:rsid w:val="00287B55"/>
    <w:rsid w:val="00342215"/>
    <w:rsid w:val="004350C4"/>
    <w:rsid w:val="00500F11"/>
    <w:rsid w:val="00541C98"/>
    <w:rsid w:val="00586B57"/>
    <w:rsid w:val="0066623E"/>
    <w:rsid w:val="00677E46"/>
    <w:rsid w:val="006B5F4D"/>
    <w:rsid w:val="00750855"/>
    <w:rsid w:val="00755E63"/>
    <w:rsid w:val="007F3430"/>
    <w:rsid w:val="0086429F"/>
    <w:rsid w:val="008B4BE8"/>
    <w:rsid w:val="008D3605"/>
    <w:rsid w:val="00910AEF"/>
    <w:rsid w:val="00935D0A"/>
    <w:rsid w:val="00CD57FA"/>
    <w:rsid w:val="00D14396"/>
    <w:rsid w:val="00DA449C"/>
    <w:rsid w:val="00DD63D4"/>
    <w:rsid w:val="00E606B2"/>
    <w:rsid w:val="00F04C43"/>
    <w:rsid w:val="00F47DE9"/>
    <w:rsid w:val="00FA65FA"/>
    <w:rsid w:val="00FE1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E9"/>
  </w:style>
  <w:style w:type="paragraph" w:styleId="Heading1">
    <w:name w:val="heading 1"/>
    <w:basedOn w:val="Normal"/>
    <w:next w:val="Normal"/>
    <w:link w:val="Heading1Char"/>
    <w:uiPriority w:val="9"/>
    <w:qFormat/>
    <w:rsid w:val="00677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E46"/>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77E46"/>
    <w:rPr>
      <w:i/>
      <w:iCs/>
    </w:rPr>
  </w:style>
  <w:style w:type="character" w:customStyle="1" w:styleId="Heading1Char">
    <w:name w:val="Heading 1 Char"/>
    <w:basedOn w:val="DefaultParagraphFont"/>
    <w:link w:val="Heading1"/>
    <w:uiPriority w:val="9"/>
    <w:rsid w:val="00677E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109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3605"/>
    <w:pPr>
      <w:spacing w:line="240" w:lineRule="auto"/>
    </w:pPr>
    <w:rPr>
      <w:b/>
      <w:bCs/>
      <w:color w:val="4F81BD" w:themeColor="accent1"/>
      <w:sz w:val="18"/>
      <w:szCs w:val="18"/>
    </w:rPr>
  </w:style>
  <w:style w:type="paragraph" w:styleId="ListParagraph">
    <w:name w:val="List Paragraph"/>
    <w:basedOn w:val="Normal"/>
    <w:uiPriority w:val="34"/>
    <w:qFormat/>
    <w:rsid w:val="004350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5315988-562A-48FE-8B2B-CFE396AA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T-Hrvatski Telekom</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2013-01-07T12:40:00Z</dcterms:created>
  <dcterms:modified xsi:type="dcterms:W3CDTF">2013-01-07T17:17:00Z</dcterms:modified>
</cp:coreProperties>
</file>