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1002261"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3845A2"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259763" w:history="1">
        <w:r w:rsidR="003845A2" w:rsidRPr="00727AD1">
          <w:rPr>
            <w:rStyle w:val="Hyperlink"/>
            <w:noProof/>
          </w:rPr>
          <w:t>1.</w:t>
        </w:r>
        <w:r w:rsidR="003845A2">
          <w:rPr>
            <w:rFonts w:asciiTheme="minorHAnsi" w:eastAsiaTheme="minorEastAsia" w:hAnsiTheme="minorHAnsi" w:cstheme="minorBidi"/>
            <w:noProof/>
            <w:sz w:val="22"/>
            <w:szCs w:val="22"/>
            <w:lang w:val="en-GB" w:eastAsia="en-GB"/>
          </w:rPr>
          <w:tab/>
        </w:r>
        <w:r w:rsidR="003845A2" w:rsidRPr="00727AD1">
          <w:rPr>
            <w:rStyle w:val="Hyperlink"/>
            <w:noProof/>
          </w:rPr>
          <w:t>Uvod</w:t>
        </w:r>
        <w:r w:rsidR="003845A2">
          <w:rPr>
            <w:noProof/>
            <w:webHidden/>
          </w:rPr>
          <w:tab/>
        </w:r>
        <w:r w:rsidR="003845A2">
          <w:rPr>
            <w:noProof/>
            <w:webHidden/>
          </w:rPr>
          <w:fldChar w:fldCharType="begin"/>
        </w:r>
        <w:r w:rsidR="003845A2">
          <w:rPr>
            <w:noProof/>
            <w:webHidden/>
          </w:rPr>
          <w:instrText xml:space="preserve"> PAGEREF _Toc517259763 \h </w:instrText>
        </w:r>
        <w:r w:rsidR="003845A2">
          <w:rPr>
            <w:noProof/>
            <w:webHidden/>
          </w:rPr>
        </w:r>
        <w:r w:rsidR="003845A2">
          <w:rPr>
            <w:noProof/>
            <w:webHidden/>
          </w:rPr>
          <w:fldChar w:fldCharType="separate"/>
        </w:r>
        <w:r w:rsidR="003845A2">
          <w:rPr>
            <w:noProof/>
            <w:webHidden/>
          </w:rPr>
          <w:t>1</w:t>
        </w:r>
        <w:r w:rsidR="003845A2">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64" w:history="1">
        <w:r w:rsidRPr="00727AD1">
          <w:rPr>
            <w:rStyle w:val="Hyperlink"/>
            <w:noProof/>
          </w:rPr>
          <w:t>2.</w:t>
        </w:r>
        <w:r>
          <w:rPr>
            <w:rFonts w:asciiTheme="minorHAnsi" w:eastAsiaTheme="minorEastAsia" w:hAnsiTheme="minorHAnsi" w:cstheme="minorBidi"/>
            <w:noProof/>
            <w:sz w:val="22"/>
            <w:szCs w:val="22"/>
            <w:lang w:val="en-GB" w:eastAsia="en-GB"/>
          </w:rPr>
          <w:tab/>
        </w:r>
        <w:r w:rsidRPr="00727AD1">
          <w:rPr>
            <w:rStyle w:val="Hyperlink"/>
            <w:noProof/>
          </w:rPr>
          <w:t>Teorijske osnove</w:t>
        </w:r>
        <w:r>
          <w:rPr>
            <w:noProof/>
            <w:webHidden/>
          </w:rPr>
          <w:tab/>
        </w:r>
        <w:r>
          <w:rPr>
            <w:noProof/>
            <w:webHidden/>
          </w:rPr>
          <w:fldChar w:fldCharType="begin"/>
        </w:r>
        <w:r>
          <w:rPr>
            <w:noProof/>
            <w:webHidden/>
          </w:rPr>
          <w:instrText xml:space="preserve"> PAGEREF _Toc517259764 \h </w:instrText>
        </w:r>
        <w:r>
          <w:rPr>
            <w:noProof/>
            <w:webHidden/>
          </w:rPr>
        </w:r>
        <w:r>
          <w:rPr>
            <w:noProof/>
            <w:webHidden/>
          </w:rPr>
          <w:fldChar w:fldCharType="separate"/>
        </w:r>
        <w:r>
          <w:rPr>
            <w:noProof/>
            <w:webHidden/>
          </w:rPr>
          <w:t>3</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5" w:history="1">
        <w:r w:rsidRPr="00727AD1">
          <w:rPr>
            <w:rStyle w:val="Hyperlink"/>
            <w:noProof/>
            <w:lang w:val="sr-Latn-RS"/>
          </w:rPr>
          <w:t>2.1</w:t>
        </w:r>
        <w:r>
          <w:rPr>
            <w:rFonts w:asciiTheme="minorHAnsi" w:eastAsiaTheme="minorEastAsia" w:hAnsiTheme="minorHAnsi" w:cstheme="minorBidi"/>
            <w:noProof/>
            <w:sz w:val="22"/>
            <w:szCs w:val="22"/>
            <w:lang w:val="en-GB" w:eastAsia="en-GB"/>
          </w:rPr>
          <w:tab/>
        </w:r>
        <w:r w:rsidRPr="00727AD1">
          <w:rPr>
            <w:rStyle w:val="Hyperlink"/>
            <w:noProof/>
            <w:lang w:val="sr-Latn-RS"/>
          </w:rPr>
          <w:t>zFAS razvojna ploča</w:t>
        </w:r>
        <w:r>
          <w:rPr>
            <w:noProof/>
            <w:webHidden/>
          </w:rPr>
          <w:tab/>
        </w:r>
        <w:r>
          <w:rPr>
            <w:noProof/>
            <w:webHidden/>
          </w:rPr>
          <w:fldChar w:fldCharType="begin"/>
        </w:r>
        <w:r>
          <w:rPr>
            <w:noProof/>
            <w:webHidden/>
          </w:rPr>
          <w:instrText xml:space="preserve"> PAGEREF _Toc517259765 \h </w:instrText>
        </w:r>
        <w:r>
          <w:rPr>
            <w:noProof/>
            <w:webHidden/>
          </w:rPr>
        </w:r>
        <w:r>
          <w:rPr>
            <w:noProof/>
            <w:webHidden/>
          </w:rPr>
          <w:fldChar w:fldCharType="separate"/>
        </w:r>
        <w:r>
          <w:rPr>
            <w:noProof/>
            <w:webHidden/>
          </w:rPr>
          <w:t>3</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6" w:history="1">
        <w:r w:rsidRPr="00727AD1">
          <w:rPr>
            <w:rStyle w:val="Hyperlink"/>
            <w:noProof/>
            <w:lang w:val="sr-Latn-RS"/>
          </w:rPr>
          <w:t>2.2</w:t>
        </w:r>
        <w:r>
          <w:rPr>
            <w:rFonts w:asciiTheme="minorHAnsi" w:eastAsiaTheme="minorEastAsia" w:hAnsiTheme="minorHAnsi" w:cstheme="minorBidi"/>
            <w:noProof/>
            <w:sz w:val="22"/>
            <w:szCs w:val="22"/>
            <w:lang w:val="en-GB" w:eastAsia="en-GB"/>
          </w:rPr>
          <w:tab/>
        </w:r>
        <w:r w:rsidRPr="00727AD1">
          <w:rPr>
            <w:rStyle w:val="Hyperlink"/>
            <w:noProof/>
            <w:lang w:val="sr-Latn-RS"/>
          </w:rPr>
          <w:t>BroadR-Reach interfejs</w:t>
        </w:r>
        <w:r>
          <w:rPr>
            <w:noProof/>
            <w:webHidden/>
          </w:rPr>
          <w:tab/>
        </w:r>
        <w:r>
          <w:rPr>
            <w:noProof/>
            <w:webHidden/>
          </w:rPr>
          <w:fldChar w:fldCharType="begin"/>
        </w:r>
        <w:r>
          <w:rPr>
            <w:noProof/>
            <w:webHidden/>
          </w:rPr>
          <w:instrText xml:space="preserve"> PAGEREF _Toc517259766 \h </w:instrText>
        </w:r>
        <w:r>
          <w:rPr>
            <w:noProof/>
            <w:webHidden/>
          </w:rPr>
        </w:r>
        <w:r>
          <w:rPr>
            <w:noProof/>
            <w:webHidden/>
          </w:rPr>
          <w:fldChar w:fldCharType="separate"/>
        </w:r>
        <w:r>
          <w:rPr>
            <w:noProof/>
            <w:webHidden/>
          </w:rPr>
          <w:t>3</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67" w:history="1">
        <w:r w:rsidRPr="00727AD1">
          <w:rPr>
            <w:rStyle w:val="Hyperlink"/>
            <w:noProof/>
            <w:lang w:val="sr-Latn-RS"/>
          </w:rPr>
          <w:t>2.3</w:t>
        </w:r>
        <w:r>
          <w:rPr>
            <w:rFonts w:asciiTheme="minorHAnsi" w:eastAsiaTheme="minorEastAsia" w:hAnsiTheme="minorHAnsi" w:cstheme="minorBidi"/>
            <w:noProof/>
            <w:sz w:val="22"/>
            <w:szCs w:val="22"/>
            <w:lang w:val="en-GB" w:eastAsia="en-GB"/>
          </w:rPr>
          <w:tab/>
        </w:r>
        <w:r w:rsidRPr="00727AD1">
          <w:rPr>
            <w:rStyle w:val="Hyperlink"/>
            <w:noProof/>
            <w:lang w:val="sr-Latn-RS"/>
          </w:rPr>
          <w:t>TCP protokol</w:t>
        </w:r>
        <w:r>
          <w:rPr>
            <w:noProof/>
            <w:webHidden/>
          </w:rPr>
          <w:tab/>
        </w:r>
        <w:r>
          <w:rPr>
            <w:noProof/>
            <w:webHidden/>
          </w:rPr>
          <w:fldChar w:fldCharType="begin"/>
        </w:r>
        <w:r>
          <w:rPr>
            <w:noProof/>
            <w:webHidden/>
          </w:rPr>
          <w:instrText xml:space="preserve"> PAGEREF _Toc517259767 \h </w:instrText>
        </w:r>
        <w:r>
          <w:rPr>
            <w:noProof/>
            <w:webHidden/>
          </w:rPr>
        </w:r>
        <w:r>
          <w:rPr>
            <w:noProof/>
            <w:webHidden/>
          </w:rPr>
          <w:fldChar w:fldCharType="separate"/>
        </w:r>
        <w:r>
          <w:rPr>
            <w:noProof/>
            <w:webHidden/>
          </w:rPr>
          <w:t>4</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68" w:history="1">
        <w:r w:rsidRPr="00727AD1">
          <w:rPr>
            <w:rStyle w:val="Hyperlink"/>
            <w:noProof/>
            <w:lang w:val="sr-Latn-RS"/>
          </w:rPr>
          <w:t>2.3.1</w:t>
        </w:r>
        <w:r>
          <w:rPr>
            <w:rFonts w:asciiTheme="minorHAnsi" w:eastAsiaTheme="minorEastAsia" w:hAnsiTheme="minorHAnsi" w:cstheme="minorBidi"/>
            <w:noProof/>
            <w:sz w:val="22"/>
            <w:szCs w:val="22"/>
            <w:lang w:val="en-GB" w:eastAsia="en-GB"/>
          </w:rPr>
          <w:tab/>
        </w:r>
        <w:r w:rsidRPr="00727AD1">
          <w:rPr>
            <w:rStyle w:val="Hyperlink"/>
            <w:noProof/>
          </w:rPr>
          <w:t>Uspostavljanje</w:t>
        </w:r>
        <w:r w:rsidRPr="00727AD1">
          <w:rPr>
            <w:rStyle w:val="Hyperlink"/>
            <w:noProof/>
            <w:lang w:val="sr-Cyrl-RS"/>
          </w:rPr>
          <w:t xml:space="preserve"> </w:t>
        </w:r>
        <w:r w:rsidRPr="00727AD1">
          <w:rPr>
            <w:rStyle w:val="Hyperlink"/>
            <w:noProof/>
            <w:lang w:val="sr-Latn-RS"/>
          </w:rPr>
          <w:t>veze</w:t>
        </w:r>
        <w:r>
          <w:rPr>
            <w:noProof/>
            <w:webHidden/>
          </w:rPr>
          <w:tab/>
        </w:r>
        <w:r>
          <w:rPr>
            <w:noProof/>
            <w:webHidden/>
          </w:rPr>
          <w:fldChar w:fldCharType="begin"/>
        </w:r>
        <w:r>
          <w:rPr>
            <w:noProof/>
            <w:webHidden/>
          </w:rPr>
          <w:instrText xml:space="preserve"> PAGEREF _Toc517259768 \h </w:instrText>
        </w:r>
        <w:r>
          <w:rPr>
            <w:noProof/>
            <w:webHidden/>
          </w:rPr>
        </w:r>
        <w:r>
          <w:rPr>
            <w:noProof/>
            <w:webHidden/>
          </w:rPr>
          <w:fldChar w:fldCharType="separate"/>
        </w:r>
        <w:r>
          <w:rPr>
            <w:noProof/>
            <w:webHidden/>
          </w:rPr>
          <w:t>7</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69" w:history="1">
        <w:r w:rsidRPr="00727AD1">
          <w:rPr>
            <w:rStyle w:val="Hyperlink"/>
            <w:noProof/>
            <w:lang w:val="sr-Latn-RS"/>
          </w:rPr>
          <w:t>2.3.2</w:t>
        </w:r>
        <w:r>
          <w:rPr>
            <w:rFonts w:asciiTheme="minorHAnsi" w:eastAsiaTheme="minorEastAsia" w:hAnsiTheme="minorHAnsi" w:cstheme="minorBidi"/>
            <w:noProof/>
            <w:sz w:val="22"/>
            <w:szCs w:val="22"/>
            <w:lang w:val="en-GB" w:eastAsia="en-GB"/>
          </w:rPr>
          <w:tab/>
        </w:r>
        <w:r w:rsidRPr="00727AD1">
          <w:rPr>
            <w:rStyle w:val="Hyperlink"/>
            <w:noProof/>
            <w:lang w:val="sr-Latn-RS"/>
          </w:rPr>
          <w:t>Prekid veze</w:t>
        </w:r>
        <w:r>
          <w:rPr>
            <w:noProof/>
            <w:webHidden/>
          </w:rPr>
          <w:tab/>
        </w:r>
        <w:r>
          <w:rPr>
            <w:noProof/>
            <w:webHidden/>
          </w:rPr>
          <w:fldChar w:fldCharType="begin"/>
        </w:r>
        <w:r>
          <w:rPr>
            <w:noProof/>
            <w:webHidden/>
          </w:rPr>
          <w:instrText xml:space="preserve"> PAGEREF _Toc517259769 \h </w:instrText>
        </w:r>
        <w:r>
          <w:rPr>
            <w:noProof/>
            <w:webHidden/>
          </w:rPr>
        </w:r>
        <w:r>
          <w:rPr>
            <w:noProof/>
            <w:webHidden/>
          </w:rPr>
          <w:fldChar w:fldCharType="separate"/>
        </w:r>
        <w:r>
          <w:rPr>
            <w:noProof/>
            <w:webHidden/>
          </w:rPr>
          <w:t>8</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70" w:history="1">
        <w:r w:rsidRPr="00727AD1">
          <w:rPr>
            <w:rStyle w:val="Hyperlink"/>
            <w:noProof/>
            <w:lang w:val="sr-Latn-RS"/>
          </w:rPr>
          <w:t>2.4</w:t>
        </w:r>
        <w:r>
          <w:rPr>
            <w:rFonts w:asciiTheme="minorHAnsi" w:eastAsiaTheme="minorEastAsia" w:hAnsiTheme="minorHAnsi" w:cstheme="minorBidi"/>
            <w:noProof/>
            <w:sz w:val="22"/>
            <w:szCs w:val="22"/>
            <w:lang w:val="en-GB" w:eastAsia="en-GB"/>
          </w:rPr>
          <w:tab/>
        </w:r>
        <w:r w:rsidRPr="00727AD1">
          <w:rPr>
            <w:rStyle w:val="Hyperlink"/>
            <w:noProof/>
            <w:lang w:val="sr-Latn-RS"/>
          </w:rPr>
          <w:t>IPv6 protokol</w:t>
        </w:r>
        <w:r>
          <w:rPr>
            <w:noProof/>
            <w:webHidden/>
          </w:rPr>
          <w:tab/>
        </w:r>
        <w:r>
          <w:rPr>
            <w:noProof/>
            <w:webHidden/>
          </w:rPr>
          <w:fldChar w:fldCharType="begin"/>
        </w:r>
        <w:r>
          <w:rPr>
            <w:noProof/>
            <w:webHidden/>
          </w:rPr>
          <w:instrText xml:space="preserve"> PAGEREF _Toc517259770 \h </w:instrText>
        </w:r>
        <w:r>
          <w:rPr>
            <w:noProof/>
            <w:webHidden/>
          </w:rPr>
        </w:r>
        <w:r>
          <w:rPr>
            <w:noProof/>
            <w:webHidden/>
          </w:rPr>
          <w:fldChar w:fldCharType="separate"/>
        </w:r>
        <w:r>
          <w:rPr>
            <w:noProof/>
            <w:webHidden/>
          </w:rPr>
          <w:t>8</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1" w:history="1">
        <w:r w:rsidRPr="00727AD1">
          <w:rPr>
            <w:rStyle w:val="Hyperlink"/>
            <w:noProof/>
            <w:lang w:val="sr-Latn-RS"/>
          </w:rPr>
          <w:t>2.4.1</w:t>
        </w:r>
        <w:r>
          <w:rPr>
            <w:rFonts w:asciiTheme="minorHAnsi" w:eastAsiaTheme="minorEastAsia" w:hAnsiTheme="minorHAnsi" w:cstheme="minorBidi"/>
            <w:noProof/>
            <w:sz w:val="22"/>
            <w:szCs w:val="22"/>
            <w:lang w:val="en-GB" w:eastAsia="en-GB"/>
          </w:rPr>
          <w:tab/>
        </w:r>
        <w:r w:rsidRPr="00727AD1">
          <w:rPr>
            <w:rStyle w:val="Hyperlink"/>
            <w:noProof/>
            <w:lang w:val="sr-Latn-RS"/>
          </w:rPr>
          <w:t>IPv6 adresa</w:t>
        </w:r>
        <w:r>
          <w:rPr>
            <w:noProof/>
            <w:webHidden/>
          </w:rPr>
          <w:tab/>
        </w:r>
        <w:r>
          <w:rPr>
            <w:noProof/>
            <w:webHidden/>
          </w:rPr>
          <w:fldChar w:fldCharType="begin"/>
        </w:r>
        <w:r>
          <w:rPr>
            <w:noProof/>
            <w:webHidden/>
          </w:rPr>
          <w:instrText xml:space="preserve"> PAGEREF _Toc517259771 \h </w:instrText>
        </w:r>
        <w:r>
          <w:rPr>
            <w:noProof/>
            <w:webHidden/>
          </w:rPr>
        </w:r>
        <w:r>
          <w:rPr>
            <w:noProof/>
            <w:webHidden/>
          </w:rPr>
          <w:fldChar w:fldCharType="separate"/>
        </w:r>
        <w:r>
          <w:rPr>
            <w:noProof/>
            <w:webHidden/>
          </w:rPr>
          <w:t>8</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2" w:history="1">
        <w:r w:rsidRPr="00727AD1">
          <w:rPr>
            <w:rStyle w:val="Hyperlink"/>
            <w:noProof/>
            <w:lang w:val="sr-Latn-RS"/>
          </w:rPr>
          <w:t>2.4.2</w:t>
        </w:r>
        <w:r>
          <w:rPr>
            <w:rFonts w:asciiTheme="minorHAnsi" w:eastAsiaTheme="minorEastAsia" w:hAnsiTheme="minorHAnsi" w:cstheme="minorBidi"/>
            <w:noProof/>
            <w:sz w:val="22"/>
            <w:szCs w:val="22"/>
            <w:lang w:val="en-GB" w:eastAsia="en-GB"/>
          </w:rPr>
          <w:tab/>
        </w:r>
        <w:r w:rsidRPr="00727AD1">
          <w:rPr>
            <w:rStyle w:val="Hyperlink"/>
            <w:noProof/>
            <w:lang w:val="sr-Latn-RS"/>
          </w:rPr>
          <w:t>Struktura IPv6 paketa</w:t>
        </w:r>
        <w:r>
          <w:rPr>
            <w:noProof/>
            <w:webHidden/>
          </w:rPr>
          <w:tab/>
        </w:r>
        <w:r>
          <w:rPr>
            <w:noProof/>
            <w:webHidden/>
          </w:rPr>
          <w:fldChar w:fldCharType="begin"/>
        </w:r>
        <w:r>
          <w:rPr>
            <w:noProof/>
            <w:webHidden/>
          </w:rPr>
          <w:instrText xml:space="preserve"> PAGEREF _Toc517259772 \h </w:instrText>
        </w:r>
        <w:r>
          <w:rPr>
            <w:noProof/>
            <w:webHidden/>
          </w:rPr>
        </w:r>
        <w:r>
          <w:rPr>
            <w:noProof/>
            <w:webHidden/>
          </w:rPr>
          <w:fldChar w:fldCharType="separate"/>
        </w:r>
        <w:r>
          <w:rPr>
            <w:noProof/>
            <w:webHidden/>
          </w:rPr>
          <w:t>9</w:t>
        </w:r>
        <w:r>
          <w:rPr>
            <w:noProof/>
            <w:webHidden/>
          </w:rPr>
          <w:fldChar w:fldCharType="end"/>
        </w:r>
      </w:hyperlink>
    </w:p>
    <w:p w:rsidR="003845A2" w:rsidRDefault="003845A2">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259773" w:history="1">
        <w:r w:rsidRPr="00727AD1">
          <w:rPr>
            <w:rStyle w:val="Hyperlink"/>
            <w:noProof/>
            <w:lang w:val="en-GB"/>
          </w:rPr>
          <w:t>2.5</w:t>
        </w:r>
        <w:r>
          <w:rPr>
            <w:rFonts w:asciiTheme="minorHAnsi" w:eastAsiaTheme="minorEastAsia" w:hAnsiTheme="minorHAnsi" w:cstheme="minorBidi"/>
            <w:noProof/>
            <w:sz w:val="22"/>
            <w:szCs w:val="22"/>
            <w:lang w:val="en-GB" w:eastAsia="en-GB"/>
          </w:rPr>
          <w:tab/>
        </w:r>
        <w:r w:rsidRPr="00727AD1">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_Toc517259773 \h </w:instrText>
        </w:r>
        <w:r>
          <w:rPr>
            <w:noProof/>
            <w:webHidden/>
          </w:rPr>
        </w:r>
        <w:r>
          <w:rPr>
            <w:noProof/>
            <w:webHidden/>
          </w:rPr>
          <w:fldChar w:fldCharType="separate"/>
        </w:r>
        <w:r>
          <w:rPr>
            <w:noProof/>
            <w:webHidden/>
          </w:rPr>
          <w:t>10</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4" w:history="1">
        <w:r w:rsidRPr="00727AD1">
          <w:rPr>
            <w:rStyle w:val="Hyperlink"/>
            <w:noProof/>
            <w:lang w:val="en-GB"/>
          </w:rPr>
          <w:t>2.5.1</w:t>
        </w:r>
        <w:r>
          <w:rPr>
            <w:rFonts w:asciiTheme="minorHAnsi" w:eastAsiaTheme="minorEastAsia" w:hAnsiTheme="minorHAnsi" w:cstheme="minorBidi"/>
            <w:noProof/>
            <w:sz w:val="22"/>
            <w:szCs w:val="22"/>
            <w:lang w:val="en-GB" w:eastAsia="en-GB"/>
          </w:rPr>
          <w:tab/>
        </w:r>
        <w:r w:rsidRPr="00727AD1">
          <w:rPr>
            <w:rStyle w:val="Hyperlink"/>
            <w:noProof/>
            <w:lang w:val="en-GB"/>
          </w:rPr>
          <w:t>Elementi enkripcije</w:t>
        </w:r>
        <w:r>
          <w:rPr>
            <w:noProof/>
            <w:webHidden/>
          </w:rPr>
          <w:tab/>
        </w:r>
        <w:r>
          <w:rPr>
            <w:noProof/>
            <w:webHidden/>
          </w:rPr>
          <w:fldChar w:fldCharType="begin"/>
        </w:r>
        <w:r>
          <w:rPr>
            <w:noProof/>
            <w:webHidden/>
          </w:rPr>
          <w:instrText xml:space="preserve"> PAGEREF _Toc517259774 \h </w:instrText>
        </w:r>
        <w:r>
          <w:rPr>
            <w:noProof/>
            <w:webHidden/>
          </w:rPr>
        </w:r>
        <w:r>
          <w:rPr>
            <w:noProof/>
            <w:webHidden/>
          </w:rPr>
          <w:fldChar w:fldCharType="separate"/>
        </w:r>
        <w:r>
          <w:rPr>
            <w:noProof/>
            <w:webHidden/>
          </w:rPr>
          <w:t>10</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5" w:history="1">
        <w:r w:rsidRPr="00727AD1">
          <w:rPr>
            <w:rStyle w:val="Hyperlink"/>
            <w:noProof/>
            <w:lang w:val="en-GB"/>
          </w:rPr>
          <w:t>2.5.2</w:t>
        </w:r>
        <w:r>
          <w:rPr>
            <w:rFonts w:asciiTheme="minorHAnsi" w:eastAsiaTheme="minorEastAsia" w:hAnsiTheme="minorHAnsi" w:cstheme="minorBidi"/>
            <w:noProof/>
            <w:sz w:val="22"/>
            <w:szCs w:val="22"/>
            <w:lang w:val="en-GB" w:eastAsia="en-GB"/>
          </w:rPr>
          <w:tab/>
        </w:r>
        <w:r w:rsidRPr="00727AD1">
          <w:rPr>
            <w:rStyle w:val="Hyperlink"/>
            <w:noProof/>
            <w:lang w:val="en-GB"/>
          </w:rPr>
          <w:t>Osobine RSA enkripcije</w:t>
        </w:r>
        <w:r>
          <w:rPr>
            <w:noProof/>
            <w:webHidden/>
          </w:rPr>
          <w:tab/>
        </w:r>
        <w:r>
          <w:rPr>
            <w:noProof/>
            <w:webHidden/>
          </w:rPr>
          <w:fldChar w:fldCharType="begin"/>
        </w:r>
        <w:r>
          <w:rPr>
            <w:noProof/>
            <w:webHidden/>
          </w:rPr>
          <w:instrText xml:space="preserve"> PAGEREF _Toc517259775 \h </w:instrText>
        </w:r>
        <w:r>
          <w:rPr>
            <w:noProof/>
            <w:webHidden/>
          </w:rPr>
        </w:r>
        <w:r>
          <w:rPr>
            <w:noProof/>
            <w:webHidden/>
          </w:rPr>
          <w:fldChar w:fldCharType="separate"/>
        </w:r>
        <w:r>
          <w:rPr>
            <w:noProof/>
            <w:webHidden/>
          </w:rPr>
          <w:t>11</w:t>
        </w:r>
        <w:r>
          <w:rPr>
            <w:noProof/>
            <w:webHidden/>
          </w:rPr>
          <w:fldChar w:fldCharType="end"/>
        </w:r>
      </w:hyperlink>
    </w:p>
    <w:p w:rsidR="003845A2" w:rsidRDefault="003845A2">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259776" w:history="1">
        <w:r w:rsidRPr="00727AD1">
          <w:rPr>
            <w:rStyle w:val="Hyperlink"/>
            <w:noProof/>
            <w:lang w:val="en-GB"/>
          </w:rPr>
          <w:t>2.5.3</w:t>
        </w:r>
        <w:r>
          <w:rPr>
            <w:rFonts w:asciiTheme="minorHAnsi" w:eastAsiaTheme="minorEastAsia" w:hAnsiTheme="minorHAnsi" w:cstheme="minorBidi"/>
            <w:noProof/>
            <w:sz w:val="22"/>
            <w:szCs w:val="22"/>
            <w:lang w:val="en-GB" w:eastAsia="en-GB"/>
          </w:rPr>
          <w:tab/>
        </w:r>
        <w:r w:rsidRPr="00727AD1">
          <w:rPr>
            <w:rStyle w:val="Hyperlink"/>
            <w:noProof/>
            <w:lang w:val="en-GB"/>
          </w:rPr>
          <w:t>Algoritam RSA enkripcije</w:t>
        </w:r>
        <w:r>
          <w:rPr>
            <w:noProof/>
            <w:webHidden/>
          </w:rPr>
          <w:tab/>
        </w:r>
        <w:r>
          <w:rPr>
            <w:noProof/>
            <w:webHidden/>
          </w:rPr>
          <w:fldChar w:fldCharType="begin"/>
        </w:r>
        <w:r>
          <w:rPr>
            <w:noProof/>
            <w:webHidden/>
          </w:rPr>
          <w:instrText xml:space="preserve"> PAGEREF _Toc517259776 \h </w:instrText>
        </w:r>
        <w:r>
          <w:rPr>
            <w:noProof/>
            <w:webHidden/>
          </w:rPr>
        </w:r>
        <w:r>
          <w:rPr>
            <w:noProof/>
            <w:webHidden/>
          </w:rPr>
          <w:fldChar w:fldCharType="separate"/>
        </w:r>
        <w:r>
          <w:rPr>
            <w:noProof/>
            <w:webHidden/>
          </w:rPr>
          <w:t>12</w:t>
        </w:r>
        <w:r>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77" w:history="1">
        <w:r w:rsidRPr="00727AD1">
          <w:rPr>
            <w:rStyle w:val="Hyperlink"/>
            <w:noProof/>
            <w:lang w:val="sr-Latn-RS"/>
          </w:rPr>
          <w:t>3.</w:t>
        </w:r>
        <w:r>
          <w:rPr>
            <w:rFonts w:asciiTheme="minorHAnsi" w:eastAsiaTheme="minorEastAsia" w:hAnsiTheme="minorHAnsi" w:cstheme="minorBidi"/>
            <w:noProof/>
            <w:sz w:val="22"/>
            <w:szCs w:val="22"/>
            <w:lang w:val="en-GB" w:eastAsia="en-GB"/>
          </w:rPr>
          <w:tab/>
        </w:r>
        <w:r w:rsidRPr="00727AD1">
          <w:rPr>
            <w:rStyle w:val="Hyperlink"/>
            <w:noProof/>
          </w:rPr>
          <w:t xml:space="preserve">Koncept </w:t>
        </w:r>
        <w:r w:rsidRPr="00727AD1">
          <w:rPr>
            <w:rStyle w:val="Hyperlink"/>
            <w:noProof/>
            <w:lang w:val="sr-Latn-RS"/>
          </w:rPr>
          <w:t>rešenja</w:t>
        </w:r>
        <w:r>
          <w:rPr>
            <w:noProof/>
            <w:webHidden/>
          </w:rPr>
          <w:tab/>
        </w:r>
        <w:r>
          <w:rPr>
            <w:noProof/>
            <w:webHidden/>
          </w:rPr>
          <w:fldChar w:fldCharType="begin"/>
        </w:r>
        <w:r>
          <w:rPr>
            <w:noProof/>
            <w:webHidden/>
          </w:rPr>
          <w:instrText xml:space="preserve"> PAGEREF _Toc517259777 \h </w:instrText>
        </w:r>
        <w:r>
          <w:rPr>
            <w:noProof/>
            <w:webHidden/>
          </w:rPr>
        </w:r>
        <w:r>
          <w:rPr>
            <w:noProof/>
            <w:webHidden/>
          </w:rPr>
          <w:fldChar w:fldCharType="separate"/>
        </w:r>
        <w:r>
          <w:rPr>
            <w:noProof/>
            <w:webHidden/>
          </w:rPr>
          <w:t>14</w:t>
        </w:r>
        <w:r>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78" w:history="1">
        <w:r w:rsidRPr="00727AD1">
          <w:rPr>
            <w:rStyle w:val="Hyperlink"/>
            <w:noProof/>
          </w:rPr>
          <w:t>4.</w:t>
        </w:r>
        <w:r>
          <w:rPr>
            <w:rFonts w:asciiTheme="minorHAnsi" w:eastAsiaTheme="minorEastAsia" w:hAnsiTheme="minorHAnsi" w:cstheme="minorBidi"/>
            <w:noProof/>
            <w:sz w:val="22"/>
            <w:szCs w:val="22"/>
            <w:lang w:val="en-GB" w:eastAsia="en-GB"/>
          </w:rPr>
          <w:tab/>
        </w:r>
        <w:r w:rsidRPr="00727AD1">
          <w:rPr>
            <w:rStyle w:val="Hyperlink"/>
            <w:noProof/>
          </w:rPr>
          <w:t>Programsko rešenje</w:t>
        </w:r>
        <w:r>
          <w:rPr>
            <w:noProof/>
            <w:webHidden/>
          </w:rPr>
          <w:tab/>
        </w:r>
        <w:r>
          <w:rPr>
            <w:noProof/>
            <w:webHidden/>
          </w:rPr>
          <w:fldChar w:fldCharType="begin"/>
        </w:r>
        <w:r>
          <w:rPr>
            <w:noProof/>
            <w:webHidden/>
          </w:rPr>
          <w:instrText xml:space="preserve"> PAGEREF _Toc517259778 \h </w:instrText>
        </w:r>
        <w:r>
          <w:rPr>
            <w:noProof/>
            <w:webHidden/>
          </w:rPr>
        </w:r>
        <w:r>
          <w:rPr>
            <w:noProof/>
            <w:webHidden/>
          </w:rPr>
          <w:fldChar w:fldCharType="separate"/>
        </w:r>
        <w:r>
          <w:rPr>
            <w:noProof/>
            <w:webHidden/>
          </w:rPr>
          <w:t>17</w:t>
        </w:r>
        <w:r>
          <w:rPr>
            <w:noProof/>
            <w:webHidden/>
          </w:rPr>
          <w:fldChar w:fldCharType="end"/>
        </w:r>
      </w:hyperlink>
    </w:p>
    <w:p w:rsidR="003845A2" w:rsidRDefault="003845A2">
      <w:pPr>
        <w:pStyle w:val="TOC1"/>
        <w:rPr>
          <w:rFonts w:asciiTheme="minorHAnsi" w:eastAsiaTheme="minorEastAsia" w:hAnsiTheme="minorHAnsi" w:cstheme="minorBidi"/>
          <w:noProof/>
          <w:sz w:val="22"/>
          <w:szCs w:val="22"/>
          <w:lang w:val="en-GB" w:eastAsia="en-GB"/>
        </w:rPr>
      </w:pPr>
      <w:hyperlink w:anchor="_Toc517259779" w:history="1">
        <w:r w:rsidRPr="00727AD1">
          <w:rPr>
            <w:rStyle w:val="Hyperlink"/>
            <w:noProof/>
          </w:rPr>
          <w:t>5.</w:t>
        </w:r>
        <w:r>
          <w:rPr>
            <w:rFonts w:asciiTheme="minorHAnsi" w:eastAsiaTheme="minorEastAsia" w:hAnsiTheme="minorHAnsi" w:cstheme="minorBidi"/>
            <w:noProof/>
            <w:sz w:val="22"/>
            <w:szCs w:val="22"/>
            <w:lang w:val="en-GB" w:eastAsia="en-GB"/>
          </w:rPr>
          <w:tab/>
        </w:r>
        <w:r w:rsidRPr="00727AD1">
          <w:rPr>
            <w:rStyle w:val="Hyperlink"/>
            <w:noProof/>
          </w:rPr>
          <w:t>Literatura</w:t>
        </w:r>
        <w:r>
          <w:rPr>
            <w:noProof/>
            <w:webHidden/>
          </w:rPr>
          <w:tab/>
        </w:r>
        <w:r>
          <w:rPr>
            <w:noProof/>
            <w:webHidden/>
          </w:rPr>
          <w:fldChar w:fldCharType="begin"/>
        </w:r>
        <w:r>
          <w:rPr>
            <w:noProof/>
            <w:webHidden/>
          </w:rPr>
          <w:instrText xml:space="preserve"> PAGEREF _Toc517259779 \h </w:instrText>
        </w:r>
        <w:r>
          <w:rPr>
            <w:noProof/>
            <w:webHidden/>
          </w:rPr>
        </w:r>
        <w:r>
          <w:rPr>
            <w:noProof/>
            <w:webHidden/>
          </w:rPr>
          <w:fldChar w:fldCharType="separate"/>
        </w:r>
        <w:r>
          <w:rPr>
            <w:noProof/>
            <w:webHidden/>
          </w:rPr>
          <w:t>18</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3845A2"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3845A2">
        <w:rPr>
          <w:noProof/>
        </w:rPr>
        <w:t xml:space="preserve">Slika 2.1 </w:t>
      </w:r>
      <w:r w:rsidR="003845A2" w:rsidRPr="00F53843">
        <w:rPr>
          <w:i/>
          <w:noProof/>
        </w:rPr>
        <w:t>BroadR-Reach</w:t>
      </w:r>
      <w:r w:rsidR="003845A2">
        <w:rPr>
          <w:noProof/>
        </w:rPr>
        <w:t xml:space="preserve"> interfejs</w:t>
      </w:r>
      <w:r w:rsidR="003845A2">
        <w:rPr>
          <w:noProof/>
        </w:rPr>
        <w:tab/>
      </w:r>
      <w:r w:rsidR="003845A2">
        <w:rPr>
          <w:noProof/>
        </w:rPr>
        <w:fldChar w:fldCharType="begin"/>
      </w:r>
      <w:r w:rsidR="003845A2">
        <w:rPr>
          <w:noProof/>
        </w:rPr>
        <w:instrText xml:space="preserve"> PAGEREF _Toc517259780 \h </w:instrText>
      </w:r>
      <w:r w:rsidR="003845A2">
        <w:rPr>
          <w:noProof/>
        </w:rPr>
      </w:r>
      <w:r w:rsidR="003845A2">
        <w:rPr>
          <w:noProof/>
        </w:rPr>
        <w:fldChar w:fldCharType="separate"/>
      </w:r>
      <w:r w:rsidR="003845A2">
        <w:rPr>
          <w:noProof/>
        </w:rPr>
        <w:t>3</w:t>
      </w:r>
      <w:r w:rsidR="003845A2">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_Toc517259781 \h </w:instrText>
      </w:r>
      <w:r>
        <w:rPr>
          <w:noProof/>
        </w:rPr>
      </w:r>
      <w:r>
        <w:rPr>
          <w:noProof/>
        </w:rPr>
        <w:fldChar w:fldCharType="separate"/>
      </w:r>
      <w:r>
        <w:rPr>
          <w:noProof/>
        </w:rPr>
        <w:t>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_Toc517259782 \h </w:instrText>
      </w:r>
      <w:r>
        <w:rPr>
          <w:noProof/>
        </w:rPr>
      </w:r>
      <w:r>
        <w:rPr>
          <w:noProof/>
        </w:rPr>
        <w:fldChar w:fldCharType="separate"/>
      </w:r>
      <w:r>
        <w:rPr>
          <w:noProof/>
        </w:rPr>
        <w:t>5</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F53843">
        <w:rPr>
          <w:i/>
          <w:noProof/>
        </w:rPr>
        <w:t>TCP</w:t>
      </w:r>
      <w:r>
        <w:rPr>
          <w:noProof/>
        </w:rPr>
        <w:t xml:space="preserve"> segmenta</w:t>
      </w:r>
      <w:r>
        <w:rPr>
          <w:noProof/>
        </w:rPr>
        <w:tab/>
      </w:r>
      <w:r>
        <w:rPr>
          <w:noProof/>
        </w:rPr>
        <w:fldChar w:fldCharType="begin"/>
      </w:r>
      <w:r>
        <w:rPr>
          <w:noProof/>
        </w:rPr>
        <w:instrText xml:space="preserve"> PAGEREF _Toc517259783 \h </w:instrText>
      </w:r>
      <w:r>
        <w:rPr>
          <w:noProof/>
        </w:rPr>
      </w:r>
      <w:r>
        <w:rPr>
          <w:noProof/>
        </w:rPr>
        <w:fldChar w:fldCharType="separate"/>
      </w:r>
      <w:r>
        <w:rPr>
          <w:noProof/>
        </w:rPr>
        <w:t>6</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F53843">
        <w:rPr>
          <w:i/>
          <w:noProof/>
        </w:rPr>
        <w:t>TCP</w:t>
      </w:r>
      <w:r>
        <w:rPr>
          <w:noProof/>
        </w:rPr>
        <w:t xml:space="preserve"> uspostava veze</w:t>
      </w:r>
      <w:r>
        <w:rPr>
          <w:noProof/>
        </w:rPr>
        <w:tab/>
      </w:r>
      <w:r>
        <w:rPr>
          <w:noProof/>
        </w:rPr>
        <w:fldChar w:fldCharType="begin"/>
      </w:r>
      <w:r>
        <w:rPr>
          <w:noProof/>
        </w:rPr>
        <w:instrText xml:space="preserve"> PAGEREF _Toc517259784 \h </w:instrText>
      </w:r>
      <w:r>
        <w:rPr>
          <w:noProof/>
        </w:rPr>
      </w:r>
      <w:r>
        <w:rPr>
          <w:noProof/>
        </w:rPr>
        <w:fldChar w:fldCharType="separate"/>
      </w:r>
      <w:r>
        <w:rPr>
          <w:noProof/>
        </w:rPr>
        <w:t>7</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F53843">
        <w:rPr>
          <w:i/>
          <w:noProof/>
        </w:rPr>
        <w:t>TCP</w:t>
      </w:r>
      <w:r>
        <w:rPr>
          <w:noProof/>
        </w:rPr>
        <w:t xml:space="preserve"> prekid veze</w:t>
      </w:r>
      <w:r>
        <w:rPr>
          <w:noProof/>
        </w:rPr>
        <w:tab/>
      </w:r>
      <w:r>
        <w:rPr>
          <w:noProof/>
        </w:rPr>
        <w:fldChar w:fldCharType="begin"/>
      </w:r>
      <w:r>
        <w:rPr>
          <w:noProof/>
        </w:rPr>
        <w:instrText xml:space="preserve"> PAGEREF _Toc517259785 \h </w:instrText>
      </w:r>
      <w:r>
        <w:rPr>
          <w:noProof/>
        </w:rPr>
      </w:r>
      <w:r>
        <w:rPr>
          <w:noProof/>
        </w:rPr>
        <w:fldChar w:fldCharType="separate"/>
      </w:r>
      <w:r>
        <w:rPr>
          <w:noProof/>
        </w:rPr>
        <w:t>8</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F53843">
        <w:rPr>
          <w:noProof/>
          <w:lang w:val="sr-Latn-RS"/>
        </w:rPr>
        <w:t xml:space="preserve">zgled </w:t>
      </w:r>
      <w:r w:rsidRPr="00F53843">
        <w:rPr>
          <w:i/>
          <w:noProof/>
        </w:rPr>
        <w:t>IPv6</w:t>
      </w:r>
      <w:r>
        <w:rPr>
          <w:noProof/>
        </w:rPr>
        <w:t xml:space="preserve"> paketa</w:t>
      </w:r>
      <w:r>
        <w:rPr>
          <w:noProof/>
        </w:rPr>
        <w:tab/>
      </w:r>
      <w:r>
        <w:rPr>
          <w:noProof/>
        </w:rPr>
        <w:fldChar w:fldCharType="begin"/>
      </w:r>
      <w:r>
        <w:rPr>
          <w:noProof/>
        </w:rPr>
        <w:instrText xml:space="preserve"> PAGEREF _Toc517259786 \h </w:instrText>
      </w:r>
      <w:r>
        <w:rPr>
          <w:noProof/>
        </w:rPr>
      </w:r>
      <w:r>
        <w:rPr>
          <w:noProof/>
        </w:rPr>
        <w:fldChar w:fldCharType="separate"/>
      </w:r>
      <w:r>
        <w:rPr>
          <w:noProof/>
        </w:rPr>
        <w:t>9</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F53843">
        <w:rPr>
          <w:i/>
          <w:noProof/>
        </w:rPr>
        <w:t>IPv6</w:t>
      </w:r>
      <w:r>
        <w:rPr>
          <w:noProof/>
        </w:rPr>
        <w:t xml:space="preserve"> paketa sa uključenim zaglavljima</w:t>
      </w:r>
      <w:r>
        <w:rPr>
          <w:noProof/>
        </w:rPr>
        <w:tab/>
      </w:r>
      <w:r>
        <w:rPr>
          <w:noProof/>
        </w:rPr>
        <w:fldChar w:fldCharType="begin"/>
      </w:r>
      <w:r>
        <w:rPr>
          <w:noProof/>
        </w:rPr>
        <w:instrText xml:space="preserve"> PAGEREF _Toc517259787 \h </w:instrText>
      </w:r>
      <w:r>
        <w:rPr>
          <w:noProof/>
        </w:rPr>
      </w:r>
      <w:r>
        <w:rPr>
          <w:noProof/>
        </w:rPr>
        <w:fldChar w:fldCharType="separate"/>
      </w:r>
      <w:r>
        <w:rPr>
          <w:noProof/>
        </w:rPr>
        <w:t>10</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F53843">
        <w:rPr>
          <w:i/>
          <w:noProof/>
        </w:rPr>
        <w:t>RSA</w:t>
      </w:r>
      <w:r>
        <w:rPr>
          <w:noProof/>
        </w:rPr>
        <w:t xml:space="preserve"> enkripcije i dekripcije</w:t>
      </w:r>
      <w:r>
        <w:rPr>
          <w:noProof/>
        </w:rPr>
        <w:tab/>
      </w:r>
      <w:r>
        <w:rPr>
          <w:noProof/>
        </w:rPr>
        <w:fldChar w:fldCharType="begin"/>
      </w:r>
      <w:r>
        <w:rPr>
          <w:noProof/>
        </w:rPr>
        <w:instrText xml:space="preserve"> PAGEREF _Toc517259788 \h </w:instrText>
      </w:r>
      <w:r>
        <w:rPr>
          <w:noProof/>
        </w:rPr>
      </w:r>
      <w:r>
        <w:rPr>
          <w:noProof/>
        </w:rPr>
        <w:fldChar w:fldCharType="separate"/>
      </w:r>
      <w:r>
        <w:rPr>
          <w:noProof/>
        </w:rPr>
        <w:t>12</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F53843">
        <w:rPr>
          <w:i/>
          <w:noProof/>
        </w:rPr>
        <w:t>Altera Cyclone</w:t>
      </w:r>
      <w:r>
        <w:rPr>
          <w:noProof/>
        </w:rPr>
        <w:t xml:space="preserve"> pete generacije</w:t>
      </w:r>
      <w:r>
        <w:rPr>
          <w:noProof/>
        </w:rPr>
        <w:tab/>
      </w:r>
      <w:r>
        <w:rPr>
          <w:noProof/>
        </w:rPr>
        <w:fldChar w:fldCharType="begin"/>
      </w:r>
      <w:r>
        <w:rPr>
          <w:noProof/>
        </w:rPr>
        <w:instrText xml:space="preserve"> PAGEREF _Toc517259789 \h </w:instrText>
      </w:r>
      <w:r>
        <w:rPr>
          <w:noProof/>
        </w:rPr>
      </w:r>
      <w:r>
        <w:rPr>
          <w:noProof/>
        </w:rPr>
        <w:fldChar w:fldCharType="separate"/>
      </w:r>
      <w:r>
        <w:rPr>
          <w:noProof/>
        </w:rPr>
        <w:t>14</w:t>
      </w:r>
      <w:r>
        <w:rPr>
          <w:noProof/>
        </w:rPr>
        <w:fldChar w:fldCharType="end"/>
      </w:r>
    </w:p>
    <w:p w:rsidR="003845A2" w:rsidRDefault="003845A2">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_Toc517259790 \h </w:instrText>
      </w:r>
      <w:r>
        <w:rPr>
          <w:noProof/>
        </w:rPr>
      </w:r>
      <w:r>
        <w:rPr>
          <w:noProof/>
        </w:rPr>
        <w:fldChar w:fldCharType="separate"/>
      </w:r>
      <w:r>
        <w:rPr>
          <w:noProof/>
        </w:rPr>
        <w:t>15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2597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lastRenderedPageBreak/>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2597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2597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2597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lastRenderedPageBreak/>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259780"/>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259781"/>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2</w:t>
      </w:r>
      <w:r w:rsidR="00762830">
        <w:fldChar w:fldCharType="end"/>
      </w:r>
      <w:r>
        <w:t xml:space="preserve"> </w:t>
      </w:r>
      <w:r>
        <w:rPr>
          <w:noProof/>
        </w:rPr>
        <w:t>Neobložene uprede parice</w:t>
      </w:r>
      <w:bookmarkEnd w:id="6"/>
    </w:p>
    <w:p w:rsidR="00501EAD" w:rsidRDefault="002E1FEB" w:rsidP="00501EAD">
      <w:pPr>
        <w:rPr>
          <w:lang w:val="sr-Latn-RS"/>
        </w:rPr>
      </w:pPr>
      <w:r>
        <w:rPr>
          <w:lang w:val="sr-Latn-RS"/>
        </w:rPr>
        <w:lastRenderedPageBreak/>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2597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259782"/>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3</w:t>
      </w:r>
      <w:r w:rsidR="0076283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lastRenderedPageBreak/>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259783"/>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4</w:t>
      </w:r>
      <w:r w:rsidR="0076283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lastRenderedPageBreak/>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2597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lastRenderedPageBreak/>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259784"/>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5</w:t>
      </w:r>
      <w:r w:rsidR="0076283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259769"/>
      <w:r>
        <w:rPr>
          <w:lang w:val="sr-Latn-RS"/>
        </w:rPr>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lastRenderedPageBreak/>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259785"/>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6</w:t>
      </w:r>
      <w:r w:rsidR="0076283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2597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2597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Adresa verzije 6 se piše kao osam četvorocifrenih heksadecimalnih 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2597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259786"/>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7</w:t>
      </w:r>
      <w:r w:rsidR="0076283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259787"/>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8</w:t>
      </w:r>
      <w:r w:rsidR="0076283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2597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259774"/>
      <w:r>
        <w:rPr>
          <w:lang w:val="en-GB"/>
        </w:rPr>
        <w:lastRenderedPageBreak/>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2597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259788"/>
      <w:r>
        <w:t xml:space="preserve">Slika </w:t>
      </w:r>
      <w:r w:rsidR="00762830">
        <w:fldChar w:fldCharType="begin"/>
      </w:r>
      <w:r w:rsidR="00762830">
        <w:instrText xml:space="preserve"> STYLEREF 1 \s </w:instrText>
      </w:r>
      <w:r w:rsidR="00762830">
        <w:fldChar w:fldCharType="separate"/>
      </w:r>
      <w:r w:rsidR="00762830">
        <w:rPr>
          <w:noProof/>
        </w:rPr>
        <w:t>2</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9</w:t>
      </w:r>
      <w:r w:rsidR="0076283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2597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lastRenderedPageBreak/>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0"/>
          <w:pgSz w:w="11907" w:h="16840" w:code="9"/>
          <w:pgMar w:top="1134" w:right="851" w:bottom="1134" w:left="1701" w:header="567" w:footer="567" w:gutter="0"/>
          <w:cols w:space="720"/>
        </w:sectPr>
      </w:pPr>
    </w:p>
    <w:p w:rsidR="00517A6A" w:rsidRDefault="003D77B6">
      <w:pPr>
        <w:pStyle w:val="Heading1"/>
        <w:rPr>
          <w:lang w:val="sr-Latn-RS"/>
        </w:rPr>
      </w:pPr>
      <w:bookmarkStart w:id="24" w:name="_Toc517259777"/>
      <w:r>
        <w:t xml:space="preserve">Koncept </w:t>
      </w:r>
      <w:r>
        <w:rPr>
          <w:lang w:val="sr-Latn-RS"/>
        </w:rPr>
        <w:t>rešenja</w:t>
      </w:r>
      <w:bookmarkEnd w:id="24"/>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lastRenderedPageBreak/>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5" w:name="_Toc517259789"/>
      <w:r>
        <w:t xml:space="preserve">Slika </w:t>
      </w:r>
      <w:r w:rsidR="00762830">
        <w:fldChar w:fldCharType="begin"/>
      </w:r>
      <w:r w:rsidR="00762830">
        <w:instrText xml:space="preserve"> STYLEREF 1 \s </w:instrText>
      </w:r>
      <w:r w:rsidR="00762830">
        <w:fldChar w:fldCharType="separate"/>
      </w:r>
      <w:r w:rsidR="00762830">
        <w:rPr>
          <w:noProof/>
        </w:rPr>
        <w:t>3</w:t>
      </w:r>
      <w:r w:rsidR="00762830">
        <w:fldChar w:fldCharType="end"/>
      </w:r>
      <w:r w:rsidR="00762830">
        <w:t>.</w:t>
      </w:r>
      <w:r w:rsidR="00762830">
        <w:fldChar w:fldCharType="begin"/>
      </w:r>
      <w:r w:rsidR="00762830">
        <w:instrText xml:space="preserve"> SEQ Slika \* ARABIC \s 1 </w:instrText>
      </w:r>
      <w:r w:rsidR="00762830">
        <w:fldChar w:fldCharType="separate"/>
      </w:r>
      <w:r w:rsidR="00762830">
        <w:rPr>
          <w:noProof/>
        </w:rPr>
        <w:t>1</w:t>
      </w:r>
      <w:r w:rsidR="00762830">
        <w:fldChar w:fldCharType="end"/>
      </w:r>
      <w:r>
        <w:t xml:space="preserve"> </w:t>
      </w:r>
      <w:r w:rsidRPr="0080036F">
        <w:rPr>
          <w:i/>
          <w:noProof/>
        </w:rPr>
        <w:t>Altera Cyclone</w:t>
      </w:r>
      <w:r>
        <w:rPr>
          <w:noProof/>
        </w:rPr>
        <w:t xml:space="preserve"> pete generacije</w:t>
      </w:r>
      <w:bookmarkEnd w:id="25"/>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lastRenderedPageBreak/>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3304" cy="3459575"/>
                    </a:xfrm>
                    <a:prstGeom prst="rect">
                      <a:avLst/>
                    </a:prstGeom>
                  </pic:spPr>
                </pic:pic>
              </a:graphicData>
            </a:graphic>
          </wp:inline>
        </w:drawing>
      </w:r>
    </w:p>
    <w:p w:rsidR="00E47857" w:rsidRDefault="00762830" w:rsidP="00E47857">
      <w:pPr>
        <w:pStyle w:val="Caption"/>
        <w:rPr>
          <w:noProof/>
        </w:rPr>
      </w:pPr>
      <w:bookmarkStart w:id="26" w:name="_Toc51725979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Izgled klijentskog terminala</w:t>
      </w:r>
      <w:bookmarkEnd w:id="26"/>
    </w:p>
    <w:p w:rsidR="005E78C7" w:rsidRP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E04928" w:rsidRDefault="00E04928" w:rsidP="00E04928">
      <w:pPr>
        <w:pStyle w:val="Heading1"/>
      </w:pPr>
      <w:bookmarkStart w:id="27" w:name="_Toc517259778"/>
      <w:r>
        <w:t>Programsko rešenje</w:t>
      </w:r>
      <w:bookmarkEnd w:id="27"/>
    </w:p>
    <w:p w:rsidR="003845A2" w:rsidRDefault="003845A2" w:rsidP="003845A2"/>
    <w:p w:rsidR="003845A2" w:rsidRPr="003845A2" w:rsidRDefault="003845A2" w:rsidP="003845A2">
      <w:r>
        <w:t xml:space="preserve">Kao što je naglašeno ranije, programsko rešenje je podeljeno u dva modula – na serversku stranu koja se nalazi na namenskoj platformi i na klijentsku stranu koja se nalazi na računaru. U ovo poglavlju </w:t>
      </w:r>
      <w:r w:rsidR="00485BCF">
        <w:t xml:space="preserve">biće </w:t>
      </w:r>
      <w:r>
        <w:t>opisana</w:t>
      </w:r>
      <w:r w:rsidR="00485BCF">
        <w:t xml:space="preserve"> oba modula detaljno, ali sa akcentom na funkcionisanje jednog modula </w:t>
      </w:r>
      <w:r w:rsidR="0009631B">
        <w:t xml:space="preserve">kao celine, </w:t>
      </w:r>
      <w:r w:rsidR="00485BCF">
        <w:t>nezavisno od drugog</w:t>
      </w:r>
      <w:r w:rsidR="00905159">
        <w:t xml:space="preserve"> (iako svakako zavise jedan od drugog, međutim ovaj pristup omogućuje dublji uvid u ideju i realizaciju iste zarad uspešnog rešenja problema)</w:t>
      </w:r>
      <w:r w:rsidR="00485BCF">
        <w:t>.</w:t>
      </w:r>
      <w:bookmarkStart w:id="28" w:name="_GoBack"/>
      <w:bookmarkEnd w:id="28"/>
    </w:p>
    <w:p w:rsidR="004F77A4" w:rsidRDefault="004F77A4" w:rsidP="004F77A4"/>
    <w:p w:rsidR="004F77A4" w:rsidRDefault="004F77A4" w:rsidP="004F77A4"/>
    <w:p w:rsidR="004F77A4" w:rsidRPr="004F77A4" w:rsidRDefault="004F77A4" w:rsidP="004F77A4">
      <w:pPr>
        <w:ind w:firstLine="0"/>
        <w:sectPr w:rsidR="004F77A4" w:rsidRPr="004F77A4" w:rsidSect="00AD67BD">
          <w:headerReference w:type="default" r:id="rId33"/>
          <w:pgSz w:w="11907" w:h="16840" w:code="9"/>
          <w:pgMar w:top="1134" w:right="851" w:bottom="1134" w:left="1701" w:header="567" w:footer="567" w:gutter="0"/>
          <w:cols w:space="720"/>
        </w:sectPr>
      </w:pPr>
    </w:p>
    <w:p w:rsidR="00517A6A" w:rsidRDefault="00517A6A">
      <w:pPr>
        <w:pStyle w:val="Heading1"/>
        <w:rPr>
          <w:lang w:val="sl-SI"/>
        </w:rPr>
      </w:pPr>
      <w:bookmarkStart w:id="29" w:name="_Ref471876445"/>
      <w:bookmarkStart w:id="30" w:name="_Toc517259779"/>
      <w:r>
        <w:rPr>
          <w:lang w:val="sl-SI"/>
        </w:rPr>
        <w:t>Literatura</w:t>
      </w:r>
      <w:bookmarkEnd w:id="29"/>
      <w:bookmarkEnd w:id="30"/>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4"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5"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6"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7"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8"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9"/>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8DE" w:rsidRDefault="002958DE">
      <w:r>
        <w:separator/>
      </w:r>
    </w:p>
  </w:endnote>
  <w:endnote w:type="continuationSeparator" w:id="0">
    <w:p w:rsidR="002958DE" w:rsidRDefault="0029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8847DA">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8847DA">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8847DA">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8DE" w:rsidRDefault="002958DE">
      <w:r>
        <w:separator/>
      </w:r>
    </w:p>
  </w:footnote>
  <w:footnote w:type="continuationSeparator" w:id="0">
    <w:p w:rsidR="002958DE" w:rsidRDefault="0029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958DE"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2958DE" w:rsidRDefault="002958D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2958DE" w:rsidRDefault="002958DE"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2958DE" w:rsidRDefault="002958DE"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2958D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2958DE" w:rsidRDefault="002958DE"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2958DE" w:rsidRDefault="002958DE"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2958DE" w:rsidRPr="009857F6" w:rsidRDefault="002958DE"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958DE"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2958DE" w:rsidRDefault="002958D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2958DE" w:rsidRDefault="002958DE"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2958DE" w:rsidRPr="00AD67BD" w:rsidRDefault="002958DE"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2958D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2958DE" w:rsidRPr="00AD67BD" w:rsidRDefault="002958DE"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2958DE" w:rsidRDefault="002958DE"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2958DE" w:rsidRPr="009857F6" w:rsidRDefault="002958DE"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6A6C11" w:rsidRDefault="002958DE"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9A29B1" w:rsidRDefault="002958DE"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AD67BD" w:rsidRDefault="002958DE"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236E5A" w:rsidRDefault="002958DE"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Pr="00236E5A" w:rsidRDefault="002958DE"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8DE" w:rsidRDefault="002958D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4422"/>
    <w:rsid w:val="00077A75"/>
    <w:rsid w:val="00094BF2"/>
    <w:rsid w:val="0009631B"/>
    <w:rsid w:val="000B2DAF"/>
    <w:rsid w:val="000F4308"/>
    <w:rsid w:val="00105BF6"/>
    <w:rsid w:val="001100C7"/>
    <w:rsid w:val="0011363E"/>
    <w:rsid w:val="00124CA6"/>
    <w:rsid w:val="00142069"/>
    <w:rsid w:val="00171186"/>
    <w:rsid w:val="001A566B"/>
    <w:rsid w:val="001A7E01"/>
    <w:rsid w:val="001B58EB"/>
    <w:rsid w:val="001C5533"/>
    <w:rsid w:val="001E0CB4"/>
    <w:rsid w:val="001E0FE1"/>
    <w:rsid w:val="001E6DC8"/>
    <w:rsid w:val="001E7C5C"/>
    <w:rsid w:val="001F47C8"/>
    <w:rsid w:val="001F4D6C"/>
    <w:rsid w:val="00212AFF"/>
    <w:rsid w:val="002209E3"/>
    <w:rsid w:val="00231253"/>
    <w:rsid w:val="00236E5A"/>
    <w:rsid w:val="0024280A"/>
    <w:rsid w:val="002452B7"/>
    <w:rsid w:val="002677AA"/>
    <w:rsid w:val="00284D8E"/>
    <w:rsid w:val="00287218"/>
    <w:rsid w:val="00287E70"/>
    <w:rsid w:val="002958DE"/>
    <w:rsid w:val="002E1FEB"/>
    <w:rsid w:val="002F35DF"/>
    <w:rsid w:val="002F755A"/>
    <w:rsid w:val="00321902"/>
    <w:rsid w:val="00331B79"/>
    <w:rsid w:val="003517E2"/>
    <w:rsid w:val="0037042F"/>
    <w:rsid w:val="0037722C"/>
    <w:rsid w:val="00381F50"/>
    <w:rsid w:val="003845A2"/>
    <w:rsid w:val="00390997"/>
    <w:rsid w:val="00394ED5"/>
    <w:rsid w:val="0039616D"/>
    <w:rsid w:val="003C2D73"/>
    <w:rsid w:val="003D77B6"/>
    <w:rsid w:val="003E792A"/>
    <w:rsid w:val="003F321B"/>
    <w:rsid w:val="00402097"/>
    <w:rsid w:val="00415483"/>
    <w:rsid w:val="004311AB"/>
    <w:rsid w:val="00441D73"/>
    <w:rsid w:val="00485BCF"/>
    <w:rsid w:val="004A60C8"/>
    <w:rsid w:val="004F77A4"/>
    <w:rsid w:val="00501EAD"/>
    <w:rsid w:val="00517A6A"/>
    <w:rsid w:val="00517A6C"/>
    <w:rsid w:val="00536164"/>
    <w:rsid w:val="00541E4E"/>
    <w:rsid w:val="00546CE7"/>
    <w:rsid w:val="005927F9"/>
    <w:rsid w:val="005B011D"/>
    <w:rsid w:val="005B263D"/>
    <w:rsid w:val="005C20BB"/>
    <w:rsid w:val="005E78C7"/>
    <w:rsid w:val="00600197"/>
    <w:rsid w:val="006149B0"/>
    <w:rsid w:val="00617931"/>
    <w:rsid w:val="00633C80"/>
    <w:rsid w:val="006422C9"/>
    <w:rsid w:val="006509A1"/>
    <w:rsid w:val="00653269"/>
    <w:rsid w:val="006628D5"/>
    <w:rsid w:val="00685CAE"/>
    <w:rsid w:val="00690A6A"/>
    <w:rsid w:val="006A4CEE"/>
    <w:rsid w:val="006A6C11"/>
    <w:rsid w:val="006F00DA"/>
    <w:rsid w:val="006F4C54"/>
    <w:rsid w:val="00702B4B"/>
    <w:rsid w:val="00731A5D"/>
    <w:rsid w:val="00732D99"/>
    <w:rsid w:val="00762830"/>
    <w:rsid w:val="007776AC"/>
    <w:rsid w:val="00787343"/>
    <w:rsid w:val="007B1116"/>
    <w:rsid w:val="0080036F"/>
    <w:rsid w:val="00833CB4"/>
    <w:rsid w:val="008529AC"/>
    <w:rsid w:val="00860B17"/>
    <w:rsid w:val="008847DA"/>
    <w:rsid w:val="00885666"/>
    <w:rsid w:val="00886314"/>
    <w:rsid w:val="008A241C"/>
    <w:rsid w:val="008A5769"/>
    <w:rsid w:val="008A5B10"/>
    <w:rsid w:val="008B0B3C"/>
    <w:rsid w:val="008F07BA"/>
    <w:rsid w:val="00905159"/>
    <w:rsid w:val="00947AA0"/>
    <w:rsid w:val="00951629"/>
    <w:rsid w:val="00954A60"/>
    <w:rsid w:val="00960FFD"/>
    <w:rsid w:val="0097121A"/>
    <w:rsid w:val="009857F6"/>
    <w:rsid w:val="009A29B1"/>
    <w:rsid w:val="009C0FB0"/>
    <w:rsid w:val="009E1A0C"/>
    <w:rsid w:val="009F5792"/>
    <w:rsid w:val="009F7C68"/>
    <w:rsid w:val="00A07D1E"/>
    <w:rsid w:val="00A1084A"/>
    <w:rsid w:val="00A17C43"/>
    <w:rsid w:val="00A5284B"/>
    <w:rsid w:val="00A631CD"/>
    <w:rsid w:val="00A73B40"/>
    <w:rsid w:val="00A754E5"/>
    <w:rsid w:val="00A76069"/>
    <w:rsid w:val="00A857D6"/>
    <w:rsid w:val="00A86C5B"/>
    <w:rsid w:val="00A973E2"/>
    <w:rsid w:val="00AA6AD4"/>
    <w:rsid w:val="00AC12F7"/>
    <w:rsid w:val="00AD1DAF"/>
    <w:rsid w:val="00AD425D"/>
    <w:rsid w:val="00AD67BD"/>
    <w:rsid w:val="00AF6F26"/>
    <w:rsid w:val="00B0721B"/>
    <w:rsid w:val="00B10A50"/>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760D9"/>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E04928"/>
    <w:rsid w:val="00E34265"/>
    <w:rsid w:val="00E3660D"/>
    <w:rsid w:val="00E47857"/>
    <w:rsid w:val="00E508BE"/>
    <w:rsid w:val="00E76C97"/>
    <w:rsid w:val="00E87151"/>
    <w:rsid w:val="00E94837"/>
    <w:rsid w:val="00E95B99"/>
    <w:rsid w:val="00EB441F"/>
    <w:rsid w:val="00EB778C"/>
    <w:rsid w:val="00F1542F"/>
    <w:rsid w:val="00F453C8"/>
    <w:rsid w:val="00F52E89"/>
    <w:rsid w:val="00F61217"/>
    <w:rsid w:val="00F725AF"/>
    <w:rsid w:val="00F77BEE"/>
    <w:rsid w:val="00F77FBA"/>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en.wikipedia.org/wiki/BroadR-Reach"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eader" Target="header10.xml"/><Relationship Id="rId38" Type="http://schemas.openxmlformats.org/officeDocument/2006/relationships/hyperlink" Target="https://simple.wikipedia.org/wiki/RSA_algorith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sr.wikipedia.org/wiki/Enkripcij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sr-el/IPv6"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www.rt-rk.uns.ac.rs/predmeti/e2/orm-1-osnovi-ra&#269;unarskih-mre&#382;a-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2029</TotalTime>
  <Pages>26</Pages>
  <Words>3432</Words>
  <Characters>22683</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26063</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103</cp:revision>
  <dcterms:created xsi:type="dcterms:W3CDTF">2018-06-11T08:29:00Z</dcterms:created>
  <dcterms:modified xsi:type="dcterms:W3CDTF">2018-06-20T10:18:00Z</dcterms:modified>
</cp:coreProperties>
</file>