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61B429" w14:textId="45BDAD51" w:rsidR="00566CA0" w:rsidRDefault="00566CA0" w:rsidP="00566CA0">
      <w:pPr>
        <w:pStyle w:val="Heading1"/>
      </w:pPr>
      <w:bookmarkStart w:id="0" w:name="_Toc232114682"/>
      <w:r w:rsidRPr="00566CA0">
        <w:t>A Statistical Perspective of Non-Inferiority Trials</w:t>
      </w:r>
      <w:bookmarkEnd w:id="0"/>
    </w:p>
    <w:p w14:paraId="37D177A6" w14:textId="4DF48B27" w:rsidR="00566CA0" w:rsidRPr="006A4FB4" w:rsidRDefault="006A4FB4" w:rsidP="006A4FB4">
      <w:pPr>
        <w:pStyle w:val="ListParagraph"/>
        <w:numPr>
          <w:ilvl w:val="0"/>
          <w:numId w:val="17"/>
        </w:numPr>
        <w:rPr>
          <w:i/>
          <w:iCs/>
        </w:rPr>
      </w:pPr>
      <w:r w:rsidRPr="006A4FB4">
        <w:rPr>
          <w:i/>
          <w:iCs/>
        </w:rPr>
        <w:t xml:space="preserve">Áine Glynn &amp; Filip </w:t>
      </w:r>
      <w:proofErr w:type="spellStart"/>
      <w:r w:rsidRPr="006A4FB4">
        <w:rPr>
          <w:i/>
          <w:iCs/>
        </w:rPr>
        <w:t>Kłosowski</w:t>
      </w:r>
      <w:proofErr w:type="spellEnd"/>
    </w:p>
    <w:p w14:paraId="1A43FC74" w14:textId="1C67E9FB" w:rsidR="006A4FB4" w:rsidRPr="006A4FB4" w:rsidRDefault="006A4FB4" w:rsidP="006A4FB4">
      <w:pPr>
        <w:pStyle w:val="ListParagraph"/>
        <w:numPr>
          <w:ilvl w:val="0"/>
          <w:numId w:val="17"/>
        </w:numPr>
        <w:rPr>
          <w:i/>
          <w:iCs/>
        </w:rPr>
      </w:pPr>
      <w:r w:rsidRPr="006A4FB4">
        <w:rPr>
          <w:i/>
          <w:iCs/>
        </w:rPr>
        <w:t>University of Galway</w:t>
      </w:r>
    </w:p>
    <w:p w14:paraId="1143F7CB" w14:textId="7E8120AC" w:rsidR="006A4FB4" w:rsidRPr="006A4FB4" w:rsidRDefault="006A4FB4" w:rsidP="006A4FB4">
      <w:pPr>
        <w:pStyle w:val="ListParagraph"/>
        <w:numPr>
          <w:ilvl w:val="0"/>
          <w:numId w:val="17"/>
        </w:numPr>
        <w:rPr>
          <w:i/>
          <w:iCs/>
        </w:rPr>
      </w:pPr>
      <w:r w:rsidRPr="006A4FB4">
        <w:rPr>
          <w:i/>
          <w:iCs/>
        </w:rPr>
        <w:t>Submitted in partial fulfilment of the requirements for the degree o</w:t>
      </w:r>
      <w:r>
        <w:rPr>
          <w:i/>
          <w:iCs/>
        </w:rPr>
        <w:t xml:space="preserve">f </w:t>
      </w:r>
      <w:r>
        <w:rPr>
          <w:i/>
          <w:iCs/>
        </w:rPr>
        <w:tab/>
      </w:r>
      <w:r>
        <w:rPr>
          <w:i/>
          <w:iCs/>
        </w:rPr>
        <w:tab/>
      </w:r>
      <w:r>
        <w:rPr>
          <w:i/>
          <w:iCs/>
        </w:rPr>
        <w:tab/>
      </w:r>
      <w:r w:rsidRPr="006A4FB4">
        <w:rPr>
          <w:b/>
          <w:bCs/>
          <w:i/>
          <w:iCs/>
        </w:rPr>
        <w:t>Master of Science in Health Data Science</w:t>
      </w:r>
    </w:p>
    <w:p w14:paraId="14F578FE" w14:textId="3BCCAA84" w:rsidR="006A4FB4" w:rsidRPr="006A4FB4" w:rsidRDefault="006A4FB4" w:rsidP="006A4FB4">
      <w:pPr>
        <w:pStyle w:val="ListParagraph"/>
        <w:numPr>
          <w:ilvl w:val="0"/>
          <w:numId w:val="17"/>
        </w:numPr>
        <w:rPr>
          <w:i/>
          <w:iCs/>
        </w:rPr>
      </w:pPr>
      <w:r w:rsidRPr="006A4FB4">
        <w:rPr>
          <w:i/>
          <w:iCs/>
        </w:rPr>
        <w:t>School of Mathematical and Statistical Sciences</w:t>
      </w:r>
    </w:p>
    <w:p w14:paraId="500B70D6" w14:textId="3DEDD466" w:rsidR="006A4FB4" w:rsidRPr="006A4FB4" w:rsidRDefault="006A4FB4" w:rsidP="006A4FB4">
      <w:pPr>
        <w:pStyle w:val="ListParagraph"/>
        <w:numPr>
          <w:ilvl w:val="0"/>
          <w:numId w:val="17"/>
        </w:numPr>
        <w:rPr>
          <w:i/>
          <w:iCs/>
        </w:rPr>
      </w:pPr>
      <w:r w:rsidRPr="006A4FB4">
        <w:rPr>
          <w:i/>
          <w:iCs/>
        </w:rPr>
        <w:t>Academic Year 2025–2026</w:t>
      </w:r>
    </w:p>
    <w:p w14:paraId="7F2C5978" w14:textId="3B8D7A31" w:rsidR="006A4FB4" w:rsidRPr="006A4FB4" w:rsidRDefault="006A4FB4" w:rsidP="006A4FB4">
      <w:pPr>
        <w:pStyle w:val="ListParagraph"/>
        <w:numPr>
          <w:ilvl w:val="0"/>
          <w:numId w:val="17"/>
        </w:numPr>
        <w:rPr>
          <w:i/>
          <w:iCs/>
        </w:rPr>
      </w:pPr>
      <w:r w:rsidRPr="006A4FB4">
        <w:rPr>
          <w:i/>
          <w:iCs/>
        </w:rPr>
        <w:t>Supervised by:  Prof. John Newell</w:t>
      </w:r>
    </w:p>
    <w:p w14:paraId="2BBFBE10" w14:textId="42AD9B0E" w:rsidR="006A4FB4" w:rsidRDefault="006A4FB4" w:rsidP="006A4FB4">
      <w:pPr>
        <w:pStyle w:val="ListParagraph"/>
        <w:numPr>
          <w:ilvl w:val="0"/>
          <w:numId w:val="17"/>
        </w:numPr>
        <w:rPr>
          <w:i/>
          <w:iCs/>
        </w:rPr>
      </w:pPr>
      <w:r w:rsidRPr="006A4FB4">
        <w:rPr>
          <w:i/>
          <w:iCs/>
        </w:rPr>
        <w:t>Submitted: June 2026</w:t>
      </w:r>
    </w:p>
    <w:p w14:paraId="3FC33535" w14:textId="77777777" w:rsidR="006A4FB4" w:rsidRDefault="006A4FB4" w:rsidP="006A4FB4">
      <w:pPr>
        <w:rPr>
          <w:i/>
          <w:iCs/>
        </w:rPr>
      </w:pPr>
    </w:p>
    <w:p w14:paraId="60870834" w14:textId="77777777" w:rsidR="006A4FB4" w:rsidRDefault="006A4FB4" w:rsidP="006A4FB4">
      <w:pPr>
        <w:rPr>
          <w:i/>
          <w:iCs/>
        </w:rPr>
      </w:pPr>
    </w:p>
    <w:p w14:paraId="77ED3113" w14:textId="77777777" w:rsidR="006A4FB4" w:rsidRDefault="006A4FB4" w:rsidP="006A4FB4">
      <w:pPr>
        <w:rPr>
          <w:i/>
          <w:iCs/>
        </w:rPr>
      </w:pPr>
    </w:p>
    <w:p w14:paraId="1B74B965" w14:textId="77777777" w:rsidR="006A4FB4" w:rsidRDefault="006A4FB4" w:rsidP="006A4FB4">
      <w:pPr>
        <w:rPr>
          <w:i/>
          <w:iCs/>
        </w:rPr>
      </w:pPr>
    </w:p>
    <w:p w14:paraId="58E35A25" w14:textId="77777777" w:rsidR="006A4FB4" w:rsidRDefault="006A4FB4" w:rsidP="006A4FB4">
      <w:pPr>
        <w:rPr>
          <w:i/>
          <w:iCs/>
        </w:rPr>
      </w:pPr>
    </w:p>
    <w:p w14:paraId="0085D992" w14:textId="77777777" w:rsidR="006A4FB4" w:rsidRDefault="006A4FB4" w:rsidP="006A4FB4">
      <w:pPr>
        <w:rPr>
          <w:i/>
          <w:iCs/>
        </w:rPr>
      </w:pPr>
    </w:p>
    <w:p w14:paraId="373D1DED" w14:textId="77777777" w:rsidR="006A4FB4" w:rsidRDefault="006A4FB4" w:rsidP="006A4FB4">
      <w:pPr>
        <w:rPr>
          <w:i/>
          <w:iCs/>
        </w:rPr>
      </w:pPr>
    </w:p>
    <w:p w14:paraId="45D7D64B" w14:textId="77777777" w:rsidR="006A4FB4" w:rsidRDefault="006A4FB4" w:rsidP="006A4FB4">
      <w:pPr>
        <w:rPr>
          <w:i/>
          <w:iCs/>
        </w:rPr>
      </w:pPr>
    </w:p>
    <w:p w14:paraId="6244A0EB" w14:textId="77777777" w:rsidR="006A4FB4" w:rsidRDefault="006A4FB4" w:rsidP="006A4FB4">
      <w:pPr>
        <w:rPr>
          <w:i/>
          <w:iCs/>
        </w:rPr>
      </w:pPr>
    </w:p>
    <w:p w14:paraId="51B0A3AA" w14:textId="77777777" w:rsidR="006A4FB4" w:rsidRDefault="006A4FB4" w:rsidP="006A4FB4">
      <w:pPr>
        <w:rPr>
          <w:i/>
          <w:iCs/>
        </w:rPr>
      </w:pPr>
    </w:p>
    <w:p w14:paraId="546B3E98" w14:textId="77777777" w:rsidR="006A4FB4" w:rsidRDefault="006A4FB4" w:rsidP="006A4FB4">
      <w:pPr>
        <w:rPr>
          <w:i/>
          <w:iCs/>
        </w:rPr>
      </w:pPr>
    </w:p>
    <w:p w14:paraId="79057A64" w14:textId="77777777" w:rsidR="006A4FB4" w:rsidRDefault="006A4FB4" w:rsidP="006A4FB4">
      <w:pPr>
        <w:rPr>
          <w:i/>
          <w:iCs/>
        </w:rPr>
      </w:pPr>
    </w:p>
    <w:p w14:paraId="310CF4D9" w14:textId="77777777" w:rsidR="006A4FB4" w:rsidRDefault="006A4FB4" w:rsidP="006A4FB4">
      <w:pPr>
        <w:rPr>
          <w:i/>
          <w:iCs/>
        </w:rPr>
      </w:pPr>
    </w:p>
    <w:p w14:paraId="548981CE" w14:textId="77777777" w:rsidR="006A4FB4" w:rsidRDefault="006A4FB4" w:rsidP="006A4FB4">
      <w:pPr>
        <w:rPr>
          <w:i/>
          <w:iCs/>
        </w:rPr>
      </w:pPr>
    </w:p>
    <w:p w14:paraId="1A77C06D" w14:textId="77777777" w:rsidR="006A4FB4" w:rsidRDefault="006A4FB4" w:rsidP="006A4FB4">
      <w:pPr>
        <w:rPr>
          <w:i/>
          <w:iCs/>
        </w:rPr>
      </w:pPr>
    </w:p>
    <w:p w14:paraId="38F91E8F" w14:textId="77777777" w:rsidR="006A4FB4" w:rsidRDefault="006A4FB4" w:rsidP="006A4FB4">
      <w:pPr>
        <w:rPr>
          <w:i/>
          <w:iCs/>
        </w:rPr>
      </w:pPr>
    </w:p>
    <w:p w14:paraId="177F9DB1" w14:textId="77777777" w:rsidR="006A4FB4" w:rsidRDefault="006A4FB4" w:rsidP="006A4FB4">
      <w:pPr>
        <w:rPr>
          <w:i/>
          <w:iCs/>
        </w:rPr>
      </w:pPr>
    </w:p>
    <w:p w14:paraId="1C346D57" w14:textId="77777777" w:rsidR="006A4FB4" w:rsidRDefault="006A4FB4" w:rsidP="006A4FB4">
      <w:pPr>
        <w:rPr>
          <w:i/>
          <w:iCs/>
        </w:rPr>
      </w:pPr>
    </w:p>
    <w:p w14:paraId="7589CDB9" w14:textId="77777777" w:rsidR="006A4FB4" w:rsidRDefault="006A4FB4" w:rsidP="006A4FB4">
      <w:pPr>
        <w:rPr>
          <w:i/>
          <w:iCs/>
        </w:rPr>
      </w:pPr>
    </w:p>
    <w:p w14:paraId="278275DC" w14:textId="77777777" w:rsidR="006A4FB4" w:rsidRDefault="006A4FB4" w:rsidP="006A4FB4">
      <w:pPr>
        <w:rPr>
          <w:i/>
          <w:iCs/>
        </w:rPr>
      </w:pPr>
    </w:p>
    <w:p w14:paraId="65C115BF" w14:textId="77777777" w:rsidR="006A4FB4" w:rsidRPr="006A4FB4" w:rsidRDefault="006A4FB4" w:rsidP="006A4FB4">
      <w:pPr>
        <w:rPr>
          <w:i/>
          <w:iCs/>
        </w:rPr>
      </w:pPr>
    </w:p>
    <w:p w14:paraId="689C979B" w14:textId="01CDBE90" w:rsidR="00D75AFB" w:rsidRDefault="00D75AFB" w:rsidP="00566CA0">
      <w:pPr>
        <w:pStyle w:val="Heading1"/>
      </w:pPr>
      <w:bookmarkStart w:id="1" w:name="_Toc232114683"/>
      <w:r>
        <w:lastRenderedPageBreak/>
        <w:t>Abstract</w:t>
      </w:r>
      <w:bookmarkEnd w:id="1"/>
    </w:p>
    <w:p w14:paraId="35FC829A" w14:textId="77777777" w:rsidR="00215CCB" w:rsidRPr="00215CCB" w:rsidRDefault="00215CCB" w:rsidP="00215CCB">
      <w:r w:rsidRPr="00215CCB">
        <w:t xml:space="preserve">Single-arm performance goal studies are widely used in medical device evaluation when a randomised active-control trial is impractical or ethically unjustifiable. In this setting, the trial conclusion depends on whether a confidence interval for the observed event proportion satisfies a pre-specified benchmark derived from historical evidence. Despite their apparent simplicity, the conclusions of such studies are sensitive to three interconnected methodological choices: the value of the performance goal, the confidence interval method used to construct the decision rule, and the sample size calculation underlying the study design. This thesis examines each of these choices in the context of a retrospective case study of the </w:t>
      </w:r>
      <w:proofErr w:type="spellStart"/>
      <w:r w:rsidRPr="00215CCB">
        <w:t>BioMimics</w:t>
      </w:r>
      <w:proofErr w:type="spellEnd"/>
      <w:r w:rsidRPr="00215CCB">
        <w:t xml:space="preserve"> 3D vascular stent, a helical nitinol stent developed for the treatment of femoropopliteal peripheral artery disease.</w:t>
      </w:r>
    </w:p>
    <w:p w14:paraId="332B0E62" w14:textId="77777777" w:rsidR="00215CCB" w:rsidRPr="00215CCB" w:rsidRDefault="00215CCB" w:rsidP="00215CCB">
      <w:r w:rsidRPr="00215CCB">
        <w:t>Performance goals for a 30-day composite safety endpoint and a 12-month Rutherford classification efficacy endpoint were derived through a generalised linear mixed model meta-analysis of three historical femoropopliteal bare nitinol stent studies comprising 116 patients in total. Using confidence interval boundaries rather than point estimates to account for uncertainty in the historical evidence yielded a maximum acceptable 30-day composite adverse event rate of 12% and a minimum acceptable 12-month Rutherford success proportion of 88%. The limited evidence base produced wide uncertainty around both estimates, illustrating that performance goals carry inherent uncertainty that is not always visible when they are reported as fixed values.</w:t>
      </w:r>
    </w:p>
    <w:p w14:paraId="15D3A789" w14:textId="77777777" w:rsidR="00215CCB" w:rsidRPr="00215CCB" w:rsidRDefault="00215CCB" w:rsidP="00215CCB">
      <w:r w:rsidRPr="00215CCB">
        <w:t>A simulation study evaluated six confidence interval methods for binary proportions across a grid of true event proportions and sample sizes relevant to the case study endpoints. The Wald interval was the only method to consistently fall below the nominal 95% coverage level and was judged unsuitable as a decision tool in this setting. Among the remaining methods, Wilson Score and Jeffreys achieved coverage closest to the nominal level with the narrowest intervals, while Clopper-Pearson, Agresti-Coull and the continuity-corrected Wilson Score were conservative with progressively wider intervals. These differences in coverage behaviour translated into meaningful differences in sample size requirements. Under an approved performance goal of 11%, an assumed true complication proportion of 5% and a target power of 90%, Clopper-Pearson was used as the primary method, requiring 209 evaluable patients at 89.7% achieved power. Among methods meeting the nominal coverage level, the required sample size ranged from 198 patients under Jeffreys to 247 under the continuity-corrected Wilson Score.</w:t>
      </w:r>
    </w:p>
    <w:p w14:paraId="73CEF5C1" w14:textId="77777777" w:rsidR="00215CCB" w:rsidRPr="00215CCB" w:rsidRDefault="00215CCB" w:rsidP="00215CCB">
      <w:r w:rsidRPr="00215CCB">
        <w:t xml:space="preserve">A Bayesian historical borrowing analysis demonstrated that incorporating prior evidence through a </w:t>
      </w:r>
      <w:proofErr w:type="gramStart"/>
      <w:r w:rsidRPr="00215CCB">
        <w:t>Beta(</w:t>
      </w:r>
      <w:proofErr w:type="gramEnd"/>
      <w:r w:rsidRPr="00215CCB">
        <w:t>2, 48) prior reduced the required sample size from 209 to 79 patients, a reduction of approximately 62%. This reduction was sensitive to the weight assigned to the prior, with stronger borrowing increasing dependence on the exchangeability assumption and the risk of inflating the Type I error rate when historical and current populations are not sufficiently comparable.</w:t>
      </w:r>
    </w:p>
    <w:p w14:paraId="65B6D5C9" w14:textId="77777777" w:rsidR="00215CCB" w:rsidRPr="00215CCB" w:rsidRDefault="00215CCB" w:rsidP="00215CCB">
      <w:r w:rsidRPr="00215CCB">
        <w:t>An interactive R Shiny application, PG-Power, was developed to implement the sample size framework and make the sensitivity of required sample size to key design assumptions accessible and reproducible. The application supports confidence interval method comparison, power curve visualisation, sensitivity analysis and report generation for single-arm performance goal studies.</w:t>
      </w:r>
    </w:p>
    <w:p w14:paraId="292FBF59" w14:textId="6219001A" w:rsidR="006803C8" w:rsidRPr="00566CA0" w:rsidRDefault="00215CCB" w:rsidP="00566CA0">
      <w:r w:rsidRPr="00215CCB">
        <w:lastRenderedPageBreak/>
        <w:t xml:space="preserve">The findings demonstrate that the performance goal value, confidence interval method and sample size procedure are not independent design choices and that each can alter the conclusion of a performance goal study independently of the underlying clinical data. Transparent derivation and pre-specification of these choices in the </w:t>
      </w:r>
      <w:r w:rsidR="00020CAA">
        <w:t xml:space="preserve">SAP </w:t>
      </w:r>
      <w:r w:rsidRPr="00215CCB">
        <w:t>is essential to the credibility and reproducibility of performance goal studies in medical device evaluation.</w:t>
      </w:r>
    </w:p>
    <w:p w14:paraId="58521977" w14:textId="02328330" w:rsidR="00D75AFB" w:rsidRDefault="009D7F68" w:rsidP="006A4FB4">
      <w:pPr>
        <w:pStyle w:val="Heading1"/>
      </w:pPr>
      <w:bookmarkStart w:id="2" w:name="_Toc232114684"/>
      <w:r>
        <w:t>Acknowledgements</w:t>
      </w:r>
      <w:bookmarkEnd w:id="2"/>
    </w:p>
    <w:p w14:paraId="03E90AE8" w14:textId="77777777" w:rsidR="006803C8" w:rsidRDefault="006803C8" w:rsidP="006803C8"/>
    <w:p w14:paraId="1B7B5881" w14:textId="77777777" w:rsidR="006803C8" w:rsidRDefault="006803C8" w:rsidP="006803C8"/>
    <w:p w14:paraId="0554DD68" w14:textId="77777777" w:rsidR="006803C8" w:rsidRDefault="006803C8" w:rsidP="006803C8"/>
    <w:p w14:paraId="61FD9423" w14:textId="77777777" w:rsidR="006803C8" w:rsidRDefault="006803C8" w:rsidP="006803C8"/>
    <w:p w14:paraId="351788F0" w14:textId="77777777" w:rsidR="006803C8" w:rsidRDefault="006803C8" w:rsidP="006803C8"/>
    <w:p w14:paraId="3E9B16C8" w14:textId="77777777" w:rsidR="006803C8" w:rsidRDefault="006803C8" w:rsidP="006803C8"/>
    <w:p w14:paraId="6327A8F9" w14:textId="77777777" w:rsidR="006803C8" w:rsidRDefault="006803C8" w:rsidP="006803C8"/>
    <w:p w14:paraId="6CC30536" w14:textId="77777777" w:rsidR="006803C8" w:rsidRDefault="006803C8" w:rsidP="006803C8"/>
    <w:p w14:paraId="2CA84247" w14:textId="77777777" w:rsidR="006803C8" w:rsidRDefault="006803C8" w:rsidP="006803C8"/>
    <w:p w14:paraId="74CC8222" w14:textId="77777777" w:rsidR="006803C8" w:rsidRDefault="006803C8" w:rsidP="006803C8"/>
    <w:p w14:paraId="4F8BBADA" w14:textId="77777777" w:rsidR="006803C8" w:rsidRDefault="006803C8" w:rsidP="006803C8"/>
    <w:p w14:paraId="1F65258E" w14:textId="77777777" w:rsidR="006803C8" w:rsidRDefault="006803C8" w:rsidP="006803C8"/>
    <w:p w14:paraId="7338A762" w14:textId="77777777" w:rsidR="006803C8" w:rsidRDefault="006803C8" w:rsidP="006803C8"/>
    <w:p w14:paraId="7048AD34" w14:textId="77777777" w:rsidR="006803C8" w:rsidRDefault="006803C8" w:rsidP="006803C8"/>
    <w:p w14:paraId="69C5B2D8" w14:textId="77777777" w:rsidR="006803C8" w:rsidRDefault="006803C8" w:rsidP="006803C8"/>
    <w:p w14:paraId="00B7D405" w14:textId="77777777" w:rsidR="006803C8" w:rsidRDefault="006803C8" w:rsidP="006803C8"/>
    <w:p w14:paraId="624525A6" w14:textId="77777777" w:rsidR="006803C8" w:rsidRDefault="006803C8" w:rsidP="006803C8"/>
    <w:p w14:paraId="6543BADE" w14:textId="77777777" w:rsidR="006803C8" w:rsidRDefault="006803C8" w:rsidP="006803C8"/>
    <w:p w14:paraId="1BF5FB88" w14:textId="77777777" w:rsidR="006803C8" w:rsidRDefault="006803C8" w:rsidP="006803C8"/>
    <w:p w14:paraId="36A6D838" w14:textId="77777777" w:rsidR="006803C8" w:rsidRDefault="006803C8" w:rsidP="006803C8"/>
    <w:p w14:paraId="3801D4B2" w14:textId="77777777" w:rsidR="00020CAA" w:rsidRDefault="00020CAA" w:rsidP="00020CAA">
      <w:bookmarkStart w:id="3" w:name="_Toc232114685"/>
    </w:p>
    <w:p w14:paraId="672DE4EE" w14:textId="77777777" w:rsidR="00020CAA" w:rsidRPr="00020CAA" w:rsidRDefault="00020CAA" w:rsidP="00020CAA"/>
    <w:p w14:paraId="252EC25E" w14:textId="21BF03CF" w:rsidR="009D7F68" w:rsidRDefault="009D7F68" w:rsidP="00020CAA">
      <w:pPr>
        <w:pStyle w:val="Heading1"/>
      </w:pPr>
      <w:r>
        <w:lastRenderedPageBreak/>
        <w:t>Table of Contents</w:t>
      </w:r>
      <w:bookmarkEnd w:id="3"/>
    </w:p>
    <w:sdt>
      <w:sdtPr>
        <w:id w:val="-79448751"/>
        <w:docPartObj>
          <w:docPartGallery w:val="Table of Contents"/>
          <w:docPartUnique/>
        </w:docPartObj>
      </w:sdtPr>
      <w:sdtEndPr>
        <w:rPr>
          <w:rFonts w:asciiTheme="minorHAnsi" w:eastAsiaTheme="minorHAnsi" w:hAnsiTheme="minorHAnsi" w:cstheme="minorBidi"/>
          <w:b/>
          <w:bCs/>
          <w:noProof/>
          <w:color w:val="auto"/>
          <w:kern w:val="2"/>
          <w:sz w:val="22"/>
          <w:szCs w:val="22"/>
          <w:lang w:val="en-IE"/>
          <w14:ligatures w14:val="standardContextual"/>
        </w:rPr>
      </w:sdtEndPr>
      <w:sdtContent>
        <w:p w14:paraId="4471265D" w14:textId="5BCD6276" w:rsidR="00020CAA" w:rsidRDefault="00020CAA">
          <w:pPr>
            <w:pStyle w:val="TOCHeading"/>
          </w:pPr>
          <w:r>
            <w:t>Contents</w:t>
          </w:r>
        </w:p>
        <w:p w14:paraId="7CE37F99" w14:textId="19820014" w:rsidR="00020CAA" w:rsidRDefault="00020CAA">
          <w:pPr>
            <w:pStyle w:val="TOC1"/>
            <w:tabs>
              <w:tab w:val="right" w:leader="dot" w:pos="9016"/>
            </w:tabs>
            <w:rPr>
              <w:noProof/>
            </w:rPr>
          </w:pPr>
          <w:r>
            <w:fldChar w:fldCharType="begin"/>
          </w:r>
          <w:r>
            <w:instrText xml:space="preserve"> TOC \o "1-3" \h \z \u </w:instrText>
          </w:r>
          <w:r>
            <w:fldChar w:fldCharType="separate"/>
          </w:r>
          <w:hyperlink w:anchor="_Toc232114682" w:history="1">
            <w:r w:rsidRPr="00763072">
              <w:rPr>
                <w:rStyle w:val="Hyperlink"/>
                <w:noProof/>
              </w:rPr>
              <w:t>A Statistical Perspective of Non-Inferiority Trials</w:t>
            </w:r>
            <w:r>
              <w:rPr>
                <w:noProof/>
                <w:webHidden/>
              </w:rPr>
              <w:tab/>
            </w:r>
            <w:r>
              <w:rPr>
                <w:noProof/>
                <w:webHidden/>
              </w:rPr>
              <w:fldChar w:fldCharType="begin"/>
            </w:r>
            <w:r>
              <w:rPr>
                <w:noProof/>
                <w:webHidden/>
              </w:rPr>
              <w:instrText xml:space="preserve"> PAGEREF _Toc232114682 \h </w:instrText>
            </w:r>
            <w:r>
              <w:rPr>
                <w:noProof/>
                <w:webHidden/>
              </w:rPr>
            </w:r>
            <w:r>
              <w:rPr>
                <w:noProof/>
                <w:webHidden/>
              </w:rPr>
              <w:fldChar w:fldCharType="separate"/>
            </w:r>
            <w:r>
              <w:rPr>
                <w:noProof/>
                <w:webHidden/>
              </w:rPr>
              <w:t>1</w:t>
            </w:r>
            <w:r>
              <w:rPr>
                <w:noProof/>
                <w:webHidden/>
              </w:rPr>
              <w:fldChar w:fldCharType="end"/>
            </w:r>
          </w:hyperlink>
        </w:p>
        <w:p w14:paraId="3EA30DF0" w14:textId="4671DF27" w:rsidR="00020CAA" w:rsidRDefault="00020CAA">
          <w:pPr>
            <w:pStyle w:val="TOC1"/>
            <w:tabs>
              <w:tab w:val="right" w:leader="dot" w:pos="9016"/>
            </w:tabs>
            <w:rPr>
              <w:noProof/>
            </w:rPr>
          </w:pPr>
          <w:hyperlink w:anchor="_Toc232114683" w:history="1">
            <w:r w:rsidRPr="00763072">
              <w:rPr>
                <w:rStyle w:val="Hyperlink"/>
                <w:noProof/>
              </w:rPr>
              <w:t>Abstract</w:t>
            </w:r>
            <w:r>
              <w:rPr>
                <w:noProof/>
                <w:webHidden/>
              </w:rPr>
              <w:tab/>
            </w:r>
            <w:r>
              <w:rPr>
                <w:noProof/>
                <w:webHidden/>
              </w:rPr>
              <w:fldChar w:fldCharType="begin"/>
            </w:r>
            <w:r>
              <w:rPr>
                <w:noProof/>
                <w:webHidden/>
              </w:rPr>
              <w:instrText xml:space="preserve"> PAGEREF _Toc232114683 \h </w:instrText>
            </w:r>
            <w:r>
              <w:rPr>
                <w:noProof/>
                <w:webHidden/>
              </w:rPr>
            </w:r>
            <w:r>
              <w:rPr>
                <w:noProof/>
                <w:webHidden/>
              </w:rPr>
              <w:fldChar w:fldCharType="separate"/>
            </w:r>
            <w:r>
              <w:rPr>
                <w:noProof/>
                <w:webHidden/>
              </w:rPr>
              <w:t>2</w:t>
            </w:r>
            <w:r>
              <w:rPr>
                <w:noProof/>
                <w:webHidden/>
              </w:rPr>
              <w:fldChar w:fldCharType="end"/>
            </w:r>
          </w:hyperlink>
        </w:p>
        <w:p w14:paraId="105A85AF" w14:textId="7B378969" w:rsidR="00020CAA" w:rsidRDefault="00020CAA">
          <w:pPr>
            <w:pStyle w:val="TOC1"/>
            <w:tabs>
              <w:tab w:val="right" w:leader="dot" w:pos="9016"/>
            </w:tabs>
            <w:rPr>
              <w:noProof/>
            </w:rPr>
          </w:pPr>
          <w:hyperlink w:anchor="_Toc232114684" w:history="1">
            <w:r w:rsidRPr="00763072">
              <w:rPr>
                <w:rStyle w:val="Hyperlink"/>
                <w:noProof/>
              </w:rPr>
              <w:t>Acknowledgements</w:t>
            </w:r>
            <w:r>
              <w:rPr>
                <w:noProof/>
                <w:webHidden/>
              </w:rPr>
              <w:tab/>
            </w:r>
            <w:r>
              <w:rPr>
                <w:noProof/>
                <w:webHidden/>
              </w:rPr>
              <w:fldChar w:fldCharType="begin"/>
            </w:r>
            <w:r>
              <w:rPr>
                <w:noProof/>
                <w:webHidden/>
              </w:rPr>
              <w:instrText xml:space="preserve"> PAGEREF _Toc232114684 \h </w:instrText>
            </w:r>
            <w:r>
              <w:rPr>
                <w:noProof/>
                <w:webHidden/>
              </w:rPr>
            </w:r>
            <w:r>
              <w:rPr>
                <w:noProof/>
                <w:webHidden/>
              </w:rPr>
              <w:fldChar w:fldCharType="separate"/>
            </w:r>
            <w:r>
              <w:rPr>
                <w:noProof/>
                <w:webHidden/>
              </w:rPr>
              <w:t>3</w:t>
            </w:r>
            <w:r>
              <w:rPr>
                <w:noProof/>
                <w:webHidden/>
              </w:rPr>
              <w:fldChar w:fldCharType="end"/>
            </w:r>
          </w:hyperlink>
        </w:p>
        <w:p w14:paraId="7BC747B6" w14:textId="2C9F9730" w:rsidR="00020CAA" w:rsidRDefault="00020CAA">
          <w:pPr>
            <w:pStyle w:val="TOC1"/>
            <w:tabs>
              <w:tab w:val="right" w:leader="dot" w:pos="9016"/>
            </w:tabs>
            <w:rPr>
              <w:noProof/>
            </w:rPr>
          </w:pPr>
          <w:hyperlink w:anchor="_Toc232114685" w:history="1">
            <w:r w:rsidRPr="00763072">
              <w:rPr>
                <w:rStyle w:val="Hyperlink"/>
                <w:noProof/>
              </w:rPr>
              <w:t>Table of Contents</w:t>
            </w:r>
            <w:r>
              <w:rPr>
                <w:noProof/>
                <w:webHidden/>
              </w:rPr>
              <w:tab/>
            </w:r>
            <w:r>
              <w:rPr>
                <w:noProof/>
                <w:webHidden/>
              </w:rPr>
              <w:fldChar w:fldCharType="begin"/>
            </w:r>
            <w:r>
              <w:rPr>
                <w:noProof/>
                <w:webHidden/>
              </w:rPr>
              <w:instrText xml:space="preserve"> PAGEREF _Toc232114685 \h </w:instrText>
            </w:r>
            <w:r>
              <w:rPr>
                <w:noProof/>
                <w:webHidden/>
              </w:rPr>
            </w:r>
            <w:r>
              <w:rPr>
                <w:noProof/>
                <w:webHidden/>
              </w:rPr>
              <w:fldChar w:fldCharType="separate"/>
            </w:r>
            <w:r>
              <w:rPr>
                <w:noProof/>
                <w:webHidden/>
              </w:rPr>
              <w:t>4</w:t>
            </w:r>
            <w:r>
              <w:rPr>
                <w:noProof/>
                <w:webHidden/>
              </w:rPr>
              <w:fldChar w:fldCharType="end"/>
            </w:r>
          </w:hyperlink>
        </w:p>
        <w:p w14:paraId="271719B7" w14:textId="6B3DD7D7" w:rsidR="00020CAA" w:rsidRDefault="00020CAA">
          <w:pPr>
            <w:pStyle w:val="TOC1"/>
            <w:tabs>
              <w:tab w:val="right" w:leader="dot" w:pos="9016"/>
            </w:tabs>
            <w:rPr>
              <w:noProof/>
            </w:rPr>
          </w:pPr>
          <w:hyperlink w:anchor="_Toc232114686" w:history="1">
            <w:r w:rsidRPr="00763072">
              <w:rPr>
                <w:rStyle w:val="Hyperlink"/>
                <w:noProof/>
              </w:rPr>
              <w:t>List of Figures and Tables</w:t>
            </w:r>
            <w:r>
              <w:rPr>
                <w:noProof/>
                <w:webHidden/>
              </w:rPr>
              <w:tab/>
            </w:r>
            <w:r>
              <w:rPr>
                <w:noProof/>
                <w:webHidden/>
              </w:rPr>
              <w:fldChar w:fldCharType="begin"/>
            </w:r>
            <w:r>
              <w:rPr>
                <w:noProof/>
                <w:webHidden/>
              </w:rPr>
              <w:instrText xml:space="preserve"> PAGEREF _Toc232114686 \h </w:instrText>
            </w:r>
            <w:r>
              <w:rPr>
                <w:noProof/>
                <w:webHidden/>
              </w:rPr>
            </w:r>
            <w:r>
              <w:rPr>
                <w:noProof/>
                <w:webHidden/>
              </w:rPr>
              <w:fldChar w:fldCharType="separate"/>
            </w:r>
            <w:r>
              <w:rPr>
                <w:noProof/>
                <w:webHidden/>
              </w:rPr>
              <w:t>4</w:t>
            </w:r>
            <w:r>
              <w:rPr>
                <w:noProof/>
                <w:webHidden/>
              </w:rPr>
              <w:fldChar w:fldCharType="end"/>
            </w:r>
          </w:hyperlink>
        </w:p>
        <w:p w14:paraId="3C423A0D" w14:textId="72365C67" w:rsidR="00020CAA" w:rsidRDefault="00020CAA">
          <w:pPr>
            <w:pStyle w:val="TOC1"/>
            <w:tabs>
              <w:tab w:val="right" w:leader="dot" w:pos="9016"/>
            </w:tabs>
            <w:rPr>
              <w:noProof/>
            </w:rPr>
          </w:pPr>
          <w:hyperlink w:anchor="_Toc232114687" w:history="1">
            <w:r w:rsidRPr="00763072">
              <w:rPr>
                <w:rStyle w:val="Hyperlink"/>
                <w:noProof/>
              </w:rPr>
              <w:t>Abbreviations and Acronyms</w:t>
            </w:r>
            <w:r>
              <w:rPr>
                <w:noProof/>
                <w:webHidden/>
              </w:rPr>
              <w:tab/>
            </w:r>
            <w:r>
              <w:rPr>
                <w:noProof/>
                <w:webHidden/>
              </w:rPr>
              <w:fldChar w:fldCharType="begin"/>
            </w:r>
            <w:r>
              <w:rPr>
                <w:noProof/>
                <w:webHidden/>
              </w:rPr>
              <w:instrText xml:space="preserve"> PAGEREF _Toc232114687 \h </w:instrText>
            </w:r>
            <w:r>
              <w:rPr>
                <w:noProof/>
                <w:webHidden/>
              </w:rPr>
            </w:r>
            <w:r>
              <w:rPr>
                <w:noProof/>
                <w:webHidden/>
              </w:rPr>
              <w:fldChar w:fldCharType="separate"/>
            </w:r>
            <w:r>
              <w:rPr>
                <w:noProof/>
                <w:webHidden/>
              </w:rPr>
              <w:t>4</w:t>
            </w:r>
            <w:r>
              <w:rPr>
                <w:noProof/>
                <w:webHidden/>
              </w:rPr>
              <w:fldChar w:fldCharType="end"/>
            </w:r>
          </w:hyperlink>
        </w:p>
        <w:p w14:paraId="53B9E3E1" w14:textId="1E4E22CB" w:rsidR="00020CAA" w:rsidRDefault="00020CAA">
          <w:pPr>
            <w:pStyle w:val="TOC1"/>
            <w:tabs>
              <w:tab w:val="left" w:pos="480"/>
              <w:tab w:val="right" w:leader="dot" w:pos="9016"/>
            </w:tabs>
            <w:rPr>
              <w:noProof/>
            </w:rPr>
          </w:pPr>
          <w:hyperlink w:anchor="_Toc232114688" w:history="1">
            <w:r w:rsidRPr="00763072">
              <w:rPr>
                <w:rStyle w:val="Hyperlink"/>
                <w:noProof/>
                <w:lang w:val="en-US"/>
              </w:rPr>
              <w:t>1.</w:t>
            </w:r>
            <w:r>
              <w:rPr>
                <w:noProof/>
              </w:rPr>
              <w:tab/>
            </w:r>
            <w:r w:rsidRPr="00763072">
              <w:rPr>
                <w:rStyle w:val="Hyperlink"/>
                <w:noProof/>
                <w:lang w:val="en-US"/>
              </w:rPr>
              <w:t>Introduction</w:t>
            </w:r>
            <w:r>
              <w:rPr>
                <w:noProof/>
                <w:webHidden/>
              </w:rPr>
              <w:tab/>
            </w:r>
            <w:r>
              <w:rPr>
                <w:noProof/>
                <w:webHidden/>
              </w:rPr>
              <w:fldChar w:fldCharType="begin"/>
            </w:r>
            <w:r>
              <w:rPr>
                <w:noProof/>
                <w:webHidden/>
              </w:rPr>
              <w:instrText xml:space="preserve"> PAGEREF _Toc232114688 \h </w:instrText>
            </w:r>
            <w:r>
              <w:rPr>
                <w:noProof/>
                <w:webHidden/>
              </w:rPr>
            </w:r>
            <w:r>
              <w:rPr>
                <w:noProof/>
                <w:webHidden/>
              </w:rPr>
              <w:fldChar w:fldCharType="separate"/>
            </w:r>
            <w:r>
              <w:rPr>
                <w:noProof/>
                <w:webHidden/>
              </w:rPr>
              <w:t>4</w:t>
            </w:r>
            <w:r>
              <w:rPr>
                <w:noProof/>
                <w:webHidden/>
              </w:rPr>
              <w:fldChar w:fldCharType="end"/>
            </w:r>
          </w:hyperlink>
        </w:p>
        <w:p w14:paraId="1D6822CE" w14:textId="384AF733" w:rsidR="00020CAA" w:rsidRDefault="00020CAA">
          <w:pPr>
            <w:pStyle w:val="TOC2"/>
            <w:tabs>
              <w:tab w:val="left" w:pos="960"/>
              <w:tab w:val="right" w:leader="dot" w:pos="9016"/>
            </w:tabs>
            <w:rPr>
              <w:noProof/>
            </w:rPr>
          </w:pPr>
          <w:hyperlink w:anchor="_Toc232114689" w:history="1">
            <w:r w:rsidRPr="00763072">
              <w:rPr>
                <w:rStyle w:val="Hyperlink"/>
                <w:noProof/>
                <w:lang w:val="en-US"/>
              </w:rPr>
              <w:t>1.1</w:t>
            </w:r>
            <w:r>
              <w:rPr>
                <w:noProof/>
              </w:rPr>
              <w:tab/>
            </w:r>
            <w:r w:rsidRPr="00763072">
              <w:rPr>
                <w:rStyle w:val="Hyperlink"/>
                <w:noProof/>
                <w:lang w:val="en-US"/>
              </w:rPr>
              <w:t>Non-inferiority Trials</w:t>
            </w:r>
            <w:r>
              <w:rPr>
                <w:noProof/>
                <w:webHidden/>
              </w:rPr>
              <w:tab/>
            </w:r>
            <w:r>
              <w:rPr>
                <w:noProof/>
                <w:webHidden/>
              </w:rPr>
              <w:fldChar w:fldCharType="begin"/>
            </w:r>
            <w:r>
              <w:rPr>
                <w:noProof/>
                <w:webHidden/>
              </w:rPr>
              <w:instrText xml:space="preserve"> PAGEREF _Toc232114689 \h </w:instrText>
            </w:r>
            <w:r>
              <w:rPr>
                <w:noProof/>
                <w:webHidden/>
              </w:rPr>
            </w:r>
            <w:r>
              <w:rPr>
                <w:noProof/>
                <w:webHidden/>
              </w:rPr>
              <w:fldChar w:fldCharType="separate"/>
            </w:r>
            <w:r>
              <w:rPr>
                <w:noProof/>
                <w:webHidden/>
              </w:rPr>
              <w:t>4</w:t>
            </w:r>
            <w:r>
              <w:rPr>
                <w:noProof/>
                <w:webHidden/>
              </w:rPr>
              <w:fldChar w:fldCharType="end"/>
            </w:r>
          </w:hyperlink>
        </w:p>
        <w:p w14:paraId="3F0BFA2C" w14:textId="4F720897" w:rsidR="00020CAA" w:rsidRDefault="00020CAA">
          <w:pPr>
            <w:pStyle w:val="TOC2"/>
            <w:tabs>
              <w:tab w:val="left" w:pos="960"/>
              <w:tab w:val="right" w:leader="dot" w:pos="9016"/>
            </w:tabs>
            <w:rPr>
              <w:noProof/>
            </w:rPr>
          </w:pPr>
          <w:hyperlink w:anchor="_Toc232114690" w:history="1">
            <w:r w:rsidRPr="00763072">
              <w:rPr>
                <w:rStyle w:val="Hyperlink"/>
                <w:noProof/>
              </w:rPr>
              <w:t>1.2</w:t>
            </w:r>
            <w:r>
              <w:rPr>
                <w:noProof/>
              </w:rPr>
              <w:tab/>
            </w:r>
            <w:r w:rsidRPr="00763072">
              <w:rPr>
                <w:rStyle w:val="Hyperlink"/>
                <w:noProof/>
              </w:rPr>
              <w:t>Performance Goals in Medical Device Studies</w:t>
            </w:r>
            <w:r>
              <w:rPr>
                <w:noProof/>
                <w:webHidden/>
              </w:rPr>
              <w:tab/>
            </w:r>
            <w:r>
              <w:rPr>
                <w:noProof/>
                <w:webHidden/>
              </w:rPr>
              <w:fldChar w:fldCharType="begin"/>
            </w:r>
            <w:r>
              <w:rPr>
                <w:noProof/>
                <w:webHidden/>
              </w:rPr>
              <w:instrText xml:space="preserve"> PAGEREF _Toc232114690 \h </w:instrText>
            </w:r>
            <w:r>
              <w:rPr>
                <w:noProof/>
                <w:webHidden/>
              </w:rPr>
            </w:r>
            <w:r>
              <w:rPr>
                <w:noProof/>
                <w:webHidden/>
              </w:rPr>
              <w:fldChar w:fldCharType="separate"/>
            </w:r>
            <w:r>
              <w:rPr>
                <w:noProof/>
                <w:webHidden/>
              </w:rPr>
              <w:t>5</w:t>
            </w:r>
            <w:r>
              <w:rPr>
                <w:noProof/>
                <w:webHidden/>
              </w:rPr>
              <w:fldChar w:fldCharType="end"/>
            </w:r>
          </w:hyperlink>
        </w:p>
        <w:p w14:paraId="498952CF" w14:textId="423B47FC" w:rsidR="00020CAA" w:rsidRDefault="00020CAA">
          <w:pPr>
            <w:pStyle w:val="TOC2"/>
            <w:tabs>
              <w:tab w:val="right" w:leader="dot" w:pos="9016"/>
            </w:tabs>
            <w:rPr>
              <w:noProof/>
            </w:rPr>
          </w:pPr>
          <w:hyperlink w:anchor="_Toc232114691" w:history="1">
            <w:r w:rsidRPr="00763072">
              <w:rPr>
                <w:rStyle w:val="Hyperlink"/>
                <w:noProof/>
              </w:rPr>
              <w:t>1.3 Motivation for Study</w:t>
            </w:r>
            <w:r>
              <w:rPr>
                <w:noProof/>
                <w:webHidden/>
              </w:rPr>
              <w:tab/>
            </w:r>
            <w:r>
              <w:rPr>
                <w:noProof/>
                <w:webHidden/>
              </w:rPr>
              <w:fldChar w:fldCharType="begin"/>
            </w:r>
            <w:r>
              <w:rPr>
                <w:noProof/>
                <w:webHidden/>
              </w:rPr>
              <w:instrText xml:space="preserve"> PAGEREF _Toc232114691 \h </w:instrText>
            </w:r>
            <w:r>
              <w:rPr>
                <w:noProof/>
                <w:webHidden/>
              </w:rPr>
            </w:r>
            <w:r>
              <w:rPr>
                <w:noProof/>
                <w:webHidden/>
              </w:rPr>
              <w:fldChar w:fldCharType="separate"/>
            </w:r>
            <w:r>
              <w:rPr>
                <w:noProof/>
                <w:webHidden/>
              </w:rPr>
              <w:t>5</w:t>
            </w:r>
            <w:r>
              <w:rPr>
                <w:noProof/>
                <w:webHidden/>
              </w:rPr>
              <w:fldChar w:fldCharType="end"/>
            </w:r>
          </w:hyperlink>
        </w:p>
        <w:p w14:paraId="343AAD76" w14:textId="3CAE508B" w:rsidR="00020CAA" w:rsidRDefault="00020CAA">
          <w:pPr>
            <w:pStyle w:val="TOC2"/>
            <w:tabs>
              <w:tab w:val="right" w:leader="dot" w:pos="9016"/>
            </w:tabs>
            <w:rPr>
              <w:noProof/>
            </w:rPr>
          </w:pPr>
          <w:hyperlink w:anchor="_Toc232114692" w:history="1">
            <w:r w:rsidRPr="00763072">
              <w:rPr>
                <w:rStyle w:val="Hyperlink"/>
                <w:noProof/>
              </w:rPr>
              <w:t>1.4 Case Study: Biomimics 3D Vascular Stent</w:t>
            </w:r>
            <w:r>
              <w:rPr>
                <w:noProof/>
                <w:webHidden/>
              </w:rPr>
              <w:tab/>
            </w:r>
            <w:r>
              <w:rPr>
                <w:noProof/>
                <w:webHidden/>
              </w:rPr>
              <w:fldChar w:fldCharType="begin"/>
            </w:r>
            <w:r>
              <w:rPr>
                <w:noProof/>
                <w:webHidden/>
              </w:rPr>
              <w:instrText xml:space="preserve"> PAGEREF _Toc232114692 \h </w:instrText>
            </w:r>
            <w:r>
              <w:rPr>
                <w:noProof/>
                <w:webHidden/>
              </w:rPr>
            </w:r>
            <w:r>
              <w:rPr>
                <w:noProof/>
                <w:webHidden/>
              </w:rPr>
              <w:fldChar w:fldCharType="separate"/>
            </w:r>
            <w:r>
              <w:rPr>
                <w:noProof/>
                <w:webHidden/>
              </w:rPr>
              <w:t>6</w:t>
            </w:r>
            <w:r>
              <w:rPr>
                <w:noProof/>
                <w:webHidden/>
              </w:rPr>
              <w:fldChar w:fldCharType="end"/>
            </w:r>
          </w:hyperlink>
        </w:p>
        <w:p w14:paraId="4A1D4EAD" w14:textId="7A9B4BFB" w:rsidR="00020CAA" w:rsidRDefault="00020CAA">
          <w:pPr>
            <w:pStyle w:val="TOC2"/>
            <w:tabs>
              <w:tab w:val="right" w:leader="dot" w:pos="9016"/>
            </w:tabs>
            <w:rPr>
              <w:noProof/>
            </w:rPr>
          </w:pPr>
          <w:hyperlink w:anchor="_Toc232114693" w:history="1">
            <w:r w:rsidRPr="00763072">
              <w:rPr>
                <w:rStyle w:val="Hyperlink"/>
                <w:noProof/>
              </w:rPr>
              <w:t>1.5 Study Aims</w:t>
            </w:r>
            <w:r>
              <w:rPr>
                <w:noProof/>
                <w:webHidden/>
              </w:rPr>
              <w:tab/>
            </w:r>
            <w:r>
              <w:rPr>
                <w:noProof/>
                <w:webHidden/>
              </w:rPr>
              <w:fldChar w:fldCharType="begin"/>
            </w:r>
            <w:r>
              <w:rPr>
                <w:noProof/>
                <w:webHidden/>
              </w:rPr>
              <w:instrText xml:space="preserve"> PAGEREF _Toc232114693 \h </w:instrText>
            </w:r>
            <w:r>
              <w:rPr>
                <w:noProof/>
                <w:webHidden/>
              </w:rPr>
            </w:r>
            <w:r>
              <w:rPr>
                <w:noProof/>
                <w:webHidden/>
              </w:rPr>
              <w:fldChar w:fldCharType="separate"/>
            </w:r>
            <w:r>
              <w:rPr>
                <w:noProof/>
                <w:webHidden/>
              </w:rPr>
              <w:t>6</w:t>
            </w:r>
            <w:r>
              <w:rPr>
                <w:noProof/>
                <w:webHidden/>
              </w:rPr>
              <w:fldChar w:fldCharType="end"/>
            </w:r>
          </w:hyperlink>
        </w:p>
        <w:p w14:paraId="61600F46" w14:textId="6010C897" w:rsidR="00020CAA" w:rsidRDefault="00020CAA">
          <w:pPr>
            <w:pStyle w:val="TOC1"/>
            <w:tabs>
              <w:tab w:val="left" w:pos="480"/>
              <w:tab w:val="right" w:leader="dot" w:pos="9016"/>
            </w:tabs>
            <w:rPr>
              <w:noProof/>
            </w:rPr>
          </w:pPr>
          <w:hyperlink w:anchor="_Toc232114694" w:history="1">
            <w:r w:rsidRPr="00763072">
              <w:rPr>
                <w:rStyle w:val="Hyperlink"/>
                <w:noProof/>
              </w:rPr>
              <w:t>2.</w:t>
            </w:r>
            <w:r>
              <w:rPr>
                <w:noProof/>
              </w:rPr>
              <w:tab/>
            </w:r>
            <w:r w:rsidRPr="00763072">
              <w:rPr>
                <w:rStyle w:val="Hyperlink"/>
                <w:noProof/>
              </w:rPr>
              <w:t>Background and Statistical Framework</w:t>
            </w:r>
            <w:r>
              <w:rPr>
                <w:noProof/>
                <w:webHidden/>
              </w:rPr>
              <w:tab/>
            </w:r>
            <w:r>
              <w:rPr>
                <w:noProof/>
                <w:webHidden/>
              </w:rPr>
              <w:fldChar w:fldCharType="begin"/>
            </w:r>
            <w:r>
              <w:rPr>
                <w:noProof/>
                <w:webHidden/>
              </w:rPr>
              <w:instrText xml:space="preserve"> PAGEREF _Toc232114694 \h </w:instrText>
            </w:r>
            <w:r>
              <w:rPr>
                <w:noProof/>
                <w:webHidden/>
              </w:rPr>
            </w:r>
            <w:r>
              <w:rPr>
                <w:noProof/>
                <w:webHidden/>
              </w:rPr>
              <w:fldChar w:fldCharType="separate"/>
            </w:r>
            <w:r>
              <w:rPr>
                <w:noProof/>
                <w:webHidden/>
              </w:rPr>
              <w:t>6</w:t>
            </w:r>
            <w:r>
              <w:rPr>
                <w:noProof/>
                <w:webHidden/>
              </w:rPr>
              <w:fldChar w:fldCharType="end"/>
            </w:r>
          </w:hyperlink>
        </w:p>
        <w:p w14:paraId="3D36D4C2" w14:textId="43973CDD" w:rsidR="00020CAA" w:rsidRDefault="00020CAA">
          <w:pPr>
            <w:pStyle w:val="TOC2"/>
            <w:tabs>
              <w:tab w:val="right" w:leader="dot" w:pos="9016"/>
            </w:tabs>
            <w:rPr>
              <w:noProof/>
            </w:rPr>
          </w:pPr>
          <w:hyperlink w:anchor="_Toc232114695" w:history="1">
            <w:r w:rsidRPr="00763072">
              <w:rPr>
                <w:rStyle w:val="Hyperlink"/>
                <w:noProof/>
              </w:rPr>
              <w:t>2.1 Superiority, Equivalence and Non-Inferiority</w:t>
            </w:r>
            <w:r>
              <w:rPr>
                <w:noProof/>
                <w:webHidden/>
              </w:rPr>
              <w:tab/>
            </w:r>
            <w:r>
              <w:rPr>
                <w:noProof/>
                <w:webHidden/>
              </w:rPr>
              <w:fldChar w:fldCharType="begin"/>
            </w:r>
            <w:r>
              <w:rPr>
                <w:noProof/>
                <w:webHidden/>
              </w:rPr>
              <w:instrText xml:space="preserve"> PAGEREF _Toc232114695 \h </w:instrText>
            </w:r>
            <w:r>
              <w:rPr>
                <w:noProof/>
                <w:webHidden/>
              </w:rPr>
            </w:r>
            <w:r>
              <w:rPr>
                <w:noProof/>
                <w:webHidden/>
              </w:rPr>
              <w:fldChar w:fldCharType="separate"/>
            </w:r>
            <w:r>
              <w:rPr>
                <w:noProof/>
                <w:webHidden/>
              </w:rPr>
              <w:t>6</w:t>
            </w:r>
            <w:r>
              <w:rPr>
                <w:noProof/>
                <w:webHidden/>
              </w:rPr>
              <w:fldChar w:fldCharType="end"/>
            </w:r>
          </w:hyperlink>
        </w:p>
        <w:p w14:paraId="7B8CF8A1" w14:textId="492EE1DA" w:rsidR="00020CAA" w:rsidRDefault="00020CAA">
          <w:pPr>
            <w:pStyle w:val="TOC2"/>
            <w:tabs>
              <w:tab w:val="right" w:leader="dot" w:pos="9016"/>
            </w:tabs>
            <w:rPr>
              <w:noProof/>
            </w:rPr>
          </w:pPr>
          <w:hyperlink w:anchor="_Toc232114696" w:history="1">
            <w:r w:rsidRPr="00763072">
              <w:rPr>
                <w:rStyle w:val="Hyperlink"/>
                <w:noProof/>
              </w:rPr>
              <w:t>2.2 Non-Inferiority Margins and Performance Goals</w:t>
            </w:r>
            <w:r>
              <w:rPr>
                <w:noProof/>
                <w:webHidden/>
              </w:rPr>
              <w:tab/>
            </w:r>
            <w:r>
              <w:rPr>
                <w:noProof/>
                <w:webHidden/>
              </w:rPr>
              <w:fldChar w:fldCharType="begin"/>
            </w:r>
            <w:r>
              <w:rPr>
                <w:noProof/>
                <w:webHidden/>
              </w:rPr>
              <w:instrText xml:space="preserve"> PAGEREF _Toc232114696 \h </w:instrText>
            </w:r>
            <w:r>
              <w:rPr>
                <w:noProof/>
                <w:webHidden/>
              </w:rPr>
            </w:r>
            <w:r>
              <w:rPr>
                <w:noProof/>
                <w:webHidden/>
              </w:rPr>
              <w:fldChar w:fldCharType="separate"/>
            </w:r>
            <w:r>
              <w:rPr>
                <w:noProof/>
                <w:webHidden/>
              </w:rPr>
              <w:t>8</w:t>
            </w:r>
            <w:r>
              <w:rPr>
                <w:noProof/>
                <w:webHidden/>
              </w:rPr>
              <w:fldChar w:fldCharType="end"/>
            </w:r>
          </w:hyperlink>
        </w:p>
        <w:p w14:paraId="6A2B36BD" w14:textId="2BBFF646" w:rsidR="00020CAA" w:rsidRDefault="00020CAA">
          <w:pPr>
            <w:pStyle w:val="TOC2"/>
            <w:tabs>
              <w:tab w:val="right" w:leader="dot" w:pos="9016"/>
            </w:tabs>
            <w:rPr>
              <w:noProof/>
            </w:rPr>
          </w:pPr>
          <w:hyperlink w:anchor="_Toc232114697" w:history="1">
            <w:r w:rsidRPr="00763072">
              <w:rPr>
                <w:rStyle w:val="Hyperlink"/>
                <w:noProof/>
              </w:rPr>
              <w:t>2.3 Confidence Intervals for Proportions</w:t>
            </w:r>
            <w:r>
              <w:rPr>
                <w:noProof/>
                <w:webHidden/>
              </w:rPr>
              <w:tab/>
            </w:r>
            <w:r>
              <w:rPr>
                <w:noProof/>
                <w:webHidden/>
              </w:rPr>
              <w:fldChar w:fldCharType="begin"/>
            </w:r>
            <w:r>
              <w:rPr>
                <w:noProof/>
                <w:webHidden/>
              </w:rPr>
              <w:instrText xml:space="preserve"> PAGEREF _Toc232114697 \h </w:instrText>
            </w:r>
            <w:r>
              <w:rPr>
                <w:noProof/>
                <w:webHidden/>
              </w:rPr>
            </w:r>
            <w:r>
              <w:rPr>
                <w:noProof/>
                <w:webHidden/>
              </w:rPr>
              <w:fldChar w:fldCharType="separate"/>
            </w:r>
            <w:r>
              <w:rPr>
                <w:noProof/>
                <w:webHidden/>
              </w:rPr>
              <w:t>9</w:t>
            </w:r>
            <w:r>
              <w:rPr>
                <w:noProof/>
                <w:webHidden/>
              </w:rPr>
              <w:fldChar w:fldCharType="end"/>
            </w:r>
          </w:hyperlink>
        </w:p>
        <w:p w14:paraId="16DFF36A" w14:textId="0245929C" w:rsidR="00020CAA" w:rsidRDefault="00020CAA">
          <w:pPr>
            <w:pStyle w:val="TOC2"/>
            <w:tabs>
              <w:tab w:val="right" w:leader="dot" w:pos="9016"/>
            </w:tabs>
            <w:rPr>
              <w:noProof/>
            </w:rPr>
          </w:pPr>
          <w:hyperlink w:anchor="_Toc232114698" w:history="1">
            <w:r w:rsidRPr="00763072">
              <w:rPr>
                <w:rStyle w:val="Hyperlink"/>
                <w:noProof/>
              </w:rPr>
              <w:t>2.4 Sample Size in Non-Inferiority Studies</w:t>
            </w:r>
            <w:r>
              <w:rPr>
                <w:noProof/>
                <w:webHidden/>
              </w:rPr>
              <w:tab/>
            </w:r>
            <w:r>
              <w:rPr>
                <w:noProof/>
                <w:webHidden/>
              </w:rPr>
              <w:fldChar w:fldCharType="begin"/>
            </w:r>
            <w:r>
              <w:rPr>
                <w:noProof/>
                <w:webHidden/>
              </w:rPr>
              <w:instrText xml:space="preserve"> PAGEREF _Toc232114698 \h </w:instrText>
            </w:r>
            <w:r>
              <w:rPr>
                <w:noProof/>
                <w:webHidden/>
              </w:rPr>
            </w:r>
            <w:r>
              <w:rPr>
                <w:noProof/>
                <w:webHidden/>
              </w:rPr>
              <w:fldChar w:fldCharType="separate"/>
            </w:r>
            <w:r>
              <w:rPr>
                <w:noProof/>
                <w:webHidden/>
              </w:rPr>
              <w:t>11</w:t>
            </w:r>
            <w:r>
              <w:rPr>
                <w:noProof/>
                <w:webHidden/>
              </w:rPr>
              <w:fldChar w:fldCharType="end"/>
            </w:r>
          </w:hyperlink>
        </w:p>
        <w:p w14:paraId="2889DB90" w14:textId="65336D9E" w:rsidR="00020CAA" w:rsidRDefault="00020CAA">
          <w:pPr>
            <w:pStyle w:val="TOC2"/>
            <w:tabs>
              <w:tab w:val="right" w:leader="dot" w:pos="9016"/>
            </w:tabs>
            <w:rPr>
              <w:noProof/>
            </w:rPr>
          </w:pPr>
          <w:hyperlink w:anchor="_Toc232114699" w:history="1">
            <w:r w:rsidRPr="00763072">
              <w:rPr>
                <w:rStyle w:val="Hyperlink"/>
                <w:noProof/>
              </w:rPr>
              <w:t>2.5 Incorporating Prior Evidence: Bayesian Historical Borrowing</w:t>
            </w:r>
            <w:r>
              <w:rPr>
                <w:noProof/>
                <w:webHidden/>
              </w:rPr>
              <w:tab/>
            </w:r>
            <w:r>
              <w:rPr>
                <w:noProof/>
                <w:webHidden/>
              </w:rPr>
              <w:fldChar w:fldCharType="begin"/>
            </w:r>
            <w:r>
              <w:rPr>
                <w:noProof/>
                <w:webHidden/>
              </w:rPr>
              <w:instrText xml:space="preserve"> PAGEREF _Toc232114699 \h </w:instrText>
            </w:r>
            <w:r>
              <w:rPr>
                <w:noProof/>
                <w:webHidden/>
              </w:rPr>
            </w:r>
            <w:r>
              <w:rPr>
                <w:noProof/>
                <w:webHidden/>
              </w:rPr>
              <w:fldChar w:fldCharType="separate"/>
            </w:r>
            <w:r>
              <w:rPr>
                <w:noProof/>
                <w:webHidden/>
              </w:rPr>
              <w:t>13</w:t>
            </w:r>
            <w:r>
              <w:rPr>
                <w:noProof/>
                <w:webHidden/>
              </w:rPr>
              <w:fldChar w:fldCharType="end"/>
            </w:r>
          </w:hyperlink>
        </w:p>
        <w:p w14:paraId="4BB8E3AD" w14:textId="2363F427" w:rsidR="00020CAA" w:rsidRDefault="00020CAA">
          <w:pPr>
            <w:pStyle w:val="TOC2"/>
            <w:tabs>
              <w:tab w:val="right" w:leader="dot" w:pos="9016"/>
            </w:tabs>
            <w:rPr>
              <w:noProof/>
            </w:rPr>
          </w:pPr>
          <w:hyperlink w:anchor="_Toc232114700" w:history="1">
            <w:r w:rsidRPr="00763072">
              <w:rPr>
                <w:rStyle w:val="Hyperlink"/>
                <w:noProof/>
              </w:rPr>
              <w:t>2.6 Statistical Analysis Plans in Clinical Trials</w:t>
            </w:r>
            <w:r>
              <w:rPr>
                <w:noProof/>
                <w:webHidden/>
              </w:rPr>
              <w:tab/>
            </w:r>
            <w:r>
              <w:rPr>
                <w:noProof/>
                <w:webHidden/>
              </w:rPr>
              <w:fldChar w:fldCharType="begin"/>
            </w:r>
            <w:r>
              <w:rPr>
                <w:noProof/>
                <w:webHidden/>
              </w:rPr>
              <w:instrText xml:space="preserve"> PAGEREF _Toc232114700 \h </w:instrText>
            </w:r>
            <w:r>
              <w:rPr>
                <w:noProof/>
                <w:webHidden/>
              </w:rPr>
            </w:r>
            <w:r>
              <w:rPr>
                <w:noProof/>
                <w:webHidden/>
              </w:rPr>
              <w:fldChar w:fldCharType="separate"/>
            </w:r>
            <w:r>
              <w:rPr>
                <w:noProof/>
                <w:webHidden/>
              </w:rPr>
              <w:t>14</w:t>
            </w:r>
            <w:r>
              <w:rPr>
                <w:noProof/>
                <w:webHidden/>
              </w:rPr>
              <w:fldChar w:fldCharType="end"/>
            </w:r>
          </w:hyperlink>
        </w:p>
        <w:p w14:paraId="0F033ED0" w14:textId="5589A2EE" w:rsidR="00020CAA" w:rsidRDefault="00020CAA">
          <w:pPr>
            <w:pStyle w:val="TOC1"/>
            <w:tabs>
              <w:tab w:val="left" w:pos="480"/>
              <w:tab w:val="right" w:leader="dot" w:pos="9016"/>
            </w:tabs>
            <w:rPr>
              <w:noProof/>
            </w:rPr>
          </w:pPr>
          <w:hyperlink w:anchor="_Toc232114701" w:history="1">
            <w:r w:rsidRPr="00763072">
              <w:rPr>
                <w:rStyle w:val="Hyperlink"/>
                <w:noProof/>
              </w:rPr>
              <w:t>3.</w:t>
            </w:r>
            <w:r>
              <w:rPr>
                <w:noProof/>
              </w:rPr>
              <w:tab/>
            </w:r>
            <w:r w:rsidRPr="00763072">
              <w:rPr>
                <w:rStyle w:val="Hyperlink"/>
                <w:noProof/>
              </w:rPr>
              <w:t>Case Study and Data Sources</w:t>
            </w:r>
            <w:r>
              <w:rPr>
                <w:noProof/>
                <w:webHidden/>
              </w:rPr>
              <w:tab/>
            </w:r>
            <w:r>
              <w:rPr>
                <w:noProof/>
                <w:webHidden/>
              </w:rPr>
              <w:fldChar w:fldCharType="begin"/>
            </w:r>
            <w:r>
              <w:rPr>
                <w:noProof/>
                <w:webHidden/>
              </w:rPr>
              <w:instrText xml:space="preserve"> PAGEREF _Toc232114701 \h </w:instrText>
            </w:r>
            <w:r>
              <w:rPr>
                <w:noProof/>
                <w:webHidden/>
              </w:rPr>
            </w:r>
            <w:r>
              <w:rPr>
                <w:noProof/>
                <w:webHidden/>
              </w:rPr>
              <w:fldChar w:fldCharType="separate"/>
            </w:r>
            <w:r>
              <w:rPr>
                <w:noProof/>
                <w:webHidden/>
              </w:rPr>
              <w:t>14</w:t>
            </w:r>
            <w:r>
              <w:rPr>
                <w:noProof/>
                <w:webHidden/>
              </w:rPr>
              <w:fldChar w:fldCharType="end"/>
            </w:r>
          </w:hyperlink>
        </w:p>
        <w:p w14:paraId="0A8D78AC" w14:textId="51F4ED6A" w:rsidR="00020CAA" w:rsidRDefault="00020CAA">
          <w:pPr>
            <w:pStyle w:val="TOC2"/>
            <w:tabs>
              <w:tab w:val="right" w:leader="dot" w:pos="9016"/>
            </w:tabs>
            <w:rPr>
              <w:noProof/>
            </w:rPr>
          </w:pPr>
          <w:hyperlink w:anchor="_Toc232114702" w:history="1">
            <w:r w:rsidRPr="00763072">
              <w:rPr>
                <w:rStyle w:val="Hyperlink"/>
                <w:noProof/>
              </w:rPr>
              <w:t>3.1 BioMimics 3D Vascular Stent</w:t>
            </w:r>
            <w:r>
              <w:rPr>
                <w:noProof/>
                <w:webHidden/>
              </w:rPr>
              <w:tab/>
            </w:r>
            <w:r>
              <w:rPr>
                <w:noProof/>
                <w:webHidden/>
              </w:rPr>
              <w:fldChar w:fldCharType="begin"/>
            </w:r>
            <w:r>
              <w:rPr>
                <w:noProof/>
                <w:webHidden/>
              </w:rPr>
              <w:instrText xml:space="preserve"> PAGEREF _Toc232114702 \h </w:instrText>
            </w:r>
            <w:r>
              <w:rPr>
                <w:noProof/>
                <w:webHidden/>
              </w:rPr>
            </w:r>
            <w:r>
              <w:rPr>
                <w:noProof/>
                <w:webHidden/>
              </w:rPr>
              <w:fldChar w:fldCharType="separate"/>
            </w:r>
            <w:r>
              <w:rPr>
                <w:noProof/>
                <w:webHidden/>
              </w:rPr>
              <w:t>14</w:t>
            </w:r>
            <w:r>
              <w:rPr>
                <w:noProof/>
                <w:webHidden/>
              </w:rPr>
              <w:fldChar w:fldCharType="end"/>
            </w:r>
          </w:hyperlink>
        </w:p>
        <w:p w14:paraId="705B206B" w14:textId="365DB8A7" w:rsidR="00020CAA" w:rsidRDefault="00020CAA">
          <w:pPr>
            <w:pStyle w:val="TOC2"/>
            <w:tabs>
              <w:tab w:val="right" w:leader="dot" w:pos="9016"/>
            </w:tabs>
            <w:rPr>
              <w:noProof/>
            </w:rPr>
          </w:pPr>
          <w:hyperlink w:anchor="_Toc232114703" w:history="1">
            <w:r w:rsidRPr="00763072">
              <w:rPr>
                <w:rStyle w:val="Hyperlink"/>
                <w:noProof/>
              </w:rPr>
              <w:t>3.2 Endpoints</w:t>
            </w:r>
            <w:r>
              <w:rPr>
                <w:noProof/>
                <w:webHidden/>
              </w:rPr>
              <w:tab/>
            </w:r>
            <w:r>
              <w:rPr>
                <w:noProof/>
                <w:webHidden/>
              </w:rPr>
              <w:fldChar w:fldCharType="begin"/>
            </w:r>
            <w:r>
              <w:rPr>
                <w:noProof/>
                <w:webHidden/>
              </w:rPr>
              <w:instrText xml:space="preserve"> PAGEREF _Toc232114703 \h </w:instrText>
            </w:r>
            <w:r>
              <w:rPr>
                <w:noProof/>
                <w:webHidden/>
              </w:rPr>
            </w:r>
            <w:r>
              <w:rPr>
                <w:noProof/>
                <w:webHidden/>
              </w:rPr>
              <w:fldChar w:fldCharType="separate"/>
            </w:r>
            <w:r>
              <w:rPr>
                <w:noProof/>
                <w:webHidden/>
              </w:rPr>
              <w:t>15</w:t>
            </w:r>
            <w:r>
              <w:rPr>
                <w:noProof/>
                <w:webHidden/>
              </w:rPr>
              <w:fldChar w:fldCharType="end"/>
            </w:r>
          </w:hyperlink>
        </w:p>
        <w:p w14:paraId="72F7A314" w14:textId="3F7C05CE" w:rsidR="00020CAA" w:rsidRDefault="00020CAA">
          <w:pPr>
            <w:pStyle w:val="TOC2"/>
            <w:tabs>
              <w:tab w:val="right" w:leader="dot" w:pos="9016"/>
            </w:tabs>
            <w:rPr>
              <w:noProof/>
            </w:rPr>
          </w:pPr>
          <w:hyperlink w:anchor="_Toc232114704" w:history="1">
            <w:r w:rsidRPr="00763072">
              <w:rPr>
                <w:rStyle w:val="Hyperlink"/>
                <w:noProof/>
              </w:rPr>
              <w:t>3.3 Literature Search and Meta-analysis Data</w:t>
            </w:r>
            <w:r>
              <w:rPr>
                <w:noProof/>
                <w:webHidden/>
              </w:rPr>
              <w:tab/>
            </w:r>
            <w:r>
              <w:rPr>
                <w:noProof/>
                <w:webHidden/>
              </w:rPr>
              <w:fldChar w:fldCharType="begin"/>
            </w:r>
            <w:r>
              <w:rPr>
                <w:noProof/>
                <w:webHidden/>
              </w:rPr>
              <w:instrText xml:space="preserve"> PAGEREF _Toc232114704 \h </w:instrText>
            </w:r>
            <w:r>
              <w:rPr>
                <w:noProof/>
                <w:webHidden/>
              </w:rPr>
            </w:r>
            <w:r>
              <w:rPr>
                <w:noProof/>
                <w:webHidden/>
              </w:rPr>
              <w:fldChar w:fldCharType="separate"/>
            </w:r>
            <w:r>
              <w:rPr>
                <w:noProof/>
                <w:webHidden/>
              </w:rPr>
              <w:t>15</w:t>
            </w:r>
            <w:r>
              <w:rPr>
                <w:noProof/>
                <w:webHidden/>
              </w:rPr>
              <w:fldChar w:fldCharType="end"/>
            </w:r>
          </w:hyperlink>
        </w:p>
        <w:p w14:paraId="213819FF" w14:textId="18EB34B9" w:rsidR="00020CAA" w:rsidRDefault="00020CAA">
          <w:pPr>
            <w:pStyle w:val="TOC2"/>
            <w:tabs>
              <w:tab w:val="right" w:leader="dot" w:pos="9016"/>
            </w:tabs>
            <w:rPr>
              <w:noProof/>
            </w:rPr>
          </w:pPr>
          <w:hyperlink w:anchor="_Toc232114705" w:history="1">
            <w:r w:rsidRPr="00763072">
              <w:rPr>
                <w:rStyle w:val="Hyperlink"/>
                <w:noProof/>
              </w:rPr>
              <w:t>3.4 Derivation of Performance Goals</w:t>
            </w:r>
            <w:r>
              <w:rPr>
                <w:noProof/>
                <w:webHidden/>
              </w:rPr>
              <w:tab/>
            </w:r>
            <w:r>
              <w:rPr>
                <w:noProof/>
                <w:webHidden/>
              </w:rPr>
              <w:fldChar w:fldCharType="begin"/>
            </w:r>
            <w:r>
              <w:rPr>
                <w:noProof/>
                <w:webHidden/>
              </w:rPr>
              <w:instrText xml:space="preserve"> PAGEREF _Toc232114705 \h </w:instrText>
            </w:r>
            <w:r>
              <w:rPr>
                <w:noProof/>
                <w:webHidden/>
              </w:rPr>
            </w:r>
            <w:r>
              <w:rPr>
                <w:noProof/>
                <w:webHidden/>
              </w:rPr>
              <w:fldChar w:fldCharType="separate"/>
            </w:r>
            <w:r>
              <w:rPr>
                <w:noProof/>
                <w:webHidden/>
              </w:rPr>
              <w:t>16</w:t>
            </w:r>
            <w:r>
              <w:rPr>
                <w:noProof/>
                <w:webHidden/>
              </w:rPr>
              <w:fldChar w:fldCharType="end"/>
            </w:r>
          </w:hyperlink>
        </w:p>
        <w:p w14:paraId="004A1C7D" w14:textId="7C836902" w:rsidR="00020CAA" w:rsidRDefault="00020CAA">
          <w:pPr>
            <w:pStyle w:val="TOC1"/>
            <w:tabs>
              <w:tab w:val="left" w:pos="480"/>
              <w:tab w:val="right" w:leader="dot" w:pos="9016"/>
            </w:tabs>
            <w:rPr>
              <w:noProof/>
            </w:rPr>
          </w:pPr>
          <w:hyperlink w:anchor="_Toc232114706" w:history="1">
            <w:r w:rsidRPr="00763072">
              <w:rPr>
                <w:rStyle w:val="Hyperlink"/>
                <w:noProof/>
              </w:rPr>
              <w:t>4.</w:t>
            </w:r>
            <w:r>
              <w:rPr>
                <w:noProof/>
              </w:rPr>
              <w:tab/>
            </w:r>
            <w:r w:rsidRPr="00763072">
              <w:rPr>
                <w:rStyle w:val="Hyperlink"/>
                <w:noProof/>
              </w:rPr>
              <w:t>Methods</w:t>
            </w:r>
            <w:r>
              <w:rPr>
                <w:noProof/>
                <w:webHidden/>
              </w:rPr>
              <w:tab/>
            </w:r>
            <w:r>
              <w:rPr>
                <w:noProof/>
                <w:webHidden/>
              </w:rPr>
              <w:fldChar w:fldCharType="begin"/>
            </w:r>
            <w:r>
              <w:rPr>
                <w:noProof/>
                <w:webHidden/>
              </w:rPr>
              <w:instrText xml:space="preserve"> PAGEREF _Toc232114706 \h </w:instrText>
            </w:r>
            <w:r>
              <w:rPr>
                <w:noProof/>
                <w:webHidden/>
              </w:rPr>
            </w:r>
            <w:r>
              <w:rPr>
                <w:noProof/>
                <w:webHidden/>
              </w:rPr>
              <w:fldChar w:fldCharType="separate"/>
            </w:r>
            <w:r>
              <w:rPr>
                <w:noProof/>
                <w:webHidden/>
              </w:rPr>
              <w:t>17</w:t>
            </w:r>
            <w:r>
              <w:rPr>
                <w:noProof/>
                <w:webHidden/>
              </w:rPr>
              <w:fldChar w:fldCharType="end"/>
            </w:r>
          </w:hyperlink>
        </w:p>
        <w:p w14:paraId="36339A83" w14:textId="0616B3C3" w:rsidR="00020CAA" w:rsidRDefault="00020CAA">
          <w:pPr>
            <w:pStyle w:val="TOC2"/>
            <w:tabs>
              <w:tab w:val="right" w:leader="dot" w:pos="9016"/>
            </w:tabs>
            <w:rPr>
              <w:noProof/>
            </w:rPr>
          </w:pPr>
          <w:hyperlink w:anchor="_Toc232114707" w:history="1">
            <w:r w:rsidRPr="00763072">
              <w:rPr>
                <w:rStyle w:val="Hyperlink"/>
                <w:noProof/>
              </w:rPr>
              <w:t>4.1 Simulation Study</w:t>
            </w:r>
            <w:r>
              <w:rPr>
                <w:noProof/>
                <w:webHidden/>
              </w:rPr>
              <w:tab/>
            </w:r>
            <w:r>
              <w:rPr>
                <w:noProof/>
                <w:webHidden/>
              </w:rPr>
              <w:fldChar w:fldCharType="begin"/>
            </w:r>
            <w:r>
              <w:rPr>
                <w:noProof/>
                <w:webHidden/>
              </w:rPr>
              <w:instrText xml:space="preserve"> PAGEREF _Toc232114707 \h </w:instrText>
            </w:r>
            <w:r>
              <w:rPr>
                <w:noProof/>
                <w:webHidden/>
              </w:rPr>
            </w:r>
            <w:r>
              <w:rPr>
                <w:noProof/>
                <w:webHidden/>
              </w:rPr>
              <w:fldChar w:fldCharType="separate"/>
            </w:r>
            <w:r>
              <w:rPr>
                <w:noProof/>
                <w:webHidden/>
              </w:rPr>
              <w:t>17</w:t>
            </w:r>
            <w:r>
              <w:rPr>
                <w:noProof/>
                <w:webHidden/>
              </w:rPr>
              <w:fldChar w:fldCharType="end"/>
            </w:r>
          </w:hyperlink>
        </w:p>
        <w:p w14:paraId="74BB68C8" w14:textId="49A2D89B" w:rsidR="00020CAA" w:rsidRDefault="00020CAA">
          <w:pPr>
            <w:pStyle w:val="TOC2"/>
            <w:tabs>
              <w:tab w:val="right" w:leader="dot" w:pos="9016"/>
            </w:tabs>
            <w:rPr>
              <w:noProof/>
            </w:rPr>
          </w:pPr>
          <w:hyperlink w:anchor="_Toc232114708" w:history="1">
            <w:r w:rsidRPr="00763072">
              <w:rPr>
                <w:rStyle w:val="Hyperlink"/>
                <w:noProof/>
              </w:rPr>
              <w:t>4.2 Sample Size Calculation</w:t>
            </w:r>
            <w:r>
              <w:rPr>
                <w:noProof/>
                <w:webHidden/>
              </w:rPr>
              <w:tab/>
            </w:r>
            <w:r>
              <w:rPr>
                <w:noProof/>
                <w:webHidden/>
              </w:rPr>
              <w:fldChar w:fldCharType="begin"/>
            </w:r>
            <w:r>
              <w:rPr>
                <w:noProof/>
                <w:webHidden/>
              </w:rPr>
              <w:instrText xml:space="preserve"> PAGEREF _Toc232114708 \h </w:instrText>
            </w:r>
            <w:r>
              <w:rPr>
                <w:noProof/>
                <w:webHidden/>
              </w:rPr>
            </w:r>
            <w:r>
              <w:rPr>
                <w:noProof/>
                <w:webHidden/>
              </w:rPr>
              <w:fldChar w:fldCharType="separate"/>
            </w:r>
            <w:r>
              <w:rPr>
                <w:noProof/>
                <w:webHidden/>
              </w:rPr>
              <w:t>18</w:t>
            </w:r>
            <w:r>
              <w:rPr>
                <w:noProof/>
                <w:webHidden/>
              </w:rPr>
              <w:fldChar w:fldCharType="end"/>
            </w:r>
          </w:hyperlink>
        </w:p>
        <w:p w14:paraId="54AFBD09" w14:textId="04FAB9A9" w:rsidR="00020CAA" w:rsidRDefault="00020CAA">
          <w:pPr>
            <w:pStyle w:val="TOC2"/>
            <w:tabs>
              <w:tab w:val="right" w:leader="dot" w:pos="9016"/>
            </w:tabs>
            <w:rPr>
              <w:noProof/>
            </w:rPr>
          </w:pPr>
          <w:hyperlink w:anchor="_Toc232114709" w:history="1">
            <w:r w:rsidRPr="00763072">
              <w:rPr>
                <w:rStyle w:val="Hyperlink"/>
                <w:noProof/>
              </w:rPr>
              <w:t>4.3 Shiny Application: PG-Power</w:t>
            </w:r>
            <w:r>
              <w:rPr>
                <w:noProof/>
                <w:webHidden/>
              </w:rPr>
              <w:tab/>
            </w:r>
            <w:r>
              <w:rPr>
                <w:noProof/>
                <w:webHidden/>
              </w:rPr>
              <w:fldChar w:fldCharType="begin"/>
            </w:r>
            <w:r>
              <w:rPr>
                <w:noProof/>
                <w:webHidden/>
              </w:rPr>
              <w:instrText xml:space="preserve"> PAGEREF _Toc232114709 \h </w:instrText>
            </w:r>
            <w:r>
              <w:rPr>
                <w:noProof/>
                <w:webHidden/>
              </w:rPr>
            </w:r>
            <w:r>
              <w:rPr>
                <w:noProof/>
                <w:webHidden/>
              </w:rPr>
              <w:fldChar w:fldCharType="separate"/>
            </w:r>
            <w:r>
              <w:rPr>
                <w:noProof/>
                <w:webHidden/>
              </w:rPr>
              <w:t>18</w:t>
            </w:r>
            <w:r>
              <w:rPr>
                <w:noProof/>
                <w:webHidden/>
              </w:rPr>
              <w:fldChar w:fldCharType="end"/>
            </w:r>
          </w:hyperlink>
        </w:p>
        <w:p w14:paraId="74F3F030" w14:textId="2835C178" w:rsidR="00020CAA" w:rsidRDefault="00020CAA">
          <w:pPr>
            <w:pStyle w:val="TOC2"/>
            <w:tabs>
              <w:tab w:val="right" w:leader="dot" w:pos="9016"/>
            </w:tabs>
            <w:rPr>
              <w:noProof/>
            </w:rPr>
          </w:pPr>
          <w:hyperlink w:anchor="_Toc232114710" w:history="1">
            <w:r w:rsidRPr="00763072">
              <w:rPr>
                <w:rStyle w:val="Hyperlink"/>
                <w:noProof/>
              </w:rPr>
              <w:t>4.4 Applying Bayesian Borrowing to the Safety Endpoint</w:t>
            </w:r>
            <w:r>
              <w:rPr>
                <w:noProof/>
                <w:webHidden/>
              </w:rPr>
              <w:tab/>
            </w:r>
            <w:r>
              <w:rPr>
                <w:noProof/>
                <w:webHidden/>
              </w:rPr>
              <w:fldChar w:fldCharType="begin"/>
            </w:r>
            <w:r>
              <w:rPr>
                <w:noProof/>
                <w:webHidden/>
              </w:rPr>
              <w:instrText xml:space="preserve"> PAGEREF _Toc232114710 \h </w:instrText>
            </w:r>
            <w:r>
              <w:rPr>
                <w:noProof/>
                <w:webHidden/>
              </w:rPr>
            </w:r>
            <w:r>
              <w:rPr>
                <w:noProof/>
                <w:webHidden/>
              </w:rPr>
              <w:fldChar w:fldCharType="separate"/>
            </w:r>
            <w:r>
              <w:rPr>
                <w:noProof/>
                <w:webHidden/>
              </w:rPr>
              <w:t>19</w:t>
            </w:r>
            <w:r>
              <w:rPr>
                <w:noProof/>
                <w:webHidden/>
              </w:rPr>
              <w:fldChar w:fldCharType="end"/>
            </w:r>
          </w:hyperlink>
        </w:p>
        <w:p w14:paraId="4D524D2F" w14:textId="46C35EF9" w:rsidR="00020CAA" w:rsidRDefault="00020CAA">
          <w:pPr>
            <w:pStyle w:val="TOC1"/>
            <w:tabs>
              <w:tab w:val="left" w:pos="480"/>
              <w:tab w:val="right" w:leader="dot" w:pos="9016"/>
            </w:tabs>
            <w:rPr>
              <w:noProof/>
            </w:rPr>
          </w:pPr>
          <w:hyperlink w:anchor="_Toc232114711" w:history="1">
            <w:r w:rsidRPr="00763072">
              <w:rPr>
                <w:rStyle w:val="Hyperlink"/>
                <w:noProof/>
              </w:rPr>
              <w:t>5.</w:t>
            </w:r>
            <w:r>
              <w:rPr>
                <w:noProof/>
              </w:rPr>
              <w:tab/>
            </w:r>
            <w:r w:rsidRPr="00763072">
              <w:rPr>
                <w:rStyle w:val="Hyperlink"/>
                <w:noProof/>
              </w:rPr>
              <w:t>Results</w:t>
            </w:r>
            <w:r>
              <w:rPr>
                <w:noProof/>
                <w:webHidden/>
              </w:rPr>
              <w:tab/>
            </w:r>
            <w:r>
              <w:rPr>
                <w:noProof/>
                <w:webHidden/>
              </w:rPr>
              <w:fldChar w:fldCharType="begin"/>
            </w:r>
            <w:r>
              <w:rPr>
                <w:noProof/>
                <w:webHidden/>
              </w:rPr>
              <w:instrText xml:space="preserve"> PAGEREF _Toc232114711 \h </w:instrText>
            </w:r>
            <w:r>
              <w:rPr>
                <w:noProof/>
                <w:webHidden/>
              </w:rPr>
            </w:r>
            <w:r>
              <w:rPr>
                <w:noProof/>
                <w:webHidden/>
              </w:rPr>
              <w:fldChar w:fldCharType="separate"/>
            </w:r>
            <w:r>
              <w:rPr>
                <w:noProof/>
                <w:webHidden/>
              </w:rPr>
              <w:t>19</w:t>
            </w:r>
            <w:r>
              <w:rPr>
                <w:noProof/>
                <w:webHidden/>
              </w:rPr>
              <w:fldChar w:fldCharType="end"/>
            </w:r>
          </w:hyperlink>
        </w:p>
        <w:p w14:paraId="6967E5B4" w14:textId="5E88CC10" w:rsidR="00020CAA" w:rsidRDefault="00020CAA">
          <w:pPr>
            <w:pStyle w:val="TOC2"/>
            <w:tabs>
              <w:tab w:val="right" w:leader="dot" w:pos="9016"/>
            </w:tabs>
            <w:rPr>
              <w:noProof/>
            </w:rPr>
          </w:pPr>
          <w:hyperlink w:anchor="_Toc232114712" w:history="1">
            <w:r w:rsidRPr="00763072">
              <w:rPr>
                <w:rStyle w:val="Hyperlink"/>
                <w:noProof/>
              </w:rPr>
              <w:t>5.1 Meta-Analysis Results</w:t>
            </w:r>
            <w:r>
              <w:rPr>
                <w:noProof/>
                <w:webHidden/>
              </w:rPr>
              <w:tab/>
            </w:r>
            <w:r>
              <w:rPr>
                <w:noProof/>
                <w:webHidden/>
              </w:rPr>
              <w:fldChar w:fldCharType="begin"/>
            </w:r>
            <w:r>
              <w:rPr>
                <w:noProof/>
                <w:webHidden/>
              </w:rPr>
              <w:instrText xml:space="preserve"> PAGEREF _Toc232114712 \h </w:instrText>
            </w:r>
            <w:r>
              <w:rPr>
                <w:noProof/>
                <w:webHidden/>
              </w:rPr>
            </w:r>
            <w:r>
              <w:rPr>
                <w:noProof/>
                <w:webHidden/>
              </w:rPr>
              <w:fldChar w:fldCharType="separate"/>
            </w:r>
            <w:r>
              <w:rPr>
                <w:noProof/>
                <w:webHidden/>
              </w:rPr>
              <w:t>19</w:t>
            </w:r>
            <w:r>
              <w:rPr>
                <w:noProof/>
                <w:webHidden/>
              </w:rPr>
              <w:fldChar w:fldCharType="end"/>
            </w:r>
          </w:hyperlink>
        </w:p>
        <w:p w14:paraId="51E41E3B" w14:textId="1F4A44A0" w:rsidR="00020CAA" w:rsidRDefault="00020CAA">
          <w:pPr>
            <w:pStyle w:val="TOC2"/>
            <w:tabs>
              <w:tab w:val="right" w:leader="dot" w:pos="9016"/>
            </w:tabs>
            <w:rPr>
              <w:noProof/>
            </w:rPr>
          </w:pPr>
          <w:hyperlink w:anchor="_Toc232114713" w:history="1">
            <w:r w:rsidRPr="00763072">
              <w:rPr>
                <w:rStyle w:val="Hyperlink"/>
                <w:noProof/>
              </w:rPr>
              <w:t>5.2 Simulation Study: CI Method Comparison</w:t>
            </w:r>
            <w:r>
              <w:rPr>
                <w:noProof/>
                <w:webHidden/>
              </w:rPr>
              <w:tab/>
            </w:r>
            <w:r>
              <w:rPr>
                <w:noProof/>
                <w:webHidden/>
              </w:rPr>
              <w:fldChar w:fldCharType="begin"/>
            </w:r>
            <w:r>
              <w:rPr>
                <w:noProof/>
                <w:webHidden/>
              </w:rPr>
              <w:instrText xml:space="preserve"> PAGEREF _Toc232114713 \h </w:instrText>
            </w:r>
            <w:r>
              <w:rPr>
                <w:noProof/>
                <w:webHidden/>
              </w:rPr>
            </w:r>
            <w:r>
              <w:rPr>
                <w:noProof/>
                <w:webHidden/>
              </w:rPr>
              <w:fldChar w:fldCharType="separate"/>
            </w:r>
            <w:r>
              <w:rPr>
                <w:noProof/>
                <w:webHidden/>
              </w:rPr>
              <w:t>21</w:t>
            </w:r>
            <w:r>
              <w:rPr>
                <w:noProof/>
                <w:webHidden/>
              </w:rPr>
              <w:fldChar w:fldCharType="end"/>
            </w:r>
          </w:hyperlink>
        </w:p>
        <w:p w14:paraId="3768903B" w14:textId="0EDE1220" w:rsidR="00020CAA" w:rsidRDefault="00020CAA">
          <w:pPr>
            <w:pStyle w:val="TOC2"/>
            <w:tabs>
              <w:tab w:val="right" w:leader="dot" w:pos="9016"/>
            </w:tabs>
            <w:rPr>
              <w:noProof/>
            </w:rPr>
          </w:pPr>
          <w:hyperlink w:anchor="_Toc232114714" w:history="1">
            <w:r w:rsidRPr="00763072">
              <w:rPr>
                <w:rStyle w:val="Hyperlink"/>
                <w:noProof/>
              </w:rPr>
              <w:t>5.3 Sample Size and Confidence Interval Method Comparison</w:t>
            </w:r>
            <w:r>
              <w:rPr>
                <w:noProof/>
                <w:webHidden/>
              </w:rPr>
              <w:tab/>
            </w:r>
            <w:r>
              <w:rPr>
                <w:noProof/>
                <w:webHidden/>
              </w:rPr>
              <w:fldChar w:fldCharType="begin"/>
            </w:r>
            <w:r>
              <w:rPr>
                <w:noProof/>
                <w:webHidden/>
              </w:rPr>
              <w:instrText xml:space="preserve"> PAGEREF _Toc232114714 \h </w:instrText>
            </w:r>
            <w:r>
              <w:rPr>
                <w:noProof/>
                <w:webHidden/>
              </w:rPr>
            </w:r>
            <w:r>
              <w:rPr>
                <w:noProof/>
                <w:webHidden/>
              </w:rPr>
              <w:fldChar w:fldCharType="separate"/>
            </w:r>
            <w:r>
              <w:rPr>
                <w:noProof/>
                <w:webHidden/>
              </w:rPr>
              <w:t>26</w:t>
            </w:r>
            <w:r>
              <w:rPr>
                <w:noProof/>
                <w:webHidden/>
              </w:rPr>
              <w:fldChar w:fldCharType="end"/>
            </w:r>
          </w:hyperlink>
        </w:p>
        <w:p w14:paraId="4171F642" w14:textId="153CCF85" w:rsidR="00020CAA" w:rsidRDefault="00020CAA">
          <w:pPr>
            <w:pStyle w:val="TOC2"/>
            <w:tabs>
              <w:tab w:val="right" w:leader="dot" w:pos="9016"/>
            </w:tabs>
            <w:rPr>
              <w:noProof/>
            </w:rPr>
          </w:pPr>
          <w:hyperlink w:anchor="_Toc232114715" w:history="1">
            <w:r w:rsidRPr="00763072">
              <w:rPr>
                <w:rStyle w:val="Hyperlink"/>
                <w:noProof/>
              </w:rPr>
              <w:t>5.4 Bayesian Historical Borrowing Results</w:t>
            </w:r>
            <w:r>
              <w:rPr>
                <w:noProof/>
                <w:webHidden/>
              </w:rPr>
              <w:tab/>
            </w:r>
            <w:r>
              <w:rPr>
                <w:noProof/>
                <w:webHidden/>
              </w:rPr>
              <w:fldChar w:fldCharType="begin"/>
            </w:r>
            <w:r>
              <w:rPr>
                <w:noProof/>
                <w:webHidden/>
              </w:rPr>
              <w:instrText xml:space="preserve"> PAGEREF _Toc232114715 \h </w:instrText>
            </w:r>
            <w:r>
              <w:rPr>
                <w:noProof/>
                <w:webHidden/>
              </w:rPr>
            </w:r>
            <w:r>
              <w:rPr>
                <w:noProof/>
                <w:webHidden/>
              </w:rPr>
              <w:fldChar w:fldCharType="separate"/>
            </w:r>
            <w:r>
              <w:rPr>
                <w:noProof/>
                <w:webHidden/>
              </w:rPr>
              <w:t>27</w:t>
            </w:r>
            <w:r>
              <w:rPr>
                <w:noProof/>
                <w:webHidden/>
              </w:rPr>
              <w:fldChar w:fldCharType="end"/>
            </w:r>
          </w:hyperlink>
        </w:p>
        <w:p w14:paraId="4C011F1D" w14:textId="5112BAB1" w:rsidR="00020CAA" w:rsidRDefault="00020CAA">
          <w:pPr>
            <w:pStyle w:val="TOC1"/>
            <w:tabs>
              <w:tab w:val="left" w:pos="480"/>
              <w:tab w:val="right" w:leader="dot" w:pos="9016"/>
            </w:tabs>
            <w:rPr>
              <w:noProof/>
            </w:rPr>
          </w:pPr>
          <w:hyperlink w:anchor="_Toc232114716" w:history="1">
            <w:r w:rsidRPr="00763072">
              <w:rPr>
                <w:rStyle w:val="Hyperlink"/>
                <w:noProof/>
              </w:rPr>
              <w:t>6.</w:t>
            </w:r>
            <w:r>
              <w:rPr>
                <w:noProof/>
              </w:rPr>
              <w:tab/>
            </w:r>
            <w:r w:rsidRPr="00763072">
              <w:rPr>
                <w:rStyle w:val="Hyperlink"/>
                <w:noProof/>
              </w:rPr>
              <w:t>Discussion</w:t>
            </w:r>
            <w:r>
              <w:rPr>
                <w:noProof/>
                <w:webHidden/>
              </w:rPr>
              <w:tab/>
            </w:r>
            <w:r>
              <w:rPr>
                <w:noProof/>
                <w:webHidden/>
              </w:rPr>
              <w:fldChar w:fldCharType="begin"/>
            </w:r>
            <w:r>
              <w:rPr>
                <w:noProof/>
                <w:webHidden/>
              </w:rPr>
              <w:instrText xml:space="preserve"> PAGEREF _Toc232114716 \h </w:instrText>
            </w:r>
            <w:r>
              <w:rPr>
                <w:noProof/>
                <w:webHidden/>
              </w:rPr>
            </w:r>
            <w:r>
              <w:rPr>
                <w:noProof/>
                <w:webHidden/>
              </w:rPr>
              <w:fldChar w:fldCharType="separate"/>
            </w:r>
            <w:r>
              <w:rPr>
                <w:noProof/>
                <w:webHidden/>
              </w:rPr>
              <w:t>29</w:t>
            </w:r>
            <w:r>
              <w:rPr>
                <w:noProof/>
                <w:webHidden/>
              </w:rPr>
              <w:fldChar w:fldCharType="end"/>
            </w:r>
          </w:hyperlink>
        </w:p>
        <w:p w14:paraId="62136CE8" w14:textId="13F6461D" w:rsidR="00020CAA" w:rsidRDefault="00020CAA">
          <w:pPr>
            <w:pStyle w:val="TOC2"/>
            <w:tabs>
              <w:tab w:val="right" w:leader="dot" w:pos="9016"/>
            </w:tabs>
            <w:rPr>
              <w:noProof/>
            </w:rPr>
          </w:pPr>
          <w:hyperlink w:anchor="_Toc232114717" w:history="1">
            <w:r w:rsidRPr="00763072">
              <w:rPr>
                <w:rStyle w:val="Hyperlink"/>
                <w:noProof/>
              </w:rPr>
              <w:t>6.1 Interpretation of main findings</w:t>
            </w:r>
            <w:r>
              <w:rPr>
                <w:noProof/>
                <w:webHidden/>
              </w:rPr>
              <w:tab/>
            </w:r>
            <w:r>
              <w:rPr>
                <w:noProof/>
                <w:webHidden/>
              </w:rPr>
              <w:fldChar w:fldCharType="begin"/>
            </w:r>
            <w:r>
              <w:rPr>
                <w:noProof/>
                <w:webHidden/>
              </w:rPr>
              <w:instrText xml:space="preserve"> PAGEREF _Toc232114717 \h </w:instrText>
            </w:r>
            <w:r>
              <w:rPr>
                <w:noProof/>
                <w:webHidden/>
              </w:rPr>
            </w:r>
            <w:r>
              <w:rPr>
                <w:noProof/>
                <w:webHidden/>
              </w:rPr>
              <w:fldChar w:fldCharType="separate"/>
            </w:r>
            <w:r>
              <w:rPr>
                <w:noProof/>
                <w:webHidden/>
              </w:rPr>
              <w:t>29</w:t>
            </w:r>
            <w:r>
              <w:rPr>
                <w:noProof/>
                <w:webHidden/>
              </w:rPr>
              <w:fldChar w:fldCharType="end"/>
            </w:r>
          </w:hyperlink>
        </w:p>
        <w:p w14:paraId="1E45E42A" w14:textId="2F42A013" w:rsidR="00020CAA" w:rsidRDefault="00020CAA">
          <w:pPr>
            <w:pStyle w:val="TOC3"/>
            <w:tabs>
              <w:tab w:val="right" w:leader="dot" w:pos="9016"/>
            </w:tabs>
            <w:rPr>
              <w:noProof/>
            </w:rPr>
          </w:pPr>
          <w:hyperlink w:anchor="_Toc232114718" w:history="1">
            <w:r w:rsidRPr="00763072">
              <w:rPr>
                <w:rStyle w:val="Hyperlink"/>
                <w:noProof/>
              </w:rPr>
              <w:t>Aim 1: Deriving evidence-based performance goals through meta-analysis</w:t>
            </w:r>
            <w:r>
              <w:rPr>
                <w:noProof/>
                <w:webHidden/>
              </w:rPr>
              <w:tab/>
            </w:r>
            <w:r>
              <w:rPr>
                <w:noProof/>
                <w:webHidden/>
              </w:rPr>
              <w:fldChar w:fldCharType="begin"/>
            </w:r>
            <w:r>
              <w:rPr>
                <w:noProof/>
                <w:webHidden/>
              </w:rPr>
              <w:instrText xml:space="preserve"> PAGEREF _Toc232114718 \h </w:instrText>
            </w:r>
            <w:r>
              <w:rPr>
                <w:noProof/>
                <w:webHidden/>
              </w:rPr>
            </w:r>
            <w:r>
              <w:rPr>
                <w:noProof/>
                <w:webHidden/>
              </w:rPr>
              <w:fldChar w:fldCharType="separate"/>
            </w:r>
            <w:r>
              <w:rPr>
                <w:noProof/>
                <w:webHidden/>
              </w:rPr>
              <w:t>29</w:t>
            </w:r>
            <w:r>
              <w:rPr>
                <w:noProof/>
                <w:webHidden/>
              </w:rPr>
              <w:fldChar w:fldCharType="end"/>
            </w:r>
          </w:hyperlink>
        </w:p>
        <w:p w14:paraId="7A4ED79A" w14:textId="6E20670F" w:rsidR="00020CAA" w:rsidRDefault="00020CAA">
          <w:pPr>
            <w:pStyle w:val="TOC3"/>
            <w:tabs>
              <w:tab w:val="right" w:leader="dot" w:pos="9016"/>
            </w:tabs>
            <w:rPr>
              <w:noProof/>
            </w:rPr>
          </w:pPr>
          <w:hyperlink w:anchor="_Toc232114719" w:history="1">
            <w:r w:rsidRPr="00763072">
              <w:rPr>
                <w:rStyle w:val="Hyperlink"/>
                <w:noProof/>
              </w:rPr>
              <w:t>Aim 2: Comparing confidence interval methods for binary endpoints</w:t>
            </w:r>
            <w:r>
              <w:rPr>
                <w:noProof/>
                <w:webHidden/>
              </w:rPr>
              <w:tab/>
            </w:r>
            <w:r>
              <w:rPr>
                <w:noProof/>
                <w:webHidden/>
              </w:rPr>
              <w:fldChar w:fldCharType="begin"/>
            </w:r>
            <w:r>
              <w:rPr>
                <w:noProof/>
                <w:webHidden/>
              </w:rPr>
              <w:instrText xml:space="preserve"> PAGEREF _Toc232114719 \h </w:instrText>
            </w:r>
            <w:r>
              <w:rPr>
                <w:noProof/>
                <w:webHidden/>
              </w:rPr>
            </w:r>
            <w:r>
              <w:rPr>
                <w:noProof/>
                <w:webHidden/>
              </w:rPr>
              <w:fldChar w:fldCharType="separate"/>
            </w:r>
            <w:r>
              <w:rPr>
                <w:noProof/>
                <w:webHidden/>
              </w:rPr>
              <w:t>30</w:t>
            </w:r>
            <w:r>
              <w:rPr>
                <w:noProof/>
                <w:webHidden/>
              </w:rPr>
              <w:fldChar w:fldCharType="end"/>
            </w:r>
          </w:hyperlink>
        </w:p>
        <w:p w14:paraId="3DB21F90" w14:textId="6B2A4C97" w:rsidR="00020CAA" w:rsidRDefault="00020CAA">
          <w:pPr>
            <w:pStyle w:val="TOC3"/>
            <w:tabs>
              <w:tab w:val="right" w:leader="dot" w:pos="9016"/>
            </w:tabs>
            <w:rPr>
              <w:noProof/>
            </w:rPr>
          </w:pPr>
          <w:hyperlink w:anchor="_Toc232114720" w:history="1">
            <w:r w:rsidRPr="00763072">
              <w:rPr>
                <w:rStyle w:val="Hyperlink"/>
                <w:noProof/>
              </w:rPr>
              <w:t>Aim 3: Evaluating the effect of performance goal and interval choice on sample size and conclusions</w:t>
            </w:r>
            <w:r>
              <w:rPr>
                <w:noProof/>
                <w:webHidden/>
              </w:rPr>
              <w:tab/>
            </w:r>
            <w:r>
              <w:rPr>
                <w:noProof/>
                <w:webHidden/>
              </w:rPr>
              <w:fldChar w:fldCharType="begin"/>
            </w:r>
            <w:r>
              <w:rPr>
                <w:noProof/>
                <w:webHidden/>
              </w:rPr>
              <w:instrText xml:space="preserve"> PAGEREF _Toc232114720 \h </w:instrText>
            </w:r>
            <w:r>
              <w:rPr>
                <w:noProof/>
                <w:webHidden/>
              </w:rPr>
            </w:r>
            <w:r>
              <w:rPr>
                <w:noProof/>
                <w:webHidden/>
              </w:rPr>
              <w:fldChar w:fldCharType="separate"/>
            </w:r>
            <w:r>
              <w:rPr>
                <w:noProof/>
                <w:webHidden/>
              </w:rPr>
              <w:t>30</w:t>
            </w:r>
            <w:r>
              <w:rPr>
                <w:noProof/>
                <w:webHidden/>
              </w:rPr>
              <w:fldChar w:fldCharType="end"/>
            </w:r>
          </w:hyperlink>
        </w:p>
        <w:p w14:paraId="7571B173" w14:textId="525DC406" w:rsidR="00020CAA" w:rsidRDefault="00020CAA">
          <w:pPr>
            <w:pStyle w:val="TOC3"/>
            <w:tabs>
              <w:tab w:val="right" w:leader="dot" w:pos="9016"/>
            </w:tabs>
            <w:rPr>
              <w:noProof/>
            </w:rPr>
          </w:pPr>
          <w:hyperlink w:anchor="_Toc232114721" w:history="1">
            <w:r w:rsidRPr="00763072">
              <w:rPr>
                <w:rStyle w:val="Hyperlink"/>
                <w:noProof/>
              </w:rPr>
              <w:t>Aim 4: Developing PG-Power</w:t>
            </w:r>
            <w:r>
              <w:rPr>
                <w:noProof/>
                <w:webHidden/>
              </w:rPr>
              <w:tab/>
            </w:r>
            <w:r>
              <w:rPr>
                <w:noProof/>
                <w:webHidden/>
              </w:rPr>
              <w:fldChar w:fldCharType="begin"/>
            </w:r>
            <w:r>
              <w:rPr>
                <w:noProof/>
                <w:webHidden/>
              </w:rPr>
              <w:instrText xml:space="preserve"> PAGEREF _Toc232114721 \h </w:instrText>
            </w:r>
            <w:r>
              <w:rPr>
                <w:noProof/>
                <w:webHidden/>
              </w:rPr>
            </w:r>
            <w:r>
              <w:rPr>
                <w:noProof/>
                <w:webHidden/>
              </w:rPr>
              <w:fldChar w:fldCharType="separate"/>
            </w:r>
            <w:r>
              <w:rPr>
                <w:noProof/>
                <w:webHidden/>
              </w:rPr>
              <w:t>31</w:t>
            </w:r>
            <w:r>
              <w:rPr>
                <w:noProof/>
                <w:webHidden/>
              </w:rPr>
              <w:fldChar w:fldCharType="end"/>
            </w:r>
          </w:hyperlink>
        </w:p>
        <w:p w14:paraId="25B17653" w14:textId="1CCABF60" w:rsidR="00020CAA" w:rsidRDefault="00020CAA">
          <w:pPr>
            <w:pStyle w:val="TOC3"/>
            <w:tabs>
              <w:tab w:val="right" w:leader="dot" w:pos="9016"/>
            </w:tabs>
            <w:rPr>
              <w:noProof/>
            </w:rPr>
          </w:pPr>
          <w:hyperlink w:anchor="_Toc232114722" w:history="1">
            <w:r w:rsidRPr="00763072">
              <w:rPr>
                <w:rStyle w:val="Hyperlink"/>
                <w:noProof/>
              </w:rPr>
              <w:t>Aim 5: Exploring Bayesian historical borrowing</w:t>
            </w:r>
            <w:r>
              <w:rPr>
                <w:noProof/>
                <w:webHidden/>
              </w:rPr>
              <w:tab/>
            </w:r>
            <w:r>
              <w:rPr>
                <w:noProof/>
                <w:webHidden/>
              </w:rPr>
              <w:fldChar w:fldCharType="begin"/>
            </w:r>
            <w:r>
              <w:rPr>
                <w:noProof/>
                <w:webHidden/>
              </w:rPr>
              <w:instrText xml:space="preserve"> PAGEREF _Toc232114722 \h </w:instrText>
            </w:r>
            <w:r>
              <w:rPr>
                <w:noProof/>
                <w:webHidden/>
              </w:rPr>
            </w:r>
            <w:r>
              <w:rPr>
                <w:noProof/>
                <w:webHidden/>
              </w:rPr>
              <w:fldChar w:fldCharType="separate"/>
            </w:r>
            <w:r>
              <w:rPr>
                <w:noProof/>
                <w:webHidden/>
              </w:rPr>
              <w:t>31</w:t>
            </w:r>
            <w:r>
              <w:rPr>
                <w:noProof/>
                <w:webHidden/>
              </w:rPr>
              <w:fldChar w:fldCharType="end"/>
            </w:r>
          </w:hyperlink>
        </w:p>
        <w:p w14:paraId="24151736" w14:textId="47FA5A3E" w:rsidR="00020CAA" w:rsidRDefault="00020CAA">
          <w:pPr>
            <w:pStyle w:val="TOC3"/>
            <w:tabs>
              <w:tab w:val="right" w:leader="dot" w:pos="9016"/>
            </w:tabs>
            <w:rPr>
              <w:noProof/>
            </w:rPr>
          </w:pPr>
          <w:hyperlink w:anchor="_Toc232114723" w:history="1">
            <w:r w:rsidRPr="00763072">
              <w:rPr>
                <w:rStyle w:val="Hyperlink"/>
                <w:noProof/>
              </w:rPr>
              <w:t>Combined implications</w:t>
            </w:r>
            <w:r>
              <w:rPr>
                <w:noProof/>
                <w:webHidden/>
              </w:rPr>
              <w:tab/>
            </w:r>
            <w:r>
              <w:rPr>
                <w:noProof/>
                <w:webHidden/>
              </w:rPr>
              <w:fldChar w:fldCharType="begin"/>
            </w:r>
            <w:r>
              <w:rPr>
                <w:noProof/>
                <w:webHidden/>
              </w:rPr>
              <w:instrText xml:space="preserve"> PAGEREF _Toc232114723 \h </w:instrText>
            </w:r>
            <w:r>
              <w:rPr>
                <w:noProof/>
                <w:webHidden/>
              </w:rPr>
            </w:r>
            <w:r>
              <w:rPr>
                <w:noProof/>
                <w:webHidden/>
              </w:rPr>
              <w:fldChar w:fldCharType="separate"/>
            </w:r>
            <w:r>
              <w:rPr>
                <w:noProof/>
                <w:webHidden/>
              </w:rPr>
              <w:t>32</w:t>
            </w:r>
            <w:r>
              <w:rPr>
                <w:noProof/>
                <w:webHidden/>
              </w:rPr>
              <w:fldChar w:fldCharType="end"/>
            </w:r>
          </w:hyperlink>
        </w:p>
        <w:p w14:paraId="582829EA" w14:textId="38838AD7" w:rsidR="00020CAA" w:rsidRDefault="00020CAA">
          <w:pPr>
            <w:pStyle w:val="TOC2"/>
            <w:tabs>
              <w:tab w:val="right" w:leader="dot" w:pos="9016"/>
            </w:tabs>
            <w:rPr>
              <w:noProof/>
            </w:rPr>
          </w:pPr>
          <w:hyperlink w:anchor="_Toc232114724" w:history="1">
            <w:r w:rsidRPr="00763072">
              <w:rPr>
                <w:rStyle w:val="Hyperlink"/>
                <w:noProof/>
              </w:rPr>
              <w:t>6.2 SAP in Performance Goal Studies</w:t>
            </w:r>
            <w:r>
              <w:rPr>
                <w:noProof/>
                <w:webHidden/>
              </w:rPr>
              <w:tab/>
            </w:r>
            <w:r>
              <w:rPr>
                <w:noProof/>
                <w:webHidden/>
              </w:rPr>
              <w:fldChar w:fldCharType="begin"/>
            </w:r>
            <w:r>
              <w:rPr>
                <w:noProof/>
                <w:webHidden/>
              </w:rPr>
              <w:instrText xml:space="preserve"> PAGEREF _Toc232114724 \h </w:instrText>
            </w:r>
            <w:r>
              <w:rPr>
                <w:noProof/>
                <w:webHidden/>
              </w:rPr>
            </w:r>
            <w:r>
              <w:rPr>
                <w:noProof/>
                <w:webHidden/>
              </w:rPr>
              <w:fldChar w:fldCharType="separate"/>
            </w:r>
            <w:r>
              <w:rPr>
                <w:noProof/>
                <w:webHidden/>
              </w:rPr>
              <w:t>32</w:t>
            </w:r>
            <w:r>
              <w:rPr>
                <w:noProof/>
                <w:webHidden/>
              </w:rPr>
              <w:fldChar w:fldCharType="end"/>
            </w:r>
          </w:hyperlink>
        </w:p>
        <w:p w14:paraId="17DCD1CC" w14:textId="1A098193" w:rsidR="00020CAA" w:rsidRDefault="00020CAA">
          <w:pPr>
            <w:pStyle w:val="TOC2"/>
            <w:tabs>
              <w:tab w:val="right" w:leader="dot" w:pos="9016"/>
            </w:tabs>
            <w:rPr>
              <w:noProof/>
            </w:rPr>
          </w:pPr>
          <w:hyperlink w:anchor="_Toc232114725" w:history="1">
            <w:r w:rsidRPr="00763072">
              <w:rPr>
                <w:rStyle w:val="Hyperlink"/>
                <w:noProof/>
              </w:rPr>
              <w:t>6.3 Study Limitations</w:t>
            </w:r>
            <w:r>
              <w:rPr>
                <w:noProof/>
                <w:webHidden/>
              </w:rPr>
              <w:tab/>
            </w:r>
            <w:r>
              <w:rPr>
                <w:noProof/>
                <w:webHidden/>
              </w:rPr>
              <w:fldChar w:fldCharType="begin"/>
            </w:r>
            <w:r>
              <w:rPr>
                <w:noProof/>
                <w:webHidden/>
              </w:rPr>
              <w:instrText xml:space="preserve"> PAGEREF _Toc232114725 \h </w:instrText>
            </w:r>
            <w:r>
              <w:rPr>
                <w:noProof/>
                <w:webHidden/>
              </w:rPr>
            </w:r>
            <w:r>
              <w:rPr>
                <w:noProof/>
                <w:webHidden/>
              </w:rPr>
              <w:fldChar w:fldCharType="separate"/>
            </w:r>
            <w:r>
              <w:rPr>
                <w:noProof/>
                <w:webHidden/>
              </w:rPr>
              <w:t>33</w:t>
            </w:r>
            <w:r>
              <w:rPr>
                <w:noProof/>
                <w:webHidden/>
              </w:rPr>
              <w:fldChar w:fldCharType="end"/>
            </w:r>
          </w:hyperlink>
        </w:p>
        <w:p w14:paraId="0D694625" w14:textId="5731B556" w:rsidR="00020CAA" w:rsidRDefault="00020CAA">
          <w:pPr>
            <w:pStyle w:val="TOC2"/>
            <w:tabs>
              <w:tab w:val="right" w:leader="dot" w:pos="9016"/>
            </w:tabs>
            <w:rPr>
              <w:noProof/>
            </w:rPr>
          </w:pPr>
          <w:hyperlink w:anchor="_Toc232114726" w:history="1">
            <w:r w:rsidRPr="00763072">
              <w:rPr>
                <w:rStyle w:val="Hyperlink"/>
                <w:noProof/>
              </w:rPr>
              <w:t>6.4 Directions for Future Research</w:t>
            </w:r>
            <w:r>
              <w:rPr>
                <w:noProof/>
                <w:webHidden/>
              </w:rPr>
              <w:tab/>
            </w:r>
            <w:r>
              <w:rPr>
                <w:noProof/>
                <w:webHidden/>
              </w:rPr>
              <w:fldChar w:fldCharType="begin"/>
            </w:r>
            <w:r>
              <w:rPr>
                <w:noProof/>
                <w:webHidden/>
              </w:rPr>
              <w:instrText xml:space="preserve"> PAGEREF _Toc232114726 \h </w:instrText>
            </w:r>
            <w:r>
              <w:rPr>
                <w:noProof/>
                <w:webHidden/>
              </w:rPr>
            </w:r>
            <w:r>
              <w:rPr>
                <w:noProof/>
                <w:webHidden/>
              </w:rPr>
              <w:fldChar w:fldCharType="separate"/>
            </w:r>
            <w:r>
              <w:rPr>
                <w:noProof/>
                <w:webHidden/>
              </w:rPr>
              <w:t>33</w:t>
            </w:r>
            <w:r>
              <w:rPr>
                <w:noProof/>
                <w:webHidden/>
              </w:rPr>
              <w:fldChar w:fldCharType="end"/>
            </w:r>
          </w:hyperlink>
        </w:p>
        <w:p w14:paraId="1AB4B46A" w14:textId="787EC48A" w:rsidR="00020CAA" w:rsidRDefault="00020CAA">
          <w:pPr>
            <w:pStyle w:val="TOC1"/>
            <w:tabs>
              <w:tab w:val="left" w:pos="440"/>
              <w:tab w:val="right" w:leader="dot" w:pos="9016"/>
            </w:tabs>
            <w:rPr>
              <w:noProof/>
            </w:rPr>
          </w:pPr>
          <w:hyperlink w:anchor="_Toc232114727" w:history="1">
            <w:r w:rsidRPr="00763072">
              <w:rPr>
                <w:rStyle w:val="Hyperlink"/>
                <w:noProof/>
              </w:rPr>
              <w:t>7.</w:t>
            </w:r>
            <w:r>
              <w:rPr>
                <w:noProof/>
              </w:rPr>
              <w:tab/>
            </w:r>
            <w:r w:rsidRPr="00763072">
              <w:rPr>
                <w:rStyle w:val="Hyperlink"/>
                <w:noProof/>
              </w:rPr>
              <w:t>Conclusion</w:t>
            </w:r>
            <w:r>
              <w:rPr>
                <w:noProof/>
                <w:webHidden/>
              </w:rPr>
              <w:tab/>
            </w:r>
            <w:r>
              <w:rPr>
                <w:noProof/>
                <w:webHidden/>
              </w:rPr>
              <w:fldChar w:fldCharType="begin"/>
            </w:r>
            <w:r>
              <w:rPr>
                <w:noProof/>
                <w:webHidden/>
              </w:rPr>
              <w:instrText xml:space="preserve"> PAGEREF _Toc232114727 \h </w:instrText>
            </w:r>
            <w:r>
              <w:rPr>
                <w:noProof/>
                <w:webHidden/>
              </w:rPr>
            </w:r>
            <w:r>
              <w:rPr>
                <w:noProof/>
                <w:webHidden/>
              </w:rPr>
              <w:fldChar w:fldCharType="separate"/>
            </w:r>
            <w:r>
              <w:rPr>
                <w:noProof/>
                <w:webHidden/>
              </w:rPr>
              <w:t>34</w:t>
            </w:r>
            <w:r>
              <w:rPr>
                <w:noProof/>
                <w:webHidden/>
              </w:rPr>
              <w:fldChar w:fldCharType="end"/>
            </w:r>
          </w:hyperlink>
        </w:p>
        <w:p w14:paraId="2179F81D" w14:textId="646B8EBA" w:rsidR="00020CAA" w:rsidRDefault="00020CAA">
          <w:pPr>
            <w:pStyle w:val="TOC1"/>
            <w:tabs>
              <w:tab w:val="left" w:pos="440"/>
              <w:tab w:val="right" w:leader="dot" w:pos="9016"/>
            </w:tabs>
            <w:rPr>
              <w:noProof/>
            </w:rPr>
          </w:pPr>
          <w:hyperlink w:anchor="_Toc232114728" w:history="1">
            <w:r w:rsidRPr="00763072">
              <w:rPr>
                <w:rStyle w:val="Hyperlink"/>
                <w:noProof/>
              </w:rPr>
              <w:t>8.</w:t>
            </w:r>
            <w:r>
              <w:rPr>
                <w:noProof/>
              </w:rPr>
              <w:tab/>
            </w:r>
            <w:r w:rsidRPr="00763072">
              <w:rPr>
                <w:rStyle w:val="Hyperlink"/>
                <w:noProof/>
              </w:rPr>
              <w:t>Appendix</w:t>
            </w:r>
            <w:r>
              <w:rPr>
                <w:noProof/>
                <w:webHidden/>
              </w:rPr>
              <w:tab/>
            </w:r>
            <w:r>
              <w:rPr>
                <w:noProof/>
                <w:webHidden/>
              </w:rPr>
              <w:fldChar w:fldCharType="begin"/>
            </w:r>
            <w:r>
              <w:rPr>
                <w:noProof/>
                <w:webHidden/>
              </w:rPr>
              <w:instrText xml:space="preserve"> PAGEREF _Toc232114728 \h </w:instrText>
            </w:r>
            <w:r>
              <w:rPr>
                <w:noProof/>
                <w:webHidden/>
              </w:rPr>
            </w:r>
            <w:r>
              <w:rPr>
                <w:noProof/>
                <w:webHidden/>
              </w:rPr>
              <w:fldChar w:fldCharType="separate"/>
            </w:r>
            <w:r>
              <w:rPr>
                <w:noProof/>
                <w:webHidden/>
              </w:rPr>
              <w:t>35</w:t>
            </w:r>
            <w:r>
              <w:rPr>
                <w:noProof/>
                <w:webHidden/>
              </w:rPr>
              <w:fldChar w:fldCharType="end"/>
            </w:r>
          </w:hyperlink>
        </w:p>
        <w:p w14:paraId="5F302D73" w14:textId="3C23E194" w:rsidR="00020CAA" w:rsidRDefault="00020CAA">
          <w:pPr>
            <w:pStyle w:val="TOC2"/>
            <w:tabs>
              <w:tab w:val="left" w:pos="960"/>
              <w:tab w:val="right" w:leader="dot" w:pos="9016"/>
            </w:tabs>
            <w:rPr>
              <w:noProof/>
            </w:rPr>
          </w:pPr>
          <w:hyperlink w:anchor="_Toc232114729" w:history="1">
            <w:r w:rsidRPr="00763072">
              <w:rPr>
                <w:rStyle w:val="Hyperlink"/>
                <w:noProof/>
              </w:rPr>
              <w:t>8.1</w:t>
            </w:r>
            <w:r>
              <w:rPr>
                <w:noProof/>
              </w:rPr>
              <w:tab/>
            </w:r>
            <w:r w:rsidRPr="00763072">
              <w:rPr>
                <w:rStyle w:val="Hyperlink"/>
                <w:noProof/>
              </w:rPr>
              <w:t>Project GitHub Repository</w:t>
            </w:r>
            <w:r>
              <w:rPr>
                <w:noProof/>
                <w:webHidden/>
              </w:rPr>
              <w:tab/>
            </w:r>
            <w:r>
              <w:rPr>
                <w:noProof/>
                <w:webHidden/>
              </w:rPr>
              <w:fldChar w:fldCharType="begin"/>
            </w:r>
            <w:r>
              <w:rPr>
                <w:noProof/>
                <w:webHidden/>
              </w:rPr>
              <w:instrText xml:space="preserve"> PAGEREF _Toc232114729 \h </w:instrText>
            </w:r>
            <w:r>
              <w:rPr>
                <w:noProof/>
                <w:webHidden/>
              </w:rPr>
            </w:r>
            <w:r>
              <w:rPr>
                <w:noProof/>
                <w:webHidden/>
              </w:rPr>
              <w:fldChar w:fldCharType="separate"/>
            </w:r>
            <w:r>
              <w:rPr>
                <w:noProof/>
                <w:webHidden/>
              </w:rPr>
              <w:t>35</w:t>
            </w:r>
            <w:r>
              <w:rPr>
                <w:noProof/>
                <w:webHidden/>
              </w:rPr>
              <w:fldChar w:fldCharType="end"/>
            </w:r>
          </w:hyperlink>
        </w:p>
        <w:p w14:paraId="564C8877" w14:textId="3B1403CE" w:rsidR="00020CAA" w:rsidRDefault="00020CAA">
          <w:pPr>
            <w:pStyle w:val="TOC1"/>
            <w:tabs>
              <w:tab w:val="right" w:leader="dot" w:pos="9016"/>
            </w:tabs>
            <w:rPr>
              <w:noProof/>
            </w:rPr>
          </w:pPr>
          <w:hyperlink w:anchor="_Toc232114730" w:history="1">
            <w:r w:rsidRPr="00763072">
              <w:rPr>
                <w:rStyle w:val="Hyperlink"/>
                <w:noProof/>
              </w:rPr>
              <w:t>References</w:t>
            </w:r>
            <w:r>
              <w:rPr>
                <w:noProof/>
                <w:webHidden/>
              </w:rPr>
              <w:tab/>
            </w:r>
            <w:r>
              <w:rPr>
                <w:noProof/>
                <w:webHidden/>
              </w:rPr>
              <w:fldChar w:fldCharType="begin"/>
            </w:r>
            <w:r>
              <w:rPr>
                <w:noProof/>
                <w:webHidden/>
              </w:rPr>
              <w:instrText xml:space="preserve"> PAGEREF _Toc232114730 \h </w:instrText>
            </w:r>
            <w:r>
              <w:rPr>
                <w:noProof/>
                <w:webHidden/>
              </w:rPr>
            </w:r>
            <w:r>
              <w:rPr>
                <w:noProof/>
                <w:webHidden/>
              </w:rPr>
              <w:fldChar w:fldCharType="separate"/>
            </w:r>
            <w:r>
              <w:rPr>
                <w:noProof/>
                <w:webHidden/>
              </w:rPr>
              <w:t>35</w:t>
            </w:r>
            <w:r>
              <w:rPr>
                <w:noProof/>
                <w:webHidden/>
              </w:rPr>
              <w:fldChar w:fldCharType="end"/>
            </w:r>
          </w:hyperlink>
        </w:p>
        <w:p w14:paraId="5F7ACB2A" w14:textId="7CD2A8BF" w:rsidR="00251E50" w:rsidRDefault="00020CAA" w:rsidP="00251E50">
          <w:pPr>
            <w:rPr>
              <w:b/>
              <w:bCs/>
              <w:noProof/>
            </w:rPr>
          </w:pPr>
          <w:r>
            <w:rPr>
              <w:b/>
              <w:bCs/>
              <w:noProof/>
            </w:rPr>
            <w:fldChar w:fldCharType="end"/>
          </w:r>
        </w:p>
      </w:sdtContent>
    </w:sdt>
    <w:p w14:paraId="1748BE97" w14:textId="77777777" w:rsidR="00020CAA" w:rsidRDefault="00020CAA" w:rsidP="00251E50">
      <w:pPr>
        <w:rPr>
          <w:b/>
          <w:bCs/>
          <w:noProof/>
        </w:rPr>
      </w:pPr>
    </w:p>
    <w:p w14:paraId="765C9096" w14:textId="77777777" w:rsidR="00020CAA" w:rsidRDefault="00020CAA" w:rsidP="00251E50">
      <w:pPr>
        <w:rPr>
          <w:b/>
          <w:bCs/>
          <w:noProof/>
        </w:rPr>
      </w:pPr>
    </w:p>
    <w:p w14:paraId="4F59FD41" w14:textId="77777777" w:rsidR="00020CAA" w:rsidRDefault="00020CAA" w:rsidP="00251E50">
      <w:pPr>
        <w:rPr>
          <w:b/>
          <w:bCs/>
          <w:noProof/>
        </w:rPr>
      </w:pPr>
    </w:p>
    <w:p w14:paraId="5289C3EE" w14:textId="77777777" w:rsidR="00020CAA" w:rsidRDefault="00020CAA" w:rsidP="00251E50">
      <w:pPr>
        <w:rPr>
          <w:b/>
          <w:bCs/>
          <w:noProof/>
        </w:rPr>
      </w:pPr>
    </w:p>
    <w:p w14:paraId="6886D07D" w14:textId="77777777" w:rsidR="00020CAA" w:rsidRDefault="00020CAA" w:rsidP="00251E50">
      <w:pPr>
        <w:rPr>
          <w:b/>
          <w:bCs/>
          <w:noProof/>
        </w:rPr>
      </w:pPr>
    </w:p>
    <w:p w14:paraId="0D6BB785" w14:textId="77777777" w:rsidR="00020CAA" w:rsidRDefault="00020CAA" w:rsidP="00251E50">
      <w:pPr>
        <w:rPr>
          <w:b/>
          <w:bCs/>
          <w:noProof/>
        </w:rPr>
      </w:pPr>
    </w:p>
    <w:p w14:paraId="548F0784" w14:textId="77777777" w:rsidR="00020CAA" w:rsidRDefault="00020CAA" w:rsidP="00251E50">
      <w:pPr>
        <w:rPr>
          <w:b/>
          <w:bCs/>
          <w:noProof/>
        </w:rPr>
      </w:pPr>
    </w:p>
    <w:p w14:paraId="1ECD60FD" w14:textId="77777777" w:rsidR="00020CAA" w:rsidRDefault="00020CAA" w:rsidP="00251E50">
      <w:pPr>
        <w:rPr>
          <w:b/>
          <w:bCs/>
          <w:noProof/>
        </w:rPr>
      </w:pPr>
    </w:p>
    <w:p w14:paraId="1058B0DF" w14:textId="77777777" w:rsidR="00020CAA" w:rsidRDefault="00020CAA" w:rsidP="00251E50">
      <w:pPr>
        <w:rPr>
          <w:b/>
          <w:bCs/>
          <w:noProof/>
        </w:rPr>
      </w:pPr>
    </w:p>
    <w:p w14:paraId="1FAF031B" w14:textId="77777777" w:rsidR="00020CAA" w:rsidRPr="00251E50" w:rsidRDefault="00020CAA" w:rsidP="00251E50"/>
    <w:p w14:paraId="744B169A" w14:textId="7CD2A8BF" w:rsidR="009D7F68" w:rsidRDefault="006126D1" w:rsidP="006A4FB4">
      <w:pPr>
        <w:pStyle w:val="Heading1"/>
      </w:pPr>
      <w:bookmarkStart w:id="4" w:name="_Toc232114686"/>
      <w:r>
        <w:t>List of Figures and Tables</w:t>
      </w:r>
      <w:bookmarkEnd w:id="4"/>
    </w:p>
    <w:p w14:paraId="18EE9662" w14:textId="7285E712" w:rsidR="00020CAA" w:rsidRDefault="00020CAA">
      <w:pPr>
        <w:pStyle w:val="TableofFigures"/>
        <w:tabs>
          <w:tab w:val="right" w:leader="dot" w:pos="9016"/>
        </w:tabs>
        <w:rPr>
          <w:noProof/>
        </w:rPr>
      </w:pPr>
      <w:r>
        <w:fldChar w:fldCharType="begin"/>
      </w:r>
      <w:r>
        <w:instrText xml:space="preserve"> TOC \h \z \c "Figure" </w:instrText>
      </w:r>
      <w:r>
        <w:fldChar w:fldCharType="separate"/>
      </w:r>
      <w:hyperlink w:anchor="_Toc232114731" w:history="1">
        <w:r w:rsidRPr="00AF4E8A">
          <w:rPr>
            <w:rStyle w:val="Hyperlink"/>
            <w:noProof/>
          </w:rPr>
          <w:t>Figure 1  Confidence interval decision rules for superiority, non-inferiority and equivalence trials. Each row shows a representative 95% confidence interval for the treatment difference. The shaded region indicates the null hypothesis zone for each design.</w:t>
        </w:r>
        <w:r>
          <w:rPr>
            <w:noProof/>
            <w:webHidden/>
          </w:rPr>
          <w:tab/>
        </w:r>
        <w:r>
          <w:rPr>
            <w:noProof/>
            <w:webHidden/>
          </w:rPr>
          <w:fldChar w:fldCharType="begin"/>
        </w:r>
        <w:r>
          <w:rPr>
            <w:noProof/>
            <w:webHidden/>
          </w:rPr>
          <w:instrText xml:space="preserve"> PAGEREF _Toc232114731 \h </w:instrText>
        </w:r>
        <w:r>
          <w:rPr>
            <w:noProof/>
            <w:webHidden/>
          </w:rPr>
        </w:r>
        <w:r>
          <w:rPr>
            <w:noProof/>
            <w:webHidden/>
          </w:rPr>
          <w:fldChar w:fldCharType="separate"/>
        </w:r>
        <w:r>
          <w:rPr>
            <w:noProof/>
            <w:webHidden/>
          </w:rPr>
          <w:t>10</w:t>
        </w:r>
        <w:r>
          <w:rPr>
            <w:noProof/>
            <w:webHidden/>
          </w:rPr>
          <w:fldChar w:fldCharType="end"/>
        </w:r>
      </w:hyperlink>
    </w:p>
    <w:p w14:paraId="140BE0C8" w14:textId="5F646854" w:rsidR="00020CAA" w:rsidRDefault="00020CAA">
      <w:pPr>
        <w:pStyle w:val="TableofFigures"/>
        <w:tabs>
          <w:tab w:val="right" w:leader="dot" w:pos="9016"/>
        </w:tabs>
        <w:rPr>
          <w:noProof/>
        </w:rPr>
      </w:pPr>
      <w:hyperlink w:anchor="_Toc232114732" w:history="1">
        <w:r w:rsidRPr="00AF4E8A">
          <w:rPr>
            <w:rStyle w:val="Hyperlink"/>
            <w:noProof/>
          </w:rPr>
          <w:t>Figure 2 Example saw-tooth power curve illustrating the discrete stepwise behaviour of binomial power calculations for a single-arm binary endpoint. Power is plotted against sample size n. Within each range of n, power decreases gradually before jumping sharply</w:t>
        </w:r>
        <w:r>
          <w:rPr>
            <w:noProof/>
            <w:webHidden/>
          </w:rPr>
          <w:tab/>
        </w:r>
        <w:r>
          <w:rPr>
            <w:noProof/>
            <w:webHidden/>
          </w:rPr>
          <w:fldChar w:fldCharType="begin"/>
        </w:r>
        <w:r>
          <w:rPr>
            <w:noProof/>
            <w:webHidden/>
          </w:rPr>
          <w:instrText xml:space="preserve"> PAGEREF _Toc232114732 \h </w:instrText>
        </w:r>
        <w:r>
          <w:rPr>
            <w:noProof/>
            <w:webHidden/>
          </w:rPr>
        </w:r>
        <w:r>
          <w:rPr>
            <w:noProof/>
            <w:webHidden/>
          </w:rPr>
          <w:fldChar w:fldCharType="separate"/>
        </w:r>
        <w:r>
          <w:rPr>
            <w:noProof/>
            <w:webHidden/>
          </w:rPr>
          <w:t>15</w:t>
        </w:r>
        <w:r>
          <w:rPr>
            <w:noProof/>
            <w:webHidden/>
          </w:rPr>
          <w:fldChar w:fldCharType="end"/>
        </w:r>
      </w:hyperlink>
    </w:p>
    <w:p w14:paraId="26BB0E75" w14:textId="5CA93DC9" w:rsidR="00020CAA" w:rsidRDefault="00020CAA">
      <w:pPr>
        <w:pStyle w:val="TableofFigures"/>
        <w:tabs>
          <w:tab w:val="right" w:leader="dot" w:pos="9016"/>
        </w:tabs>
        <w:rPr>
          <w:noProof/>
        </w:rPr>
      </w:pPr>
      <w:hyperlink w:anchor="_Toc232114733" w:history="1">
        <w:r w:rsidRPr="00AF4E8A">
          <w:rPr>
            <w:rStyle w:val="Hyperlink"/>
            <w:noProof/>
          </w:rPr>
          <w:t>Figure 3 Proposed performance goals for the BioMimics 3D vascular stent pivotal study derived from meta-analysis of historical femoropopliteal bare nitinol stent studies.</w:t>
        </w:r>
        <w:r>
          <w:rPr>
            <w:noProof/>
            <w:webHidden/>
          </w:rPr>
          <w:tab/>
        </w:r>
        <w:r>
          <w:rPr>
            <w:noProof/>
            <w:webHidden/>
          </w:rPr>
          <w:fldChar w:fldCharType="begin"/>
        </w:r>
        <w:r>
          <w:rPr>
            <w:noProof/>
            <w:webHidden/>
          </w:rPr>
          <w:instrText xml:space="preserve"> PAGEREF _Toc232114733 \h </w:instrText>
        </w:r>
        <w:r>
          <w:rPr>
            <w:noProof/>
            <w:webHidden/>
          </w:rPr>
        </w:r>
        <w:r>
          <w:rPr>
            <w:noProof/>
            <w:webHidden/>
          </w:rPr>
          <w:fldChar w:fldCharType="separate"/>
        </w:r>
        <w:r>
          <w:rPr>
            <w:noProof/>
            <w:webHidden/>
          </w:rPr>
          <w:t>22</w:t>
        </w:r>
        <w:r>
          <w:rPr>
            <w:noProof/>
            <w:webHidden/>
          </w:rPr>
          <w:fldChar w:fldCharType="end"/>
        </w:r>
      </w:hyperlink>
    </w:p>
    <w:p w14:paraId="71266203" w14:textId="107B26FC" w:rsidR="00020CAA" w:rsidRDefault="00020CAA">
      <w:pPr>
        <w:pStyle w:val="TableofFigures"/>
        <w:tabs>
          <w:tab w:val="right" w:leader="dot" w:pos="9016"/>
        </w:tabs>
        <w:rPr>
          <w:noProof/>
        </w:rPr>
      </w:pPr>
      <w:hyperlink w:anchor="_Toc232114734" w:history="1">
        <w:r w:rsidRPr="00AF4E8A">
          <w:rPr>
            <w:rStyle w:val="Hyperlink"/>
            <w:noProof/>
          </w:rPr>
          <w:t>Figure 4 Pooled event proportions with 95% confidence intervals for the safety and efficacy endpoints.</w:t>
        </w:r>
        <w:r>
          <w:rPr>
            <w:noProof/>
            <w:webHidden/>
          </w:rPr>
          <w:tab/>
        </w:r>
        <w:r>
          <w:rPr>
            <w:noProof/>
            <w:webHidden/>
          </w:rPr>
          <w:fldChar w:fldCharType="begin"/>
        </w:r>
        <w:r>
          <w:rPr>
            <w:noProof/>
            <w:webHidden/>
          </w:rPr>
          <w:instrText xml:space="preserve"> PAGEREF _Toc232114734 \h </w:instrText>
        </w:r>
        <w:r>
          <w:rPr>
            <w:noProof/>
            <w:webHidden/>
          </w:rPr>
        </w:r>
        <w:r>
          <w:rPr>
            <w:noProof/>
            <w:webHidden/>
          </w:rPr>
          <w:fldChar w:fldCharType="separate"/>
        </w:r>
        <w:r>
          <w:rPr>
            <w:noProof/>
            <w:webHidden/>
          </w:rPr>
          <w:t>23</w:t>
        </w:r>
        <w:r>
          <w:rPr>
            <w:noProof/>
            <w:webHidden/>
          </w:rPr>
          <w:fldChar w:fldCharType="end"/>
        </w:r>
      </w:hyperlink>
    </w:p>
    <w:p w14:paraId="688B002D" w14:textId="3194D44A" w:rsidR="00020CAA" w:rsidRDefault="00020CAA">
      <w:pPr>
        <w:pStyle w:val="TableofFigures"/>
        <w:tabs>
          <w:tab w:val="right" w:leader="dot" w:pos="9016"/>
        </w:tabs>
        <w:rPr>
          <w:noProof/>
        </w:rPr>
      </w:pPr>
      <w:hyperlink w:anchor="_Toc232114735" w:history="1">
        <w:r w:rsidRPr="00AF4E8A">
          <w:rPr>
            <w:rStyle w:val="Hyperlink"/>
            <w:noProof/>
          </w:rPr>
          <w:t>Figure 5 Heterogeneity statistics from the random-effects meta-analysis for the 30-day composite safety endpoint (Table A) and the 12-month Rutherford classification efficacy endpoint (Table B).</w:t>
        </w:r>
        <w:r>
          <w:rPr>
            <w:noProof/>
            <w:webHidden/>
          </w:rPr>
          <w:tab/>
        </w:r>
        <w:r>
          <w:rPr>
            <w:noProof/>
            <w:webHidden/>
          </w:rPr>
          <w:fldChar w:fldCharType="begin"/>
        </w:r>
        <w:r>
          <w:rPr>
            <w:noProof/>
            <w:webHidden/>
          </w:rPr>
          <w:instrText xml:space="preserve"> PAGEREF _Toc232114735 \h </w:instrText>
        </w:r>
        <w:r>
          <w:rPr>
            <w:noProof/>
            <w:webHidden/>
          </w:rPr>
        </w:r>
        <w:r>
          <w:rPr>
            <w:noProof/>
            <w:webHidden/>
          </w:rPr>
          <w:fldChar w:fldCharType="separate"/>
        </w:r>
        <w:r>
          <w:rPr>
            <w:noProof/>
            <w:webHidden/>
          </w:rPr>
          <w:t>24</w:t>
        </w:r>
        <w:r>
          <w:rPr>
            <w:noProof/>
            <w:webHidden/>
          </w:rPr>
          <w:fldChar w:fldCharType="end"/>
        </w:r>
      </w:hyperlink>
    </w:p>
    <w:p w14:paraId="3792BE8D" w14:textId="7A5214F4" w:rsidR="00020CAA" w:rsidRDefault="00020CAA">
      <w:pPr>
        <w:pStyle w:val="TableofFigures"/>
        <w:tabs>
          <w:tab w:val="right" w:leader="dot" w:pos="9016"/>
        </w:tabs>
        <w:rPr>
          <w:noProof/>
        </w:rPr>
      </w:pPr>
      <w:hyperlink w:anchor="_Toc232114736" w:history="1">
        <w:r w:rsidRPr="00AF4E8A">
          <w:rPr>
            <w:rStyle w:val="Hyperlink"/>
            <w:noProof/>
          </w:rPr>
          <w:t xml:space="preserve">Figure 6 Coverage probability curves for six binomial confidence interval methods at n = 50, evaluated across true proportions p </w:t>
        </w:r>
        <w:r w:rsidRPr="00AF4E8A">
          <w:rPr>
            <w:rStyle w:val="Hyperlink"/>
            <w:rFonts w:ascii="Cambria Math" w:hAnsi="Cambria Math" w:cs="Cambria Math"/>
            <w:noProof/>
          </w:rPr>
          <w:t>∈</w:t>
        </w:r>
        <w:r w:rsidRPr="00AF4E8A">
          <w:rPr>
            <w:rStyle w:val="Hyperlink"/>
            <w:noProof/>
          </w:rPr>
          <w:t xml:space="preserve"> {0.001, </w:t>
        </w:r>
        <w:r w:rsidRPr="00AF4E8A">
          <w:rPr>
            <w:rStyle w:val="Hyperlink"/>
            <w:rFonts w:ascii="Aptos" w:hAnsi="Aptos" w:cs="Aptos"/>
            <w:noProof/>
          </w:rPr>
          <w:t>…</w:t>
        </w:r>
        <w:r w:rsidRPr="00AF4E8A">
          <w:rPr>
            <w:rStyle w:val="Hyperlink"/>
            <w:noProof/>
          </w:rPr>
          <w:t>, 0.200}. The dashed red line indicates the nominal 95% level.</w:t>
        </w:r>
        <w:r>
          <w:rPr>
            <w:noProof/>
            <w:webHidden/>
          </w:rPr>
          <w:tab/>
        </w:r>
        <w:r>
          <w:rPr>
            <w:noProof/>
            <w:webHidden/>
          </w:rPr>
          <w:fldChar w:fldCharType="begin"/>
        </w:r>
        <w:r>
          <w:rPr>
            <w:noProof/>
            <w:webHidden/>
          </w:rPr>
          <w:instrText xml:space="preserve"> PAGEREF _Toc232114736 \h </w:instrText>
        </w:r>
        <w:r>
          <w:rPr>
            <w:noProof/>
            <w:webHidden/>
          </w:rPr>
        </w:r>
        <w:r>
          <w:rPr>
            <w:noProof/>
            <w:webHidden/>
          </w:rPr>
          <w:fldChar w:fldCharType="separate"/>
        </w:r>
        <w:r>
          <w:rPr>
            <w:noProof/>
            <w:webHidden/>
          </w:rPr>
          <w:t>25</w:t>
        </w:r>
        <w:r>
          <w:rPr>
            <w:noProof/>
            <w:webHidden/>
          </w:rPr>
          <w:fldChar w:fldCharType="end"/>
        </w:r>
      </w:hyperlink>
    </w:p>
    <w:p w14:paraId="13A4F8E6" w14:textId="66FAD1D5" w:rsidR="00020CAA" w:rsidRDefault="00020CAA">
      <w:pPr>
        <w:pStyle w:val="TableofFigures"/>
        <w:tabs>
          <w:tab w:val="right" w:leader="dot" w:pos="9016"/>
        </w:tabs>
        <w:rPr>
          <w:noProof/>
        </w:rPr>
      </w:pPr>
      <w:hyperlink w:anchor="_Toc232114737" w:history="1">
        <w:r w:rsidRPr="00AF4E8A">
          <w:rPr>
            <w:rStyle w:val="Hyperlink"/>
            <w:noProof/>
          </w:rPr>
          <w:t xml:space="preserve">Figure 7 Coverage probability curves for six binomial confidence interval methods at n = 100, evaluated across true proportions p </w:t>
        </w:r>
        <w:r w:rsidRPr="00AF4E8A">
          <w:rPr>
            <w:rStyle w:val="Hyperlink"/>
            <w:rFonts w:ascii="Cambria Math" w:hAnsi="Cambria Math" w:cs="Cambria Math"/>
            <w:noProof/>
          </w:rPr>
          <w:t>∈</w:t>
        </w:r>
        <w:r w:rsidRPr="00AF4E8A">
          <w:rPr>
            <w:rStyle w:val="Hyperlink"/>
            <w:noProof/>
          </w:rPr>
          <w:t xml:space="preserve"> {0.001, </w:t>
        </w:r>
        <w:r w:rsidRPr="00AF4E8A">
          <w:rPr>
            <w:rStyle w:val="Hyperlink"/>
            <w:rFonts w:ascii="Aptos" w:hAnsi="Aptos" w:cs="Aptos"/>
            <w:noProof/>
          </w:rPr>
          <w:t>…</w:t>
        </w:r>
        <w:r w:rsidRPr="00AF4E8A">
          <w:rPr>
            <w:rStyle w:val="Hyperlink"/>
            <w:noProof/>
          </w:rPr>
          <w:t>, 0.200}. The dashed red line indicates the nominal 95% level.</w:t>
        </w:r>
        <w:r>
          <w:rPr>
            <w:noProof/>
            <w:webHidden/>
          </w:rPr>
          <w:tab/>
        </w:r>
        <w:r>
          <w:rPr>
            <w:noProof/>
            <w:webHidden/>
          </w:rPr>
          <w:fldChar w:fldCharType="begin"/>
        </w:r>
        <w:r>
          <w:rPr>
            <w:noProof/>
            <w:webHidden/>
          </w:rPr>
          <w:instrText xml:space="preserve"> PAGEREF _Toc232114737 \h </w:instrText>
        </w:r>
        <w:r>
          <w:rPr>
            <w:noProof/>
            <w:webHidden/>
          </w:rPr>
        </w:r>
        <w:r>
          <w:rPr>
            <w:noProof/>
            <w:webHidden/>
          </w:rPr>
          <w:fldChar w:fldCharType="separate"/>
        </w:r>
        <w:r>
          <w:rPr>
            <w:noProof/>
            <w:webHidden/>
          </w:rPr>
          <w:t>26</w:t>
        </w:r>
        <w:r>
          <w:rPr>
            <w:noProof/>
            <w:webHidden/>
          </w:rPr>
          <w:fldChar w:fldCharType="end"/>
        </w:r>
      </w:hyperlink>
    </w:p>
    <w:p w14:paraId="3AED4295" w14:textId="179AEB75" w:rsidR="00020CAA" w:rsidRDefault="00020CAA">
      <w:pPr>
        <w:pStyle w:val="TableofFigures"/>
        <w:tabs>
          <w:tab w:val="right" w:leader="dot" w:pos="9016"/>
        </w:tabs>
        <w:rPr>
          <w:noProof/>
        </w:rPr>
      </w:pPr>
      <w:hyperlink w:anchor="_Toc232114738" w:history="1">
        <w:r w:rsidRPr="00AF4E8A">
          <w:rPr>
            <w:rStyle w:val="Hyperlink"/>
            <w:noProof/>
          </w:rPr>
          <w:t>Figure 8 Coverage probability curves for all six methods overlaid. The dashed red line indicates the nominal 95% level.</w:t>
        </w:r>
        <w:r>
          <w:rPr>
            <w:noProof/>
            <w:webHidden/>
          </w:rPr>
          <w:tab/>
        </w:r>
        <w:r>
          <w:rPr>
            <w:noProof/>
            <w:webHidden/>
          </w:rPr>
          <w:fldChar w:fldCharType="begin"/>
        </w:r>
        <w:r>
          <w:rPr>
            <w:noProof/>
            <w:webHidden/>
          </w:rPr>
          <w:instrText xml:space="preserve"> PAGEREF _Toc232114738 \h </w:instrText>
        </w:r>
        <w:r>
          <w:rPr>
            <w:noProof/>
            <w:webHidden/>
          </w:rPr>
        </w:r>
        <w:r>
          <w:rPr>
            <w:noProof/>
            <w:webHidden/>
          </w:rPr>
          <w:fldChar w:fldCharType="separate"/>
        </w:r>
        <w:r>
          <w:rPr>
            <w:noProof/>
            <w:webHidden/>
          </w:rPr>
          <w:t>26</w:t>
        </w:r>
        <w:r>
          <w:rPr>
            <w:noProof/>
            <w:webHidden/>
          </w:rPr>
          <w:fldChar w:fldCharType="end"/>
        </w:r>
      </w:hyperlink>
    </w:p>
    <w:p w14:paraId="3B201C5B" w14:textId="2E8A46EF" w:rsidR="00020CAA" w:rsidRDefault="00020CAA">
      <w:pPr>
        <w:pStyle w:val="TableofFigures"/>
        <w:tabs>
          <w:tab w:val="right" w:leader="dot" w:pos="9016"/>
        </w:tabs>
        <w:rPr>
          <w:noProof/>
        </w:rPr>
      </w:pPr>
      <w:hyperlink w:anchor="_Toc232114739" w:history="1">
        <w:r w:rsidRPr="00AF4E8A">
          <w:rPr>
            <w:rStyle w:val="Hyperlink"/>
            <w:noProof/>
          </w:rPr>
          <w:t>Figure 9 Average coverage probability against average expected interval width at n = 20.</w:t>
        </w:r>
        <w:r>
          <w:rPr>
            <w:noProof/>
            <w:webHidden/>
          </w:rPr>
          <w:tab/>
        </w:r>
        <w:r>
          <w:rPr>
            <w:noProof/>
            <w:webHidden/>
          </w:rPr>
          <w:fldChar w:fldCharType="begin"/>
        </w:r>
        <w:r>
          <w:rPr>
            <w:noProof/>
            <w:webHidden/>
          </w:rPr>
          <w:instrText xml:space="preserve"> PAGEREF _Toc232114739 \h </w:instrText>
        </w:r>
        <w:r>
          <w:rPr>
            <w:noProof/>
            <w:webHidden/>
          </w:rPr>
        </w:r>
        <w:r>
          <w:rPr>
            <w:noProof/>
            <w:webHidden/>
          </w:rPr>
          <w:fldChar w:fldCharType="separate"/>
        </w:r>
        <w:r>
          <w:rPr>
            <w:noProof/>
            <w:webHidden/>
          </w:rPr>
          <w:t>27</w:t>
        </w:r>
        <w:r>
          <w:rPr>
            <w:noProof/>
            <w:webHidden/>
          </w:rPr>
          <w:fldChar w:fldCharType="end"/>
        </w:r>
      </w:hyperlink>
    </w:p>
    <w:p w14:paraId="59EC9ACF" w14:textId="0F85A0FA" w:rsidR="00020CAA" w:rsidRDefault="00020CAA">
      <w:pPr>
        <w:pStyle w:val="TableofFigures"/>
        <w:tabs>
          <w:tab w:val="right" w:leader="dot" w:pos="9016"/>
        </w:tabs>
        <w:rPr>
          <w:noProof/>
        </w:rPr>
      </w:pPr>
      <w:hyperlink w:anchor="_Toc232114740" w:history="1">
        <w:r w:rsidRPr="00AF4E8A">
          <w:rPr>
            <w:rStyle w:val="Hyperlink"/>
            <w:noProof/>
          </w:rPr>
          <w:t>Figure 10 Average coverage probability against average expected interval width at n = 50.</w:t>
        </w:r>
        <w:r>
          <w:rPr>
            <w:noProof/>
            <w:webHidden/>
          </w:rPr>
          <w:tab/>
        </w:r>
        <w:r>
          <w:rPr>
            <w:noProof/>
            <w:webHidden/>
          </w:rPr>
          <w:fldChar w:fldCharType="begin"/>
        </w:r>
        <w:r>
          <w:rPr>
            <w:noProof/>
            <w:webHidden/>
          </w:rPr>
          <w:instrText xml:space="preserve"> PAGEREF _Toc232114740 \h </w:instrText>
        </w:r>
        <w:r>
          <w:rPr>
            <w:noProof/>
            <w:webHidden/>
          </w:rPr>
        </w:r>
        <w:r>
          <w:rPr>
            <w:noProof/>
            <w:webHidden/>
          </w:rPr>
          <w:fldChar w:fldCharType="separate"/>
        </w:r>
        <w:r>
          <w:rPr>
            <w:noProof/>
            <w:webHidden/>
          </w:rPr>
          <w:t>28</w:t>
        </w:r>
        <w:r>
          <w:rPr>
            <w:noProof/>
            <w:webHidden/>
          </w:rPr>
          <w:fldChar w:fldCharType="end"/>
        </w:r>
      </w:hyperlink>
    </w:p>
    <w:p w14:paraId="64FBE98A" w14:textId="254A7AC6" w:rsidR="00020CAA" w:rsidRDefault="00020CAA">
      <w:pPr>
        <w:pStyle w:val="TableofFigures"/>
        <w:tabs>
          <w:tab w:val="right" w:leader="dot" w:pos="9016"/>
        </w:tabs>
        <w:rPr>
          <w:noProof/>
        </w:rPr>
      </w:pPr>
      <w:hyperlink w:anchor="_Toc232114741" w:history="1">
        <w:r w:rsidRPr="00AF4E8A">
          <w:rPr>
            <w:rStyle w:val="Hyperlink"/>
            <w:noProof/>
          </w:rPr>
          <w:t>Figure 11 Average coverage probability against average expected interval width at n = 100.</w:t>
        </w:r>
        <w:r>
          <w:rPr>
            <w:noProof/>
            <w:webHidden/>
          </w:rPr>
          <w:tab/>
        </w:r>
        <w:r>
          <w:rPr>
            <w:noProof/>
            <w:webHidden/>
          </w:rPr>
          <w:fldChar w:fldCharType="begin"/>
        </w:r>
        <w:r>
          <w:rPr>
            <w:noProof/>
            <w:webHidden/>
          </w:rPr>
          <w:instrText xml:space="preserve"> PAGEREF _Toc232114741 \h </w:instrText>
        </w:r>
        <w:r>
          <w:rPr>
            <w:noProof/>
            <w:webHidden/>
          </w:rPr>
        </w:r>
        <w:r>
          <w:rPr>
            <w:noProof/>
            <w:webHidden/>
          </w:rPr>
          <w:fldChar w:fldCharType="separate"/>
        </w:r>
        <w:r>
          <w:rPr>
            <w:noProof/>
            <w:webHidden/>
          </w:rPr>
          <w:t>28</w:t>
        </w:r>
        <w:r>
          <w:rPr>
            <w:noProof/>
            <w:webHidden/>
          </w:rPr>
          <w:fldChar w:fldCharType="end"/>
        </w:r>
      </w:hyperlink>
    </w:p>
    <w:p w14:paraId="2F3B3404" w14:textId="1242999D" w:rsidR="00020CAA" w:rsidRDefault="00020CAA">
      <w:pPr>
        <w:pStyle w:val="TableofFigures"/>
        <w:tabs>
          <w:tab w:val="right" w:leader="dot" w:pos="9016"/>
        </w:tabs>
        <w:rPr>
          <w:noProof/>
        </w:rPr>
      </w:pPr>
      <w:hyperlink w:anchor="_Toc232114742" w:history="1">
        <w:r w:rsidRPr="00AF4E8A">
          <w:rPr>
            <w:rStyle w:val="Hyperlink"/>
            <w:noProof/>
          </w:rPr>
          <w:t>Figure 12 Power curve for the BioMimics 3D 30-day composite safety endpoint generated by PG-Power using the Clopper-Pearson method. The green point marks the required evaluable sample size of n = 209, at which achieved power was 89.7%.</w:t>
        </w:r>
        <w:r>
          <w:rPr>
            <w:noProof/>
            <w:webHidden/>
          </w:rPr>
          <w:tab/>
        </w:r>
        <w:r>
          <w:rPr>
            <w:noProof/>
            <w:webHidden/>
          </w:rPr>
          <w:fldChar w:fldCharType="begin"/>
        </w:r>
        <w:r>
          <w:rPr>
            <w:noProof/>
            <w:webHidden/>
          </w:rPr>
          <w:instrText xml:space="preserve"> PAGEREF _Toc232114742 \h </w:instrText>
        </w:r>
        <w:r>
          <w:rPr>
            <w:noProof/>
            <w:webHidden/>
          </w:rPr>
        </w:r>
        <w:r>
          <w:rPr>
            <w:noProof/>
            <w:webHidden/>
          </w:rPr>
          <w:fldChar w:fldCharType="separate"/>
        </w:r>
        <w:r>
          <w:rPr>
            <w:noProof/>
            <w:webHidden/>
          </w:rPr>
          <w:t>29</w:t>
        </w:r>
        <w:r>
          <w:rPr>
            <w:noProof/>
            <w:webHidden/>
          </w:rPr>
          <w:fldChar w:fldCharType="end"/>
        </w:r>
      </w:hyperlink>
    </w:p>
    <w:p w14:paraId="0D4751FA" w14:textId="00C87EE5" w:rsidR="00020CAA" w:rsidRDefault="00020CAA">
      <w:pPr>
        <w:pStyle w:val="TableofFigures"/>
        <w:tabs>
          <w:tab w:val="right" w:leader="dot" w:pos="9016"/>
        </w:tabs>
        <w:rPr>
          <w:noProof/>
        </w:rPr>
      </w:pPr>
      <w:hyperlink w:anchor="_Toc232114743" w:history="1">
        <w:r w:rsidRPr="00AF4E8A">
          <w:rPr>
            <w:rStyle w:val="Hyperlink"/>
            <w:noProof/>
          </w:rPr>
          <w:t>Figure 13 Required evaluable sample size and achieved power for six confidence interval methods under the BioMimics 3D safety endpoint design assumptions. produced by PG-Power. Clopper-Pearson was used as the primary method.</w:t>
        </w:r>
        <w:r>
          <w:rPr>
            <w:noProof/>
            <w:webHidden/>
          </w:rPr>
          <w:tab/>
        </w:r>
        <w:r>
          <w:rPr>
            <w:noProof/>
            <w:webHidden/>
          </w:rPr>
          <w:fldChar w:fldCharType="begin"/>
        </w:r>
        <w:r>
          <w:rPr>
            <w:noProof/>
            <w:webHidden/>
          </w:rPr>
          <w:instrText xml:space="preserve"> PAGEREF _Toc232114743 \h </w:instrText>
        </w:r>
        <w:r>
          <w:rPr>
            <w:noProof/>
            <w:webHidden/>
          </w:rPr>
        </w:r>
        <w:r>
          <w:rPr>
            <w:noProof/>
            <w:webHidden/>
          </w:rPr>
          <w:fldChar w:fldCharType="separate"/>
        </w:r>
        <w:r>
          <w:rPr>
            <w:noProof/>
            <w:webHidden/>
          </w:rPr>
          <w:t>30</w:t>
        </w:r>
        <w:r>
          <w:rPr>
            <w:noProof/>
            <w:webHidden/>
          </w:rPr>
          <w:fldChar w:fldCharType="end"/>
        </w:r>
      </w:hyperlink>
    </w:p>
    <w:p w14:paraId="0420931B" w14:textId="197D7CB8" w:rsidR="00020CAA" w:rsidRDefault="00020CAA">
      <w:pPr>
        <w:pStyle w:val="TableofFigures"/>
        <w:tabs>
          <w:tab w:val="right" w:leader="dot" w:pos="9016"/>
        </w:tabs>
        <w:rPr>
          <w:noProof/>
        </w:rPr>
      </w:pPr>
      <w:hyperlink w:anchor="_Toc232114744" w:history="1">
        <w:r w:rsidRPr="00AF4E8A">
          <w:rPr>
            <w:rStyle w:val="Hyperlink"/>
            <w:noProof/>
          </w:rPr>
          <w:t>Figure 14 Bayesian power curve for the BioMimics 3D 30-day composite safety endpoint under a Beta(2, 48) prior.</w:t>
        </w:r>
        <w:r>
          <w:rPr>
            <w:noProof/>
            <w:webHidden/>
          </w:rPr>
          <w:tab/>
        </w:r>
        <w:r>
          <w:rPr>
            <w:noProof/>
            <w:webHidden/>
          </w:rPr>
          <w:fldChar w:fldCharType="begin"/>
        </w:r>
        <w:r>
          <w:rPr>
            <w:noProof/>
            <w:webHidden/>
          </w:rPr>
          <w:instrText xml:space="preserve"> PAGEREF _Toc232114744 \h </w:instrText>
        </w:r>
        <w:r>
          <w:rPr>
            <w:noProof/>
            <w:webHidden/>
          </w:rPr>
        </w:r>
        <w:r>
          <w:rPr>
            <w:noProof/>
            <w:webHidden/>
          </w:rPr>
          <w:fldChar w:fldCharType="separate"/>
        </w:r>
        <w:r>
          <w:rPr>
            <w:noProof/>
            <w:webHidden/>
          </w:rPr>
          <w:t>31</w:t>
        </w:r>
        <w:r>
          <w:rPr>
            <w:noProof/>
            <w:webHidden/>
          </w:rPr>
          <w:fldChar w:fldCharType="end"/>
        </w:r>
      </w:hyperlink>
    </w:p>
    <w:p w14:paraId="70B81785" w14:textId="2337671A" w:rsidR="00020CAA" w:rsidRDefault="00020CAA">
      <w:pPr>
        <w:pStyle w:val="TableofFigures"/>
        <w:tabs>
          <w:tab w:val="right" w:leader="dot" w:pos="9016"/>
        </w:tabs>
        <w:rPr>
          <w:noProof/>
        </w:rPr>
      </w:pPr>
      <w:hyperlink w:anchor="_Toc232114745" w:history="1">
        <w:r w:rsidRPr="00AF4E8A">
          <w:rPr>
            <w:rStyle w:val="Hyperlink"/>
            <w:noProof/>
          </w:rPr>
          <w:t>Figure 15 Effect of prior weight on the posterior distribution of the true event proportion θ under three Beta priors with the same event ratio (1:24) but increasing effective sample sizes of 5, 50 and 500.</w:t>
        </w:r>
        <w:r>
          <w:rPr>
            <w:noProof/>
            <w:webHidden/>
          </w:rPr>
          <w:tab/>
        </w:r>
        <w:r>
          <w:rPr>
            <w:noProof/>
            <w:webHidden/>
          </w:rPr>
          <w:fldChar w:fldCharType="begin"/>
        </w:r>
        <w:r>
          <w:rPr>
            <w:noProof/>
            <w:webHidden/>
          </w:rPr>
          <w:instrText xml:space="preserve"> PAGEREF _Toc232114745 \h </w:instrText>
        </w:r>
        <w:r>
          <w:rPr>
            <w:noProof/>
            <w:webHidden/>
          </w:rPr>
        </w:r>
        <w:r>
          <w:rPr>
            <w:noProof/>
            <w:webHidden/>
          </w:rPr>
          <w:fldChar w:fldCharType="separate"/>
        </w:r>
        <w:r>
          <w:rPr>
            <w:noProof/>
            <w:webHidden/>
          </w:rPr>
          <w:t>32</w:t>
        </w:r>
        <w:r>
          <w:rPr>
            <w:noProof/>
            <w:webHidden/>
          </w:rPr>
          <w:fldChar w:fldCharType="end"/>
        </w:r>
      </w:hyperlink>
    </w:p>
    <w:p w14:paraId="7D056F90" w14:textId="616B49AB" w:rsidR="00020CAA" w:rsidRPr="00020CAA" w:rsidRDefault="00020CAA" w:rsidP="00020CAA">
      <w:r>
        <w:fldChar w:fldCharType="end"/>
      </w:r>
    </w:p>
    <w:p w14:paraId="36106B41" w14:textId="77777777" w:rsidR="006803C8" w:rsidRDefault="006803C8" w:rsidP="006803C8"/>
    <w:p w14:paraId="351B80BE" w14:textId="77777777" w:rsidR="006803C8" w:rsidRDefault="006803C8" w:rsidP="006803C8"/>
    <w:p w14:paraId="2EF9BF57" w14:textId="77777777" w:rsidR="006803C8" w:rsidRDefault="006803C8" w:rsidP="006803C8"/>
    <w:p w14:paraId="437A2E67" w14:textId="77777777" w:rsidR="00020CAA" w:rsidRPr="006803C8" w:rsidRDefault="00020CAA" w:rsidP="006803C8"/>
    <w:p w14:paraId="1DEBBC1C" w14:textId="77777777" w:rsidR="006803C8" w:rsidRDefault="006126D1" w:rsidP="006803C8">
      <w:pPr>
        <w:pStyle w:val="Heading1"/>
      </w:pPr>
      <w:bookmarkStart w:id="5" w:name="_Toc232114687"/>
      <w:r w:rsidRPr="006126D1">
        <w:t>Abbreviations and Acronyms</w:t>
      </w:r>
      <w:bookmarkEnd w:id="5"/>
    </w:p>
    <w:p w14:paraId="768058FA" w14:textId="7138F268" w:rsidR="00020CAA" w:rsidRDefault="00020CAA" w:rsidP="004A3582">
      <w:pPr>
        <w:spacing w:line="276" w:lineRule="auto"/>
      </w:pPr>
      <w:r>
        <w:t>PG- Performance Goal</w:t>
      </w:r>
    </w:p>
    <w:p w14:paraId="31D1DFA8" w14:textId="164A1CFD" w:rsidR="00020CAA" w:rsidRDefault="00020CAA" w:rsidP="004A3582">
      <w:pPr>
        <w:spacing w:line="276" w:lineRule="auto"/>
      </w:pPr>
      <w:r>
        <w:t>SAP- Statistical Analysis Plan</w:t>
      </w:r>
    </w:p>
    <w:p w14:paraId="68079296" w14:textId="1DC3C035" w:rsidR="00020CAA" w:rsidRDefault="00020CAA" w:rsidP="004A3582">
      <w:pPr>
        <w:spacing w:line="276" w:lineRule="auto"/>
      </w:pPr>
      <w:r>
        <w:t>TVR- T</w:t>
      </w:r>
      <w:r w:rsidRPr="00FF0761">
        <w:t xml:space="preserve">arget </w:t>
      </w:r>
      <w:r>
        <w:t>V</w:t>
      </w:r>
      <w:r w:rsidRPr="00FF0761">
        <w:t xml:space="preserve">essel </w:t>
      </w:r>
      <w:r>
        <w:t>R</w:t>
      </w:r>
      <w:r w:rsidRPr="00FF0761">
        <w:t>evascularisation</w:t>
      </w:r>
    </w:p>
    <w:p w14:paraId="522C4FC4" w14:textId="77777777" w:rsidR="00005DBD" w:rsidRPr="007070E1" w:rsidRDefault="00005DBD" w:rsidP="004A3582">
      <w:pPr>
        <w:spacing w:line="276" w:lineRule="auto"/>
      </w:pPr>
    </w:p>
    <w:p w14:paraId="7AA4BE25" w14:textId="7BE749EB" w:rsidR="00242A37" w:rsidRPr="00CB4C8F" w:rsidRDefault="00B66B77" w:rsidP="004A3582">
      <w:pPr>
        <w:pStyle w:val="Heading1"/>
        <w:numPr>
          <w:ilvl w:val="0"/>
          <w:numId w:val="4"/>
        </w:numPr>
        <w:spacing w:line="276" w:lineRule="auto"/>
        <w:rPr>
          <w:lang w:val="en-US"/>
        </w:rPr>
      </w:pPr>
      <w:bookmarkStart w:id="6" w:name="_Toc232114688"/>
      <w:r w:rsidRPr="007070E1">
        <w:rPr>
          <w:lang w:val="en-US"/>
        </w:rPr>
        <w:t>Introduction</w:t>
      </w:r>
      <w:bookmarkEnd w:id="6"/>
    </w:p>
    <w:p w14:paraId="5AAF9677" w14:textId="545BB467" w:rsidR="00D31154" w:rsidRPr="00D31154" w:rsidRDefault="00CB4C8F" w:rsidP="00D47EA4">
      <w:pPr>
        <w:pStyle w:val="Heading2"/>
        <w:numPr>
          <w:ilvl w:val="1"/>
          <w:numId w:val="4"/>
        </w:numPr>
        <w:spacing w:line="276" w:lineRule="auto"/>
        <w:rPr>
          <w:lang w:val="en-US"/>
        </w:rPr>
      </w:pPr>
      <w:bookmarkStart w:id="7" w:name="_Toc232114689"/>
      <w:r>
        <w:rPr>
          <w:lang w:val="en-US"/>
        </w:rPr>
        <w:t>Non-inferiority</w:t>
      </w:r>
      <w:r w:rsidR="00AB25CA">
        <w:rPr>
          <w:lang w:val="en-US"/>
        </w:rPr>
        <w:t xml:space="preserve"> </w:t>
      </w:r>
      <w:r>
        <w:rPr>
          <w:lang w:val="en-US"/>
        </w:rPr>
        <w:t>T</w:t>
      </w:r>
      <w:r w:rsidR="00AB25CA">
        <w:rPr>
          <w:lang w:val="en-US"/>
        </w:rPr>
        <w:t>rials</w:t>
      </w:r>
      <w:bookmarkEnd w:id="7"/>
    </w:p>
    <w:p w14:paraId="58601C29" w14:textId="6E553A34" w:rsidR="00D31154" w:rsidRPr="00D31154" w:rsidRDefault="00D31154" w:rsidP="00D31154">
      <w:pPr>
        <w:spacing w:line="276" w:lineRule="auto"/>
      </w:pPr>
      <w:r w:rsidRPr="00D31154">
        <w:t xml:space="preserve">Non-inferiority trials </w:t>
      </w:r>
      <w:r w:rsidR="00671A4F">
        <w:t>arise</w:t>
      </w:r>
      <w:r w:rsidRPr="00D31154">
        <w:t xml:space="preserve"> when an effective treatment or device already exists and a placebo-controlled comparison would be unethical, impractical or clinically uninformative</w:t>
      </w:r>
      <w:r w:rsidR="00234DD8">
        <w:fldChar w:fldCharType="begin"/>
      </w:r>
      <w:r w:rsidR="00234DD8">
        <w:instrText xml:space="preserve"> ADDIN ZOTERO_ITEM CSL_CITATION {"citationID":"HoQD13X1","properties":{"unsorted":false,"formattedCitation":"(1\\uc0\\u8211{}3)","plainCitation":"(1–3)","noteIndex":0},"citationItems":[{"id":5,"uris":["http://zotero.org/users/local/ebPldVBC/items/GSP4TB2M"],"itemData":{"id":5,"type":"article-journal","abstract":"Non-inferiority trials test whether a new product is not unacceptably worse than a product already in use. This paper introduces concepts related to non-inferiority, and discusses the regulatory views of both the European Medicines Agency and the United States Food and Drug Administration.","container-title":"Trials","DOI":"10.1186/1745-6215-12-106","ISSN":"1745-6215","issue":"1","journalAbbreviation":"Trials","page":"106","title":"Through the looking glass: understanding non-inferiority","volume":"12","author":[{"family":"Schumi","given":"Jennifer"},{"family":"Wittes","given":"Janet T."}],"issued":{"date-parts":[["2011",5,3]]}}},{"id":18,"uris":["http://zotero.org/users/local/ebPldVBC/items/GYAJJNXT"],"itemData":{"id":18,"type":"article-journal","abstract":"Noninferiority trials are becoming increasing common, but are often poorly reported and misunderstood. A better understanding of the new components of a  noninferiority trial and their interpretation is needed. Noninferiority trials  are an extension of conventional superiority trials, which provide a basis for  determining if a new treatment, which may have advantages other than efficacy,  has sufficient efficacy to be useful in certain situations. A key feature is the  need to specify a clinical noninferiority margin above which the lower boundary  of the confidence interval for the difference between the new treatment and the  conventional treatment must lie. In most cases a nontreated control arm is not  included, and when the efficacy of the new treatment is less than that of the  standard treatment, determining its efficacy versus no treatment can be a major  challenge. Treatments meeting a clinical noninferiority requirement can be  statistically significantly superior to standard treatment, of similar efficacy  (i.e., no significant difference), or even significantly inferior in a  conventional analysis. Noninferiority comparisons are an important addition to  the reporting of clinical trials, but require prior consideration of several  factors that conventional superiority analyses do not address.","container-title":"British journal of cancer","DOI":"10.1038/s41416-022-01937-w","ISSN":"1532-1827 0007-0920","issue":"10","journalAbbreviation":"Br J Cancer","language":"eng","license":"© 2022. The Author(s).","page":"1755-1759","PMID":"36104512","PMCID":"PMC9643416","publisher-place":"England","title":"Interpreting the results of noninferiority trials-a review.","volume":"127","author":[{"family":"Cuzick","given":"Jack"},{"family":"Sasieni","given":"Peter"}],"issued":{"date-parts":[["2022",11]]}}},{"id":31,"uris":["http://zotero.org/users/local/ebPldVBC/items/2MBTWGM4"],"itemData":{"id":31,"type":"article-journal","abstract":"A noninferiority trial is designed to demonstrate that an experimental therapy is not worse than an active control. Although noninferiority trials are  superficially similar to conventional superiority trials, there are fundamental  differences. In particular, aspects of a study that make the therapies appear  more similar than they actually are can falsely bias the study toward  demonstrating noninferiority. This has important implications for methodologic  techniques such as blinding and statistical analysis based on the  intention-to-treat principle. When applying the results of noninferiority trials,  clinicians should be judicious in determining whether the degree of  noninferiority demonstrated is clinically acceptable and whether the ancillary  benefits of the treatment justify its use.","container-title":"Open medicine : a peer-reviewed, independent, open-access journal","ISSN":"1911-2092","issue":"2","journalAbbreviation":"Open Med","language":"eng","page":"e67-72","PMID":"25009686","PMCID":"PMC4085087","publisher-place":"Canada","title":"A clinician's guide to the assessment and interpretation of noninferiority trials for novel therapies.","volume":"8","author":[{"family":"Oczkowski","given":"Simon J. W."}],"issued":{"date-parts":[["2014"]]}}}],"schema":"https://github.com/citation-style-language/schema/raw/master/csl-citation.json"} </w:instrText>
      </w:r>
      <w:r w:rsidR="00234DD8">
        <w:fldChar w:fldCharType="separate"/>
      </w:r>
      <w:r w:rsidR="00234DD8" w:rsidRPr="00234DD8">
        <w:rPr>
          <w:rFonts w:ascii="Aptos" w:hAnsi="Aptos" w:cs="Times New Roman"/>
          <w:kern w:val="0"/>
        </w:rPr>
        <w:t>(1–3)</w:t>
      </w:r>
      <w:r w:rsidR="00234DD8">
        <w:fldChar w:fldCharType="end"/>
      </w:r>
      <w:r w:rsidRPr="00D31154">
        <w:t>.</w:t>
      </w:r>
      <w:r w:rsidR="00085F71">
        <w:t xml:space="preserve"> </w:t>
      </w:r>
      <w:r w:rsidR="00671A4F">
        <w:t>R</w:t>
      </w:r>
      <w:r w:rsidR="00671A4F" w:rsidRPr="00671A4F">
        <w:t>ather than demonstrating superiority, the goal is to show that any loss of efficacy associated with the new intervention remains within a clinically acceptable limit</w:t>
      </w:r>
      <w:r w:rsidR="00234DD8">
        <w:fldChar w:fldCharType="begin"/>
      </w:r>
      <w:r w:rsidR="00234DD8">
        <w:instrText xml:space="preserve"> ADDIN ZOTERO_ITEM CSL_CITATION {"citationID":"8ULjd1L5","properties":{"unsorted":false,"formattedCitation":"(1\\uc0\\u8211{}3)","plainCitation":"(1–3)","noteIndex":0},"citationItems":[{"id":5,"uris":["http://zotero.org/users/local/ebPldVBC/items/GSP4TB2M"],"itemData":{"id":5,"type":"article-journal","abstract":"Non-inferiority trials test whether a new product is not unacceptably worse than a product already in use. This paper introduces concepts related to non-inferiority, and discusses the regulatory views of both the European Medicines Agency and the United States Food and Drug Administration.","container-title":"Trials","DOI":"10.1186/1745-6215-12-106","ISSN":"1745-6215","issue":"1","journalAbbreviation":"Trials","page":"106","title":"Through the looking glass: understanding non-inferiority","volume":"12","author":[{"family":"Schumi","given":"Jennifer"},{"family":"Wittes","given":"Janet T."}],"issued":{"date-parts":[["2011",5,3]]}}},{"id":18,"uris":["http://zotero.org/users/local/ebPldVBC/items/GYAJJNXT"],"itemData":{"id":18,"type":"article-journal","abstract":"Noninferiority trials are becoming increasing common, but are often poorly reported and misunderstood. A better understanding of the new components of a  noninferiority trial and their interpretation is needed. Noninferiority trials  are an extension of conventional superiority trials, which provide a basis for  determining if a new treatment, which may have advantages other than efficacy,  has sufficient efficacy to be useful in certain situations. A key feature is the  need to specify a clinical noninferiority margin above which the lower boundary  of the confidence interval for the difference between the new treatment and the  conventional treatment must lie. In most cases a nontreated control arm is not  included, and when the efficacy of the new treatment is less than that of the  standard treatment, determining its efficacy versus no treatment can be a major  challenge. Treatments meeting a clinical noninferiority requirement can be  statistically significantly superior to standard treatment, of similar efficacy  (i.e., no significant difference), or even significantly inferior in a  conventional analysis. Noninferiority comparisons are an important addition to  the reporting of clinical trials, but require prior consideration of several  factors that conventional superiority analyses do not address.","container-title":"British journal of cancer","DOI":"10.1038/s41416-022-01937-w","ISSN":"1532-1827 0007-0920","issue":"10","journalAbbreviation":"Br J Cancer","language":"eng","license":"© 2022. The Author(s).","page":"1755-1759","PMID":"36104512","PMCID":"PMC9643416","publisher-place":"England","title":"Interpreting the results of noninferiority trials-a review.","volume":"127","author":[{"family":"Cuzick","given":"Jack"},{"family":"Sasieni","given":"Peter"}],"issued":{"date-parts":[["2022",11]]}}},{"id":31,"uris":["http://zotero.org/users/local/ebPldVBC/items/2MBTWGM4"],"itemData":{"id":31,"type":"article-journal","abstract":"A noninferiority trial is designed to demonstrate that an experimental therapy is not worse than an active control. Although noninferiority trials are  superficially similar to conventional superiority trials, there are fundamental  differences. In particular, aspects of a study that make the therapies appear  more similar than they actually are can falsely bias the study toward  demonstrating noninferiority. This has important implications for methodologic  techniques such as blinding and statistical analysis based on the  intention-to-treat principle. When applying the results of noninferiority trials,  clinicians should be judicious in determining whether the degree of  noninferiority demonstrated is clinically acceptable and whether the ancillary  benefits of the treatment justify its use.","container-title":"Open medicine : a peer-reviewed, independent, open-access journal","ISSN":"1911-2092","issue":"2","journalAbbreviation":"Open Med","language":"eng","page":"e67-72","PMID":"25009686","PMCID":"PMC4085087","publisher-place":"Canada","title":"A clinician's guide to the assessment and interpretation of noninferiority trials for novel therapies.","volume":"8","author":[{"family":"Oczkowski","given":"Simon J. W."}],"issued":{"date-parts":[["2014"]]}}}],"schema":"https://github.com/citation-style-language/schema/raw/master/csl-citation.json"} </w:instrText>
      </w:r>
      <w:r w:rsidR="00234DD8">
        <w:fldChar w:fldCharType="separate"/>
      </w:r>
      <w:r w:rsidR="00234DD8" w:rsidRPr="00234DD8">
        <w:rPr>
          <w:rFonts w:ascii="Aptos" w:hAnsi="Aptos" w:cs="Times New Roman"/>
          <w:kern w:val="0"/>
        </w:rPr>
        <w:t>(1–3)</w:t>
      </w:r>
      <w:r w:rsidR="00234DD8">
        <w:fldChar w:fldCharType="end"/>
      </w:r>
      <w:r w:rsidRPr="00D31154">
        <w:t xml:space="preserve">. </w:t>
      </w:r>
      <w:r w:rsidR="00671A4F" w:rsidRPr="00671A4F">
        <w:t>This limit, known as the non-inferiority margin, represents the largest reduction in efficacy considered tolerable in exchange for other benefits such as improved safety, simpler delivery, lower cost or better patient adherence</w:t>
      </w:r>
      <w:r w:rsidR="00234DD8">
        <w:fldChar w:fldCharType="begin"/>
      </w:r>
      <w:r w:rsidR="00234DD8">
        <w:instrText xml:space="preserve"> ADDIN ZOTERO_ITEM CSL_CITATION {"citationID":"xNPw6SU2","properties":{"unsorted":false,"formattedCitation":"(1,2,4)","plainCitation":"(1,2,4)","noteIndex":0},"citationItems":[{"id":5,"uris":["http://zotero.org/users/local/ebPldVBC/items/GSP4TB2M"],"itemData":{"id":5,"type":"article-journal","abstract":"Non-inferiority trials test whether a new product is not unacceptably worse than a product already in use. This paper introduces concepts related to non-inferiority, and discusses the regulatory views of both the European Medicines Agency and the United States Food and Drug Administration.","container-title":"Trials","DOI":"10.1186/1745-6215-12-106","ISSN":"1745-6215","issue":"1","journalAbbreviation":"Trials","page":"106","title":"Through the looking glass: understanding non-inferiority","volume":"12","author":[{"family":"Schumi","given":"Jennifer"},{"family":"Wittes","given":"Janet T."}],"issued":{"date-parts":[["2011",5,3]]}}},{"id":18,"uris":["http://zotero.org/users/local/ebPldVBC/items/GYAJJNXT"],"itemData":{"id":18,"type":"article-journal","abstract":"Noninferiority trials are becoming increasing common, but are often poorly reported and misunderstood. A better understanding of the new components of a  noninferiority trial and their interpretation is needed. Noninferiority trials  are an extension of conventional superiority trials, which provide a basis for  determining if a new treatment, which may have advantages other than efficacy,  has sufficient efficacy to be useful in certain situations. A key feature is the  need to specify a clinical noninferiority margin above which the lower boundary  of the confidence interval for the difference between the new treatment and the  conventional treatment must lie. In most cases a nontreated control arm is not  included, and when the efficacy of the new treatment is less than that of the  standard treatment, determining its efficacy versus no treatment can be a major  challenge. Treatments meeting a clinical noninferiority requirement can be  statistically significantly superior to standard treatment, of similar efficacy  (i.e., no significant difference), or even significantly inferior in a  conventional analysis. Noninferiority comparisons are an important addition to  the reporting of clinical trials, but require prior consideration of several  factors that conventional superiority analyses do not address.","container-title":"British journal of cancer","DOI":"10.1038/s41416-022-01937-w","ISSN":"1532-1827 0007-0920","issue":"10","journalAbbreviation":"Br J Cancer","language":"eng","license":"© 2022. The Author(s).","page":"1755-1759","PMID":"36104512","PMCID":"PMC9643416","publisher-place":"England","title":"Interpreting the results of noninferiority trials-a review.","volume":"127","author":[{"family":"Cuzick","given":"Jack"},{"family":"Sasieni","given":"Peter"}],"issued":{"date-parts":[["2022",11]]}}},{"id":3,"uris":["http://zotero.org/users/local/ebPldVBC/items/AHCE3TKG"],"itemData":{"id":3,"type":"article-journal","container-title":"BMJ","DOI":"10.1136/bmj-2023-078000","note":"_eprint: https://www.bmj.com/content/385/bmj-2023-078000.full.pdf","publisher":"BMJ Publishing Group Ltd","title":"Exploring different objectives in non-inferiority trials","URL":"https://www.bmj.com/content/385/bmj-2023-078000","volume":"385","author":[{"family":"Tweed","given":"Conor D"},{"family":"Quartagno","given":"Matteo"},{"family":"Clements","given":"Michelle N"},{"family":"Turner","given":"Rebecca M"},{"family":"Nunn","given":"Andrew J"},{"family":"Dunn","given":"David T"},{"family":"White","given":"Ian R"},{"family":"Copas","given":"Andrew J"}],"issued":{"date-parts":[["2024"]]}}}],"schema":"https://github.com/citation-style-language/schema/raw/master/csl-citation.json"} </w:instrText>
      </w:r>
      <w:r w:rsidR="00234DD8">
        <w:fldChar w:fldCharType="separate"/>
      </w:r>
      <w:r w:rsidR="00234DD8" w:rsidRPr="00234DD8">
        <w:rPr>
          <w:rFonts w:ascii="Aptos" w:hAnsi="Aptos"/>
        </w:rPr>
        <w:t>(1,2,4)</w:t>
      </w:r>
      <w:r w:rsidR="00234DD8">
        <w:fldChar w:fldCharType="end"/>
      </w:r>
      <w:r w:rsidRPr="00D31154">
        <w:t>.</w:t>
      </w:r>
    </w:p>
    <w:p w14:paraId="53745CB8" w14:textId="5D88924D" w:rsidR="00242A37" w:rsidRDefault="00671A4F" w:rsidP="004A3582">
      <w:pPr>
        <w:spacing w:line="276" w:lineRule="auto"/>
      </w:pPr>
      <w:r w:rsidRPr="00671A4F">
        <w:t>The trial conclusion depends on both the observed treatment effect and the uncertainty surrounding it</w:t>
      </w:r>
      <w:r w:rsidR="00234DD8">
        <w:fldChar w:fldCharType="begin"/>
      </w:r>
      <w:r w:rsidR="001235BB">
        <w:instrText xml:space="preserve"> ADDIN ZOTERO_ITEM CSL_CITATION {"citationID":"qfJFKEfS","properties":{"unsorted":false,"formattedCitation":"(1,2,5)","plainCitation":"(1,2,5)","noteIndex":0},"citationItems":[{"id":5,"uris":["http://zotero.org/users/local/ebPldVBC/items/GSP4TB2M"],"itemData":{"id":5,"type":"article-journal","abstract":"Non-inferiority trials test whether a new product is not unacceptably worse than a product already in use. This paper introduces concepts related to non-inferiority, and discusses the regulatory views of both the European Medicines Agency and the United States Food and Drug Administration.","container-title":"Trials","DOI":"10.1186/1745-6215-12-106","ISSN":"1745-6215","issue":"1","journalAbbreviation":"Trials","page":"106","title":"Through the looking glass: understanding non-inferiority","volume":"12","author":[{"family":"Schumi","given":"Jennifer"},{"family":"Wittes","given":"Janet T."}],"issued":{"date-parts":[["2011",5,3]]}}},{"id":18,"uris":["http://zotero.org/users/local/ebPldVBC/items/GYAJJNXT"],"itemData":{"id":18,"type":"article-journal","abstract":"Noninferiority trials are becoming increasing common, but are often poorly reported and misunderstood. A better understanding of the new components of a  noninferiority trial and their interpretation is needed. Noninferiority trials  are an extension of conventional superiority trials, which provide a basis for  determining if a new treatment, which may have advantages other than efficacy,  has sufficient efficacy to be useful in certain situations. A key feature is the  need to specify a clinical noninferiority margin above which the lower boundary  of the confidence interval for the difference between the new treatment and the  conventional treatment must lie. In most cases a nontreated control arm is not  included, and when the efficacy of the new treatment is less than that of the  standard treatment, determining its efficacy versus no treatment can be a major  challenge. Treatments meeting a clinical noninferiority requirement can be  statistically significantly superior to standard treatment, of similar efficacy  (i.e., no significant difference), or even significantly inferior in a  conventional analysis. Noninferiority comparisons are an important addition to  the reporting of clinical trials, but require prior consideration of several  factors that conventional superiority analyses do not address.","container-title":"British journal of cancer","DOI":"10.1038/s41416-022-01937-w","ISSN":"1532-1827 0007-0920","issue":"10","journalAbbreviation":"Br J Cancer","language":"eng","license":"© 2022. The Author(s).","page":"1755-1759","PMID":"36104512","PMCID":"PMC9643416","publisher-place":"England","title":"Interpreting the results of noninferiority trials-a review.","volume":"127","author":[{"family":"Cuzick","given":"Jack"},{"family":"Sasieni","given":"Peter"}],"issued":{"date-parts":[["2022",11]]}}},{"id":28,"uris":["http://zotero.org/users/local/ebPldVBC/items/R5QCUM6Y"],"itemData":{"id":28,"type":"report","genre":"Guideline","language":"en","publisher":"International Council for Harmonisation (ICH)","source":"Zotero","title":"Statistical Principles for Clinical Trials E9","URL":"https://www.ich.org/page/efficacy-guidelines","author":[{"family":"International Council for Harmonisation","given":""}],"accessed":{"date-parts":[["2026",5,12]]},"issued":{"date-parts":[["1998"]]}}}],"schema":"https://github.com/citation-style-language/schema/raw/master/csl-citation.json"} </w:instrText>
      </w:r>
      <w:r w:rsidR="00234DD8">
        <w:fldChar w:fldCharType="separate"/>
      </w:r>
      <w:r w:rsidR="00234DD8" w:rsidRPr="00234DD8">
        <w:rPr>
          <w:rFonts w:ascii="Aptos" w:hAnsi="Aptos"/>
        </w:rPr>
        <w:t>(1,2,5)</w:t>
      </w:r>
      <w:r w:rsidR="00234DD8">
        <w:fldChar w:fldCharType="end"/>
      </w:r>
      <w:r w:rsidR="00D31154" w:rsidRPr="00D31154">
        <w:t xml:space="preserve">. </w:t>
      </w:r>
      <w:r w:rsidRPr="00671A4F">
        <w:t>In practice, this is assessed by comparing a confidence interval for the treatment effect against the pre-specified margin</w:t>
      </w:r>
      <w:r w:rsidR="00234DD8">
        <w:fldChar w:fldCharType="begin"/>
      </w:r>
      <w:r w:rsidR="00234DD8">
        <w:instrText xml:space="preserve"> ADDIN ZOTERO_ITEM CSL_CITATION {"citationID":"wXmuDy4G","properties":{"unsorted":false,"formattedCitation":"(1,2,6)","plainCitation":"(1,2,6)","noteIndex":0},"citationItems":[{"id":5,"uris":["http://zotero.org/users/local/ebPldVBC/items/GSP4TB2M"],"itemData":{"id":5,"type":"article-journal","abstract":"Non-inferiority trials test whether a new product is not unacceptably worse than a product already in use. This paper introduces concepts related to non-inferiority, and discusses the regulatory views of both the European Medicines Agency and the United States Food and Drug Administration.","container-title":"Trials","DOI":"10.1186/1745-6215-12-106","ISSN":"1745-6215","issue":"1","journalAbbreviation":"Trials","page":"106","title":"Through the looking glass: understanding non-inferiority","volume":"12","author":[{"family":"Schumi","given":"Jennifer"},{"family":"Wittes","given":"Janet T."}],"issued":{"date-parts":[["2011",5,3]]}}},{"id":18,"uris":["http://zotero.org/users/local/ebPldVBC/items/GYAJJNXT"],"itemData":{"id":18,"type":"article-journal","abstract":"Noninferiority trials are becoming increasing common, but are often poorly reported and misunderstood. A better understanding of the new components of a  noninferiority trial and their interpretation is needed. Noninferiority trials  are an extension of conventional superiority trials, which provide a basis for  determining if a new treatment, which may have advantages other than efficacy,  has sufficient efficacy to be useful in certain situations. A key feature is the  need to specify a clinical noninferiority margin above which the lower boundary  of the confidence interval for the difference between the new treatment and the  conventional treatment must lie. In most cases a nontreated control arm is not  included, and when the efficacy of the new treatment is less than that of the  standard treatment, determining its efficacy versus no treatment can be a major  challenge. Treatments meeting a clinical noninferiority requirement can be  statistically significantly superior to standard treatment, of similar efficacy  (i.e., no significant difference), or even significantly inferior in a  conventional analysis. Noninferiority comparisons are an important addition to  the reporting of clinical trials, but require prior consideration of several  factors that conventional superiority analyses do not address.","container-title":"British journal of cancer","DOI":"10.1038/s41416-022-01937-w","ISSN":"1532-1827 0007-0920","issue":"10","journalAbbreviation":"Br J Cancer","language":"eng","license":"© 2022. The Author(s).","page":"1755-1759","PMID":"36104512","PMCID":"PMC9643416","publisher-place":"England","title":"Interpreting the results of noninferiority trials-a review.","volume":"127","author":[{"family":"Cuzick","given":"Jack"},{"family":"Sasieni","given":"Peter"}],"issued":{"date-parts":[["2022",11]]}}},{"id":17,"uris":["http://zotero.org/users/local/ebPldVBC/items/97KHEVHM"],"itemData":{"id":17,"type":"article-journal","abstract":"The CONSORT (Consolidated Standards of Reporting Trials) Statement, which includes a checklist and a flow diagram, is a guideline developed to help authors improve the reporting of the findings from randomized controlled trials. It was updated most recently in 2010. Its primary focus is on individually randomized trials with 2 parallel groups that assess the possible superiority of one treatment compared with another. The CONSORT Statement has been extended to other trial designs such as cluster randomization, and recommendations for noninferiority and equivalence trials were made in 2006. In this article, we present an updated extension of the CONSORT checklist for reporting noninferiority and equivalence trials, based on the 2010 version of the CONSORT Statement and the 2008 CONSORT Statement for the reporting of abstracts, and provide illustrative examples and explanations for those items that differ from the main 2010 CONSORT checklist. The intent is to improve reporting of noninferiority and equivalence trials, enabling readers to assess the reliability of their results and conclusions.","container-title":"JAMA","DOI":"10.1001/jama.2012.87802","ISSN":"0098-7484","issue":"24","journalAbbreviation":"JAMA","page":"2594-2604","title":"Reporting of Noninferiority and Equivalence Randomized Trials: Extension of the CONSORT 2010 Statement","volume":"308","author":[{"family":"Piaggio","given":"Gilda"},{"family":"Elbourne","given":"Diana R."},{"family":"Pocock","given":"Stuart J."},{"family":"Evans","given":"Stephen J. W."},{"family":"Altman","given":"Douglas G."},{"family":"CONSORT Group","given":"for","dropping-particle":"the"}],"issued":{"date-parts":[["2012",12,26]]}}}],"schema":"https://github.com/citation-style-language/schema/raw/master/csl-citation.json"} </w:instrText>
      </w:r>
      <w:r w:rsidR="00234DD8">
        <w:fldChar w:fldCharType="separate"/>
      </w:r>
      <w:r w:rsidR="00234DD8" w:rsidRPr="00234DD8">
        <w:rPr>
          <w:rFonts w:ascii="Aptos" w:hAnsi="Aptos"/>
        </w:rPr>
        <w:t>(1,2,6)</w:t>
      </w:r>
      <w:r w:rsidR="00234DD8">
        <w:fldChar w:fldCharType="end"/>
      </w:r>
      <w:r w:rsidR="00D31154" w:rsidRPr="00D31154">
        <w:t xml:space="preserve">. </w:t>
      </w:r>
      <w:r w:rsidRPr="00671A4F">
        <w:t>For favourable endpoints, where higher values indicate better performance, the lower confidence bound is the relevant quantity, while for unfavourable endpoints the upper bound is used</w:t>
      </w:r>
      <w:r w:rsidR="00234DD8">
        <w:fldChar w:fldCharType="begin"/>
      </w:r>
      <w:r w:rsidR="00234DD8">
        <w:instrText xml:space="preserve"> ADDIN ZOTERO_ITEM CSL_CITATION {"citationID":"CSRkO8QN","properties":{"unsorted":false,"formattedCitation":"(1,2)","plainCitation":"(1,2)","noteIndex":0},"citationItems":[{"id":5,"uris":["http://zotero.org/users/local/ebPldVBC/items/GSP4TB2M"],"itemData":{"id":5,"type":"article-journal","abstract":"Non-inferiority trials test whether a new product is not unacceptably worse than a product already in use. This paper introduces concepts related to non-inferiority, and discusses the regulatory views of both the European Medicines Agency and the United States Food and Drug Administration.","container-title":"Trials","DOI":"10.1186/1745-6215-12-106","ISSN":"1745-6215","issue":"1","journalAbbreviation":"Trials","page":"106","title":"Through the looking glass: understanding non-inferiority","volume":"12","author":[{"family":"Schumi","given":"Jennifer"},{"family":"Wittes","given":"Janet T."}],"issued":{"date-parts":[["2011",5,3]]}}},{"id":18,"uris":["http://zotero.org/users/local/ebPldVBC/items/GYAJJNXT"],"itemData":{"id":18,"type":"article-journal","abstract":"Noninferiority trials are becoming increasing common, but are often poorly reported and misunderstood. A better understanding of the new components of a  noninferiority trial and their interpretation is needed. Noninferiority trials  are an extension of conventional superiority trials, which provide a basis for  determining if a new treatment, which may have advantages other than efficacy,  has sufficient efficacy to be useful in certain situations. A key feature is the  need to specify a clinical noninferiority margin above which the lower boundary  of the confidence interval for the difference between the new treatment and the  conventional treatment must lie. In most cases a nontreated control arm is not  included, and when the efficacy of the new treatment is less than that of the  standard treatment, determining its efficacy versus no treatment can be a major  challenge. Treatments meeting a clinical noninferiority requirement can be  statistically significantly superior to standard treatment, of similar efficacy  (i.e., no significant difference), or even significantly inferior in a  conventional analysis. Noninferiority comparisons are an important addition to  the reporting of clinical trials, but require prior consideration of several  factors that conventional superiority analyses do not address.","container-title":"British journal of cancer","DOI":"10.1038/s41416-022-01937-w","ISSN":"1532-1827 0007-0920","issue":"10","journalAbbreviation":"Br J Cancer","language":"eng","license":"© 2022. The Author(s).","page":"1755-1759","PMID":"36104512","PMCID":"PMC9643416","publisher-place":"England","title":"Interpreting the results of noninferiority trials-a review.","volume":"127","author":[{"family":"Cuzick","given":"Jack"},{"family":"Sasieni","given":"Peter"}],"issued":{"date-parts":[["2022",11]]}}}],"schema":"https://github.com/citation-style-language/schema/raw/master/csl-citation.json"} </w:instrText>
      </w:r>
      <w:r w:rsidR="00234DD8">
        <w:fldChar w:fldCharType="separate"/>
      </w:r>
      <w:r w:rsidR="00234DD8" w:rsidRPr="00234DD8">
        <w:rPr>
          <w:rFonts w:ascii="Aptos" w:hAnsi="Aptos"/>
        </w:rPr>
        <w:t>(1,2)</w:t>
      </w:r>
      <w:r w:rsidR="00234DD8">
        <w:fldChar w:fldCharType="end"/>
      </w:r>
      <w:r w:rsidR="00D31154" w:rsidRPr="00D31154">
        <w:t xml:space="preserve">. </w:t>
      </w:r>
      <w:r w:rsidRPr="00671A4F">
        <w:t>This one-sided structure distinguishes non-inferiority trials from superiority and equivalence designs, and places the choice of margin and confidence interval method at the centre of the trial's interpretation</w:t>
      </w:r>
      <w:r w:rsidR="00234DD8">
        <w:fldChar w:fldCharType="begin"/>
      </w:r>
      <w:r w:rsidR="00234DD8">
        <w:instrText xml:space="preserve"> ADDIN ZOTERO_ITEM CSL_CITATION {"citationID":"WNN9YFNq","properties":{"unsorted":false,"formattedCitation":"(1\\uc0\\u8211{}3,6)","plainCitation":"(1–3,6)","noteIndex":0},"citationItems":[{"id":5,"uris":["http://zotero.org/users/local/ebPldVBC/items/GSP4TB2M"],"itemData":{"id":5,"type":"article-journal","abstract":"Non-inferiority trials test whether a new product is not unacceptably worse than a product already in use. This paper introduces concepts related to non-inferiority, and discusses the regulatory views of both the European Medicines Agency and the United States Food and Drug Administration.","container-title":"Trials","DOI":"10.1186/1745-6215-12-106","ISSN":"1745-6215","issue":"1","journalAbbreviation":"Trials","page":"106","title":"Through the looking glass: understanding non-inferiority","volume":"12","author":[{"family":"Schumi","given":"Jennifer"},{"family":"Wittes","given":"Janet T."}],"issued":{"date-parts":[["2011",5,3]]}}},{"id":18,"uris":["http://zotero.org/users/local/ebPldVBC/items/GYAJJNXT"],"itemData":{"id":18,"type":"article-journal","abstract":"Noninferiority trials are becoming increasing common, but are often poorly reported and misunderstood. A better understanding of the new components of a  noninferiority trial and their interpretation is needed. Noninferiority trials  are an extension of conventional superiority trials, which provide a basis for  determining if a new treatment, which may have advantages other than efficacy,  has sufficient efficacy to be useful in certain situations. A key feature is the  need to specify a clinical noninferiority margin above which the lower boundary  of the confidence interval for the difference between the new treatment and the  conventional treatment must lie. In most cases a nontreated control arm is not  included, and when the efficacy of the new treatment is less than that of the  standard treatment, determining its efficacy versus no treatment can be a major  challenge. Treatments meeting a clinical noninferiority requirement can be  statistically significantly superior to standard treatment, of similar efficacy  (i.e., no significant difference), or even significantly inferior in a  conventional analysis. Noninferiority comparisons are an important addition to  the reporting of clinical trials, but require prior consideration of several  factors that conventional superiority analyses do not address.","container-title":"British journal of cancer","DOI":"10.1038/s41416-022-01937-w","ISSN":"1532-1827 0007-0920","issue":"10","journalAbbreviation":"Br J Cancer","language":"eng","license":"© 2022. The Author(s).","page":"1755-1759","PMID":"36104512","PMCID":"PMC9643416","publisher-place":"England","title":"Interpreting the results of noninferiority trials-a review.","volume":"127","author":[{"family":"Cuzick","given":"Jack"},{"family":"Sasieni","given":"Peter"}],"issued":{"date-parts":[["2022",11]]}}},{"id":31,"uris":["http://zotero.org/users/local/ebPldVBC/items/2MBTWGM4"],"itemData":{"id":31,"type":"article-journal","abstract":"A noninferiority trial is designed to demonstrate that an experimental therapy is not worse than an active control. Although noninferiority trials are  superficially similar to conventional superiority trials, there are fundamental  differences. In particular, aspects of a study that make the therapies appear  more similar than they actually are can falsely bias the study toward  demonstrating noninferiority. This has important implications for methodologic  techniques such as blinding and statistical analysis based on the  intention-to-treat principle. When applying the results of noninferiority trials,  clinicians should be judicious in determining whether the degree of  noninferiority demonstrated is clinically acceptable and whether the ancillary  benefits of the treatment justify its use.","container-title":"Open medicine : a peer-reviewed, independent, open-access journal","ISSN":"1911-2092","issue":"2","journalAbbreviation":"Open Med","language":"eng","page":"e67-72","PMID":"25009686","PMCID":"PMC4085087","publisher-place":"Canada","title":"A clinician's guide to the assessment and interpretation of noninferiority trials for novel therapies.","volume":"8","author":[{"family":"Oczkowski","given":"Simon J. W."}],"issued":{"date-parts":[["2014"]]}}},{"id":17,"uris":["http://zotero.org/users/local/ebPldVBC/items/97KHEVHM"],"itemData":{"id":17,"type":"article-journal","abstract":"The CONSORT (Consolidated Standards of Reporting Trials) Statement, which includes a checklist and a flow diagram, is a guideline developed to help authors improve the reporting of the findings from randomized controlled trials. It was updated most recently in 2010. Its primary focus is on individually randomized trials with 2 parallel groups that assess the possible superiority of one treatment compared with another. The CONSORT Statement has been extended to other trial designs such as cluster randomization, and recommendations for noninferiority and equivalence trials were made in 2006. In this article, we present an updated extension of the CONSORT checklist for reporting noninferiority and equivalence trials, based on the 2010 version of the CONSORT Statement and the 2008 CONSORT Statement for the reporting of abstracts, and provide illustrative examples and explanations for those items that differ from the main 2010 CONSORT checklist. The intent is to improve reporting of noninferiority and equivalence trials, enabling readers to assess the reliability of their results and conclusions.","container-title":"JAMA","DOI":"10.1001/jama.2012.87802","ISSN":"0098-7484","issue":"24","journalAbbreviation":"JAMA","page":"2594-2604","title":"Reporting of Noninferiority and Equivalence Randomized Trials: Extension of the CONSORT 2010 Statement","volume":"308","author":[{"family":"Piaggio","given":"Gilda"},{"family":"Elbourne","given":"Diana R."},{"family":"Pocock","given":"Stuart J."},{"family":"Evans","given":"Stephen J. W."},{"family":"Altman","given":"Douglas G."},{"family":"CONSORT Group","given":"for","dropping-particle":"the"}],"issued":{"date-parts":[["2012",12,26]]}}}],"schema":"https://github.com/citation-style-language/schema/raw/master/csl-citation.json"} </w:instrText>
      </w:r>
      <w:r w:rsidR="00234DD8">
        <w:fldChar w:fldCharType="separate"/>
      </w:r>
      <w:r w:rsidR="00234DD8" w:rsidRPr="00234DD8">
        <w:rPr>
          <w:rFonts w:ascii="Aptos" w:hAnsi="Aptos" w:cs="Times New Roman"/>
          <w:kern w:val="0"/>
        </w:rPr>
        <w:t>(1–3,6)</w:t>
      </w:r>
      <w:r w:rsidR="00234DD8">
        <w:fldChar w:fldCharType="end"/>
      </w:r>
      <w:r w:rsidR="00D31154" w:rsidRPr="00D31154">
        <w:t>.</w:t>
      </w:r>
    </w:p>
    <w:p w14:paraId="2F7F027E" w14:textId="77777777" w:rsidR="00D31154" w:rsidRPr="00242A37" w:rsidRDefault="00D31154" w:rsidP="004A3582">
      <w:pPr>
        <w:spacing w:line="276" w:lineRule="auto"/>
      </w:pPr>
    </w:p>
    <w:p w14:paraId="5E579DB6" w14:textId="29BB9F9D" w:rsidR="003F7CFE" w:rsidRPr="003F7CFE" w:rsidRDefault="00AB25CA" w:rsidP="003F7CFE">
      <w:pPr>
        <w:pStyle w:val="Heading2"/>
        <w:numPr>
          <w:ilvl w:val="1"/>
          <w:numId w:val="4"/>
        </w:numPr>
        <w:spacing w:line="276" w:lineRule="auto"/>
      </w:pPr>
      <w:bookmarkStart w:id="8" w:name="_Toc232114690"/>
      <w:r>
        <w:t xml:space="preserve">Performance Goals </w:t>
      </w:r>
      <w:r w:rsidR="0043134B">
        <w:t>in Medical Device Studies</w:t>
      </w:r>
      <w:bookmarkEnd w:id="8"/>
    </w:p>
    <w:p w14:paraId="29F9CD28" w14:textId="655C388F" w:rsidR="00F25F37" w:rsidRPr="00F25F37" w:rsidRDefault="00671A4F" w:rsidP="00F25F37">
      <w:pPr>
        <w:spacing w:line="276" w:lineRule="auto"/>
      </w:pPr>
      <w:r w:rsidRPr="00671A4F">
        <w:t>Performance goal studies are closely related to non-inferiority designs and are particularly common in medical device evaluation</w:t>
      </w:r>
      <w:r w:rsidR="00F11037">
        <w:fldChar w:fldCharType="begin"/>
      </w:r>
      <w:r w:rsidR="00F11037">
        <w:instrText xml:space="preserve"> ADDIN ZOTERO_ITEM CSL_CITATION {"citationID":"LpuOQrSV","properties":{"unsorted":false,"formattedCitation":"(1,7,8)","plainCitation":"(1,7,8)","noteIndex":0},"citationItems":[{"id":5,"uris":["http://zotero.org/users/local/ebPldVBC/items/GSP4TB2M"],"itemData":{"id":5,"type":"article-journal","abstract":"Non-inferiority trials test whether a new product is not unacceptably worse than a product already in use. This paper introduces concepts related to non-inferiority, and discusses the regulatory views of both the European Medicines Agency and the United States Food and Drug Administration.","container-title":"Trials","DOI":"10.1186/1745-6215-12-106","ISSN":"1745-6215","issue":"1","journalAbbreviation":"Trials","page":"106","title":"Through the looking glass: understanding non-inferiority","volume":"12","author":[{"family":"Schumi","given":"Jennifer"},{"family":"Wittes","given":"Janet T."}],"issued":{"date-parts":[["2011",5,3]]}}},{"id":32,"uris":["http://zotero.org/users/local/ebPldVBC/items/7QTQGWQJ"],"itemData":{"id":32,"type":"article-journal","abstract":"Performance goals are numerical target values pertaining to effectiveness or safety endpoints in single-arm medical device clinical studies. Typically,  performance goals are determined at the planning stage of the investigational  study under consideration based on summarized outcome information from existing  relevant clinical trials. In recent years, there is a growing interest in  leveraging real-world evidence in medical product development. In this article,  we introduce a new method for proposing performance goals by leveraging  real-world evidence. The method applies entropy balancing to address possible  patient dissimilarities between the study's target patient population and  existing real-world patients, and can take into account operation differences  between clinical studies and real-world clinical practice. An illustrative  example is provided to demonstrate how to implement the proposed method for  performance goal determination while leveraging real-world evidence.","container-title":"Statistics in medicine","DOI":"10.1002/sim.9199","ISSN":"1097-0258 0277-6715","issue":"29","journalAbbreviation":"Stat Med","language":"eng","license":"© 2021 John Wiley &amp; Sons Ltd.","page":"6577-6589","PMID":"34561895","publisher-place":"England","title":"Leveraging real-world evidence for determining performance goals for medical device studies.","volume":"40","author":[{"family":"Wang","given":"Chenguang"},{"family":"Rosner","given":"Gary L."},{"family":"Bao","given":"Tingting"},{"family":"Lu","given":"Nelson"},{"family":"Chen","given":"Wei-Chen"},{"family":"Li","given":"Heng"},{"family":"Tiwari","given":"Ram"},{"family":"Xu","given":"Yunling"},{"family":"Yue","given":"Lilly Q."}],"issued":{"date-parts":[["2021",12,20]]}}},{"id":20,"uris":["http://zotero.org/users/local/ebPldVBC/items/4GQAW2H3"],"itemData":{"id":20,"type":"article-journal","abstract":"Although randomised controlled trials are considered the gold standard in clinical research, they are not always feasible due to limitations in the study  population, challenges in obtaining evidence, high costs and ethical  considerations. As a result, single-arm trial designs have emerged as one of the  methods to address these issues. Single-arm trials are commonly applied to study  advanced-stage cancer, rare diseases, emerging infectious diseases, new treatment  methods and medical devices. Single-arm trials have certain ethical advantages  over randomised controlled trials, such as providing equitable treatment,  respecting patient preferences, addressing rare diseases and timely management of  adverse events. While single-arm trials do not adhere to the principles of  randomisation and blinding in terms of scientific rigour, they still incorporate  principles of control, balance and replication, making the design scientifically  reasonable. Compared with randomised controlled trials, single-arm trials require  fewer sample sizes and have shorter trial durations, which can help save costs.  Compared with cohort studies, single-arm trials involve intervention measures and  reduce external interference, resulting in higher levels of evidence. However,  single-arm trials also have limitations. Without a parallel control group, there  may be biases in interpreting the results. In addition, single-arm trials cannot  meet the requirements of randomisation and blinding, thereby limiting their  evidence capacity compared with randomised controlled trials. Therefore,  researchers consider using single-arm trials as a trial design method only when  randomised controlled trials are not feasible.","container-title":"BMJ supportive &amp; palliative care","DOI":"10.1136/spcare-2024-004984","ISSN":"2045-4368 2045-435X","issue":"1","journalAbbreviation":"BMJ Support Palliat Care","language":"eng","license":"© Author(s) (or their employer(s)) 2025. Re-use permitted under CC BY-NC. No commercial re-use. See rights and permissions. Published by BMJ Group.","page":"46-54","PMID":"38834238","PMCID":"PMC11874317","publisher-place":"England","title":"Single-arm clinical trials: design, ethics, principles.","volume":"15","author":[{"family":"Wang","given":"Minyan"},{"family":"Ma","given":"Huan"},{"family":"Shi","given":"Yun"},{"family":"Ni","given":"Haojie"},{"family":"Qin","given":"Chu"},{"family":"Ji","given":"Conghua"}],"issued":{"date-parts":[["2024",12,25]]}}}],"schema":"https://github.com/citation-style-language/schema/raw/master/csl-citation.json"} </w:instrText>
      </w:r>
      <w:r w:rsidR="00F11037">
        <w:fldChar w:fldCharType="separate"/>
      </w:r>
      <w:r w:rsidR="00F11037" w:rsidRPr="00F11037">
        <w:rPr>
          <w:rFonts w:ascii="Aptos" w:hAnsi="Aptos"/>
        </w:rPr>
        <w:t>(1,7,8)</w:t>
      </w:r>
      <w:r w:rsidR="00F11037">
        <w:fldChar w:fldCharType="end"/>
      </w:r>
      <w:r w:rsidR="00F25F37" w:rsidRPr="00F25F37">
        <w:t xml:space="preserve">. </w:t>
      </w:r>
      <w:r w:rsidRPr="00671A4F">
        <w:t>Rather than comparing the new intervention against an active control, the observed outcome is compared with a pre-specified benchmark derived from historical evidence and clinical judgement</w:t>
      </w:r>
      <w:r w:rsidR="00F11037">
        <w:fldChar w:fldCharType="begin"/>
      </w:r>
      <w:r w:rsidR="00C86E1B">
        <w:instrText xml:space="preserve"> ADDIN ZOTERO_ITEM CSL_CITATION {"citationID":"NEFhL81z","properties":{"unsorted":false,"formattedCitation":"(7,9)","plainCitation":"(7,9)","noteIndex":0},"citationItems":[{"id":32,"uris":["http://zotero.org/users/local/ebPldVBC/items/7QTQGWQJ"],"itemData":{"id":32,"type":"article-journal","abstract":"Performance goals are numerical target values pertaining to effectiveness or safety endpoints in single-arm medical device clinical studies. Typically,  performance goals are determined at the planning stage of the investigational  study under consideration based on summarized outcome information from existing  relevant clinical trials. In recent years, there is a growing interest in  leveraging real-world evidence in medical product development. In this article,  we introduce a new method for proposing performance goals by leveraging  real-world evidence. The method applies entropy balancing to address possible  patient dissimilarities between the study's target patient population and  existing real-world patients, and can take into account operation differences  between clinical studies and real-world clinical practice. An illustrative  example is provided to demonstrate how to implement the proposed method for  performance goal determination while leveraging real-world evidence.","container-title":"Statistics in medicine","DOI":"10.1002/sim.9199","ISSN":"1097-0258 0277-6715","issue":"29","journalAbbreviation":"Stat Med","language":"eng","license":"© 2021 John Wiley &amp; Sons Ltd.","page":"6577-6589","PMID":"34561895","publisher-place":"England","title":"Leveraging real-world evidence for determining performance goals for medical device studies.","volume":"40","author":[{"family":"Wang","given":"Chenguang"},{"family":"Rosner","given":"Gary L."},{"family":"Bao","given":"Tingting"},{"family":"Lu","given":"Nelson"},{"family":"Chen","given":"Wei-Chen"},{"family":"Li","given":"Heng"},{"family":"Tiwari","given":"Ram"},{"family":"Xu","given":"Yunling"},{"family":"Yue","given":"Lilly Q."}],"issued":{"date-parts":[["2021",12,20]]}}},{"id":16,"uris":["http://zotero.org/users/local/ebPldVBC/items/DQUXXI6N"],"itemData":{"id":16,"type":"article-journal","container-title":"Catheterization and Cardiovascular Interventions","page":"910–919","title":"Performance goals and endpoint assessments for clinical trials of femoropopliteal bare nitinol stents in patients with symptomatic peripheral arterial disease","volume":"69","author":[{"family":"Rocha-Singh","given":"K. J."},{"literal":"others"}],"issued":{"date-parts":[["2007"]]}}}],"schema":"https://github.com/citation-style-language/schema/raw/master/csl-citation.json"} </w:instrText>
      </w:r>
      <w:r w:rsidR="00F11037">
        <w:fldChar w:fldCharType="separate"/>
      </w:r>
      <w:r w:rsidR="00C86E1B" w:rsidRPr="00C86E1B">
        <w:rPr>
          <w:rFonts w:ascii="Aptos" w:hAnsi="Aptos"/>
        </w:rPr>
        <w:t>(7,9)</w:t>
      </w:r>
      <w:r w:rsidR="00F11037">
        <w:fldChar w:fldCharType="end"/>
      </w:r>
      <w:r w:rsidR="00F25F37" w:rsidRPr="00F25F37">
        <w:t xml:space="preserve">. </w:t>
      </w:r>
      <w:r w:rsidRPr="00671A4F">
        <w:t>This benchmark defines the minimum level of performance considered acceptable for the device under evaluation</w:t>
      </w:r>
      <w:r w:rsidR="00F11037">
        <w:fldChar w:fldCharType="begin"/>
      </w:r>
      <w:r w:rsidR="00C86E1B">
        <w:instrText xml:space="preserve"> ADDIN ZOTERO_ITEM CSL_CITATION {"citationID":"C9Vg5wYK","properties":{"unsorted":false,"formattedCitation":"(7,9)","plainCitation":"(7,9)","noteIndex":0},"citationItems":[{"id":32,"uris":["http://zotero.org/users/local/ebPldVBC/items/7QTQGWQJ"],"itemData":{"id":32,"type":"article-journal","abstract":"Performance goals are numerical target values pertaining to effectiveness or safety endpoints in single-arm medical device clinical studies. Typically,  performance goals are determined at the planning stage of the investigational  study under consideration based on summarized outcome information from existing  relevant clinical trials. In recent years, there is a growing interest in  leveraging real-world evidence in medical product development. In this article,  we introduce a new method for proposing performance goals by leveraging  real-world evidence. The method applies entropy balancing to address possible  patient dissimilarities between the study's target patient population and  existing real-world patients, and can take into account operation differences  between clinical studies and real-world clinical practice. An illustrative  example is provided to demonstrate how to implement the proposed method for  performance goal determination while leveraging real-world evidence.","container-title":"Statistics in medicine","DOI":"10.1002/sim.9199","ISSN":"1097-0258 0277-6715","issue":"29","journalAbbreviation":"Stat Med","language":"eng","license":"© 2021 John Wiley &amp; Sons Ltd.","page":"6577-6589","PMID":"34561895","publisher-place":"England","title":"Leveraging real-world evidence for determining performance goals for medical device studies.","volume":"40","author":[{"family":"Wang","given":"Chenguang"},{"family":"Rosner","given":"Gary L."},{"family":"Bao","given":"Tingting"},{"family":"Lu","given":"Nelson"},{"family":"Chen","given":"Wei-Chen"},{"family":"Li","given":"Heng"},{"family":"Tiwari","given":"Ram"},{"family":"Xu","given":"Yunling"},{"family":"Yue","given":"Lilly Q."}],"issued":{"date-parts":[["2021",12,20]]}}},{"id":16,"uris":["http://zotero.org/users/local/ebPldVBC/items/DQUXXI6N"],"itemData":{"id":16,"type":"article-journal","container-title":"Catheterization and Cardiovascular Interventions","page":"910–919","title":"Performance goals and endpoint assessments for clinical trials of femoropopliteal bare nitinol stents in patients with symptomatic peripheral arterial disease","volume":"69","author":[{"family":"Rocha-Singh","given":"K. J."},{"literal":"others"}],"issued":{"date-parts":[["2007"]]}}}],"schema":"https://github.com/citation-style-language/schema/raw/master/csl-citation.json"} </w:instrText>
      </w:r>
      <w:r w:rsidR="00F11037">
        <w:fldChar w:fldCharType="separate"/>
      </w:r>
      <w:r w:rsidR="00C86E1B" w:rsidRPr="00C86E1B">
        <w:rPr>
          <w:rFonts w:ascii="Aptos" w:hAnsi="Aptos"/>
        </w:rPr>
        <w:t>(7,9)</w:t>
      </w:r>
      <w:r w:rsidR="00F11037">
        <w:fldChar w:fldCharType="end"/>
      </w:r>
      <w:r w:rsidR="00F25F37" w:rsidRPr="00F25F37">
        <w:t>.</w:t>
      </w:r>
    </w:p>
    <w:p w14:paraId="6F4042E8" w14:textId="77939AC9" w:rsidR="00F25F37" w:rsidRPr="00F25F37" w:rsidRDefault="00671A4F" w:rsidP="00F25F37">
      <w:pPr>
        <w:spacing w:line="276" w:lineRule="auto"/>
      </w:pPr>
      <w:r w:rsidRPr="00671A4F">
        <w:t>The performance goal approach is most useful when a randomised active-control trial is difficult to justify or conduct</w:t>
      </w:r>
      <w:r w:rsidR="00F11037">
        <w:fldChar w:fldCharType="begin"/>
      </w:r>
      <w:r w:rsidR="00F11037">
        <w:instrText xml:space="preserve"> ADDIN ZOTERO_ITEM CSL_CITATION {"citationID":"tqHRQdec","properties":{"unsorted":false,"formattedCitation":"(7,8)","plainCitation":"(7,8)","noteIndex":0},"citationItems":[{"id":32,"uris":["http://zotero.org/users/local/ebPldVBC/items/7QTQGWQJ"],"itemData":{"id":32,"type":"article-journal","abstract":"Performance goals are numerical target values pertaining to effectiveness or safety endpoints in single-arm medical device clinical studies. Typically,  performance goals are determined at the planning stage of the investigational  study under consideration based on summarized outcome information from existing  relevant clinical trials. In recent years, there is a growing interest in  leveraging real-world evidence in medical product development. In this article,  we introduce a new method for proposing performance goals by leveraging  real-world evidence. The method applies entropy balancing to address possible  patient dissimilarities between the study's target patient population and  existing real-world patients, and can take into account operation differences  between clinical studies and real-world clinical practice. An illustrative  example is provided to demonstrate how to implement the proposed method for  performance goal determination while leveraging real-world evidence.","container-title":"Statistics in medicine","DOI":"10.1002/sim.9199","ISSN":"1097-0258 0277-6715","issue":"29","journalAbbreviation":"Stat Med","language":"eng","license":"© 2021 John Wiley &amp; Sons Ltd.","page":"6577-6589","PMID":"34561895","publisher-place":"England","title":"Leveraging real-world evidence for determining performance goals for medical device studies.","volume":"40","author":[{"family":"Wang","given":"Chenguang"},{"family":"Rosner","given":"Gary L."},{"family":"Bao","given":"Tingting"},{"family":"Lu","given":"Nelson"},{"family":"Chen","given":"Wei-Chen"},{"family":"Li","given":"Heng"},{"family":"Tiwari","given":"Ram"},{"family":"Xu","given":"Yunling"},{"family":"Yue","given":"Lilly Q."}],"issued":{"date-parts":[["2021",12,20]]}}},{"id":20,"uris":["http://zotero.org/users/local/ebPldVBC/items/4GQAW2H3"],"itemData":{"id":20,"type":"article-journal","abstract":"Although randomised controlled trials are considered the gold standard in clinical research, they are not always feasible due to limitations in the study  population, challenges in obtaining evidence, high costs and ethical  considerations. As a result, single-arm trial designs have emerged as one of the  methods to address these issues. Single-arm trials are commonly applied to study  advanced-stage cancer, rare diseases, emerging infectious diseases, new treatment  methods and medical devices. Single-arm trials have certain ethical advantages  over randomised controlled trials, such as providing equitable treatment,  respecting patient preferences, addressing rare diseases and timely management of  adverse events. While single-arm trials do not adhere to the principles of  randomisation and blinding in terms of scientific rigour, they still incorporate  principles of control, balance and replication, making the design scientifically  reasonable. Compared with randomised controlled trials, single-arm trials require  fewer sample sizes and have shorter trial durations, which can help save costs.  Compared with cohort studies, single-arm trials involve intervention measures and  reduce external interference, resulting in higher levels of evidence. However,  single-arm trials also have limitations. Without a parallel control group, there  may be biases in interpreting the results. In addition, single-arm trials cannot  meet the requirements of randomisation and blinding, thereby limiting their  evidence capacity compared with randomised controlled trials. Therefore,  researchers consider using single-arm trials as a trial design method only when  randomised controlled trials are not feasible.","container-title":"BMJ supportive &amp; palliative care","DOI":"10.1136/spcare-2024-004984","ISSN":"2045-4368 2045-435X","issue":"1","journalAbbreviation":"BMJ Support Palliat Care","language":"eng","license":"© Author(s) (or their employer(s)) 2025. Re-use permitted under CC BY-NC. No commercial re-use. See rights and permissions. Published by BMJ Group.","page":"46-54","PMID":"38834238","PMCID":"PMC11874317","publisher-place":"England","title":"Single-arm clinical trials: design, ethics, principles.","volume":"15","author":[{"family":"Wang","given":"Minyan"},{"family":"Ma","given":"Huan"},{"family":"Shi","given":"Yun"},{"family":"Ni","given":"Haojie"},{"family":"Qin","given":"Chu"},{"family":"Ji","given":"Conghua"}],"issued":{"date-parts":[["2024",12,25]]}}}],"schema":"https://github.com/citation-style-language/schema/raw/master/csl-citation.json"} </w:instrText>
      </w:r>
      <w:r w:rsidR="00F11037">
        <w:fldChar w:fldCharType="separate"/>
      </w:r>
      <w:r w:rsidR="00F11037" w:rsidRPr="00F11037">
        <w:rPr>
          <w:rFonts w:ascii="Aptos" w:hAnsi="Aptos"/>
        </w:rPr>
        <w:t>(7,8)</w:t>
      </w:r>
      <w:r w:rsidR="00F11037">
        <w:fldChar w:fldCharType="end"/>
      </w:r>
      <w:r w:rsidR="00F25F37" w:rsidRPr="00F25F37">
        <w:t xml:space="preserve">. </w:t>
      </w:r>
      <w:r w:rsidRPr="00671A4F">
        <w:t>However, the absence of a concurrent comparator makes the choice of benchmark especially consequential</w:t>
      </w:r>
      <w:r w:rsidR="00F11037">
        <w:fldChar w:fldCharType="begin"/>
      </w:r>
      <w:r w:rsidR="00C86E1B">
        <w:instrText xml:space="preserve"> ADDIN ZOTERO_ITEM CSL_CITATION {"citationID":"fOZ5VWUw","properties":{"unsorted":false,"formattedCitation":"(7,10)","plainCitation":"(7,10)","noteIndex":0},"citationItems":[{"id":32,"uris":["http://zotero.org/users/local/ebPldVBC/items/7QTQGWQJ"],"itemData":{"id":32,"type":"article-journal","abstract":"Performance goals are numerical target values pertaining to effectiveness or safety endpoints in single-arm medical device clinical studies. Typically,  performance goals are determined at the planning stage of the investigational  study under consideration based on summarized outcome information from existing  relevant clinical trials. In recent years, there is a growing interest in  leveraging real-world evidence in medical product development. In this article,  we introduce a new method for proposing performance goals by leveraging  real-world evidence. The method applies entropy balancing to address possible  patient dissimilarities between the study's target patient population and  existing real-world patients, and can take into account operation differences  between clinical studies and real-world clinical practice. An illustrative  example is provided to demonstrate how to implement the proposed method for  performance goal determination while leveraging real-world evidence.","container-title":"Statistics in medicine","DOI":"10.1002/sim.9199","ISSN":"1097-0258 0277-6715","issue":"29","journalAbbreviation":"Stat Med","language":"eng","license":"© 2021 John Wiley &amp; Sons Ltd.","page":"6577-6589","PMID":"34561895","publisher-place":"England","title":"Leveraging real-world evidence for determining performance goals for medical device studies.","volume":"40","author":[{"family":"Wang","given":"Chenguang"},{"family":"Rosner","given":"Gary L."},{"family":"Bao","given":"Tingting"},{"family":"Lu","given":"Nelson"},{"family":"Chen","given":"Wei-Chen"},{"family":"Li","given":"Heng"},{"family":"Tiwari","given":"Ram"},{"family":"Xu","given":"Yunling"},{"family":"Yue","given":"Lilly Q."}],"issued":{"date-parts":[["2021",12,20]]}}},{"id":21,"uris":["http://zotero.org/users/local/ebPldVBC/items/SLWFMSIE"],"itemData":{"id":21,"type":"article-journal","abstract":"Although single-arm trials (SATs) can serve as a pivotal study design for evaluating drug efficacy in specific scenarios, they are accompanied by inherent limitations and challenges. This paper explores the challenges of validity, reliability, statistical power, and the use of external control in SATs from a statistical perspective. We reflect on the rationale for employing SATs to support efficacy assessments, and provide recommendations based on their limitations and potential biases. The objective is to offer guidance for the improved design and implementation of SATs in future research.","container-title":"BMC Medical Research Methodology","DOI":"10.1186/s12874-025-02660-9","ISSN":"1471-2288","issue":"1","journalAbbreviation":"BMC Medical Research Methodology","page":"233","title":"Estimating comparative effectiveness using Single-Arm trials: A challenge in the field of agnosticism","volume":"25","author":[{"family":"Cao","given":"Shang"},{"family":"Kan","given":"Hongwei"},{"family":"Lu","given":"Mingliang"},{"family":"Pan","given":"Jianhong"}],"issued":{"date-parts":[["2025",10,21]]}}}],"schema":"https://github.com/citation-style-language/schema/raw/master/csl-citation.json"} </w:instrText>
      </w:r>
      <w:r w:rsidR="00F11037">
        <w:fldChar w:fldCharType="separate"/>
      </w:r>
      <w:r w:rsidR="00C86E1B" w:rsidRPr="00C86E1B">
        <w:rPr>
          <w:rFonts w:ascii="Aptos" w:hAnsi="Aptos"/>
        </w:rPr>
        <w:t>(7,10)</w:t>
      </w:r>
      <w:r w:rsidR="00F11037">
        <w:fldChar w:fldCharType="end"/>
      </w:r>
      <w:r w:rsidR="00F25F37" w:rsidRPr="00F25F37">
        <w:t xml:space="preserve">. </w:t>
      </w:r>
      <w:r w:rsidRPr="00671A4F">
        <w:t>Historical studies may differ from the current trial in ways that affect the validity of the comparison, including differences in the target population, endpoint definitions, follow-up duration and broader clinical practice</w:t>
      </w:r>
      <w:r w:rsidR="00F11037">
        <w:fldChar w:fldCharType="begin"/>
      </w:r>
      <w:r w:rsidR="00C86E1B">
        <w:instrText xml:space="preserve"> ADDIN ZOTERO_ITEM CSL_CITATION {"citationID":"bmTsMwDF","properties":{"unsorted":false,"formattedCitation":"(7,10)","plainCitation":"(7,10)","noteIndex":0},"citationItems":[{"id":32,"uris":["http://zotero.org/users/local/ebPldVBC/items/7QTQGWQJ"],"itemData":{"id":32,"type":"article-journal","abstract":"Performance goals are numerical target values pertaining to effectiveness or safety endpoints in single-arm medical device clinical studies. Typically,  performance goals are determined at the planning stage of the investigational  study under consideration based on summarized outcome information from existing  relevant clinical trials. In recent years, there is a growing interest in  leveraging real-world evidence in medical product development. In this article,  we introduce a new method for proposing performance goals by leveraging  real-world evidence. The method applies entropy balancing to address possible  patient dissimilarities between the study's target patient population and  existing real-world patients, and can take into account operation differences  between clinical studies and real-world clinical practice. An illustrative  example is provided to demonstrate how to implement the proposed method for  performance goal determination while leveraging real-world evidence.","container-title":"Statistics in medicine","DOI":"10.1002/sim.9199","ISSN":"1097-0258 0277-6715","issue":"29","journalAbbreviation":"Stat Med","language":"eng","license":"© 2021 John Wiley &amp; Sons Ltd.","page":"6577-6589","PMID":"34561895","publisher-place":"England","title":"Leveraging real-world evidence for determining performance goals for medical device studies.","volume":"40","author":[{"family":"Wang","given":"Chenguang"},{"family":"Rosner","given":"Gary L."},{"family":"Bao","given":"Tingting"},{"family":"Lu","given":"Nelson"},{"family":"Chen","given":"Wei-Chen"},{"family":"Li","given":"Heng"},{"family":"Tiwari","given":"Ram"},{"family":"Xu","given":"Yunling"},{"family":"Yue","given":"Lilly Q."}],"issued":{"date-parts":[["2021",12,20]]}}},{"id":21,"uris":["http://zotero.org/users/local/ebPldVBC/items/SLWFMSIE"],"itemData":{"id":21,"type":"article-journal","abstract":"Although single-arm trials (SATs) can serve as a pivotal study design for evaluating drug efficacy in specific scenarios, they are accompanied by inherent limitations and challenges. This paper explores the challenges of validity, reliability, statistical power, and the use of external control in SATs from a statistical perspective. We reflect on the rationale for employing SATs to support efficacy assessments, and provide recommendations based on their limitations and potential biases. The objective is to offer guidance for the improved design and implementation of SATs in future research.","container-title":"BMC Medical Research Methodology","DOI":"10.1186/s12874-025-02660-9","ISSN":"1471-2288","issue":"1","journalAbbreviation":"BMC Medical Research Methodology","page":"233","title":"Estimating comparative effectiveness using Single-Arm trials: A challenge in the field of agnosticism","volume":"25","author":[{"family":"Cao","given":"Shang"},{"family":"Kan","given":"Hongwei"},{"family":"Lu","given":"Mingliang"},{"family":"Pan","given":"Jianhong"}],"issued":{"date-parts":[["2025",10,21]]}}}],"schema":"https://github.com/citation-style-language/schema/raw/master/csl-citation.json"} </w:instrText>
      </w:r>
      <w:r w:rsidR="00F11037">
        <w:fldChar w:fldCharType="separate"/>
      </w:r>
      <w:r w:rsidR="00C86E1B" w:rsidRPr="00C86E1B">
        <w:rPr>
          <w:rFonts w:ascii="Aptos" w:hAnsi="Aptos"/>
        </w:rPr>
        <w:t>(7,10)</w:t>
      </w:r>
      <w:r w:rsidR="00F11037">
        <w:fldChar w:fldCharType="end"/>
      </w:r>
      <w:r w:rsidR="00F25F37" w:rsidRPr="00F25F37">
        <w:t>.</w:t>
      </w:r>
      <w:r>
        <w:t xml:space="preserve"> </w:t>
      </w:r>
      <w:r w:rsidRPr="00671A4F">
        <w:t>These differences must be carefully considered when constructing and justifying a performance goal.</w:t>
      </w:r>
    </w:p>
    <w:p w14:paraId="0F53B426" w14:textId="5CB2AD19" w:rsidR="00F25F37" w:rsidRPr="00F25F37" w:rsidRDefault="00671A4F" w:rsidP="00F25F37">
      <w:pPr>
        <w:spacing w:line="276" w:lineRule="auto"/>
      </w:pPr>
      <w:r w:rsidRPr="00671A4F">
        <w:t>The direction of the performance goal depends on the nature of the endpoint</w:t>
      </w:r>
      <w:r w:rsidR="00F11037">
        <w:fldChar w:fldCharType="begin"/>
      </w:r>
      <w:r w:rsidR="00C86E1B">
        <w:instrText xml:space="preserve"> ADDIN ZOTERO_ITEM CSL_CITATION {"citationID":"4vgUJ2r2","properties":{"unsorted":false,"formattedCitation":"(7,9)","plainCitation":"(7,9)","noteIndex":0},"citationItems":[{"id":32,"uris":["http://zotero.org/users/local/ebPldVBC/items/7QTQGWQJ"],"itemData":{"id":32,"type":"article-journal","abstract":"Performance goals are numerical target values pertaining to effectiveness or safety endpoints in single-arm medical device clinical studies. Typically,  performance goals are determined at the planning stage of the investigational  study under consideration based on summarized outcome information from existing  relevant clinical trials. In recent years, there is a growing interest in  leveraging real-world evidence in medical product development. In this article,  we introduce a new method for proposing performance goals by leveraging  real-world evidence. The method applies entropy balancing to address possible  patient dissimilarities between the study's target patient population and  existing real-world patients, and can take into account operation differences  between clinical studies and real-world clinical practice. An illustrative  example is provided to demonstrate how to implement the proposed method for  performance goal determination while leveraging real-world evidence.","container-title":"Statistics in medicine","DOI":"10.1002/sim.9199","ISSN":"1097-0258 0277-6715","issue":"29","journalAbbreviation":"Stat Med","language":"eng","license":"© 2021 John Wiley &amp; Sons Ltd.","page":"6577-6589","PMID":"34561895","publisher-place":"England","title":"Leveraging real-world evidence for determining performance goals for medical device studies.","volume":"40","author":[{"family":"Wang","given":"Chenguang"},{"family":"Rosner","given":"Gary L."},{"family":"Bao","given":"Tingting"},{"family":"Lu","given":"Nelson"},{"family":"Chen","given":"Wei-Chen"},{"family":"Li","given":"Heng"},{"family":"Tiwari","given":"Ram"},{"family":"Xu","given":"Yunling"},{"family":"Yue","given":"Lilly Q."}],"issued":{"date-parts":[["2021",12,20]]}}},{"id":16,"uris":["http://zotero.org/users/local/ebPldVBC/items/DQUXXI6N"],"itemData":{"id":16,"type":"article-journal","container-title":"Catheterization and Cardiovascular Interventions","page":"910–919","title":"Performance goals and endpoint assessments for clinical trials of femoropopliteal bare nitinol stents in patients with symptomatic peripheral arterial disease","volume":"69","author":[{"family":"Rocha-Singh","given":"K. J."},{"literal":"others"}],"issued":{"date-parts":[["2007"]]}}}],"schema":"https://github.com/citation-style-language/schema/raw/master/csl-citation.json"} </w:instrText>
      </w:r>
      <w:r w:rsidR="00F11037">
        <w:fldChar w:fldCharType="separate"/>
      </w:r>
      <w:r w:rsidR="00C86E1B" w:rsidRPr="00C86E1B">
        <w:rPr>
          <w:rFonts w:ascii="Aptos" w:hAnsi="Aptos"/>
        </w:rPr>
        <w:t>(7,9)</w:t>
      </w:r>
      <w:r w:rsidR="00F11037">
        <w:fldChar w:fldCharType="end"/>
      </w:r>
      <w:r w:rsidR="00F25F37" w:rsidRPr="00F25F37">
        <w:t xml:space="preserve">. </w:t>
      </w:r>
      <w:r w:rsidRPr="00671A4F">
        <w:t>For efficacy endpoints, where higher event proportions reflect better performance, the estimated proportion and its confidence interval must exceed a minimum acceptable leve</w:t>
      </w:r>
      <w:r>
        <w:t>l</w:t>
      </w:r>
      <w:r w:rsidR="00F11037">
        <w:fldChar w:fldCharType="begin"/>
      </w:r>
      <w:r w:rsidR="00C86E1B">
        <w:instrText xml:space="preserve"> ADDIN ZOTERO_ITEM CSL_CITATION {"citationID":"YyuW551M","properties":{"unsorted":false,"formattedCitation":"(7,9)","plainCitation":"(7,9)","noteIndex":0},"citationItems":[{"id":32,"uris":["http://zotero.org/users/local/ebPldVBC/items/7QTQGWQJ"],"itemData":{"id":32,"type":"article-journal","abstract":"Performance goals are numerical target values pertaining to effectiveness or safety endpoints in single-arm medical device clinical studies. Typically,  performance goals are determined at the planning stage of the investigational  study under consideration based on summarized outcome information from existing  relevant clinical trials. In recent years, there is a growing interest in  leveraging real-world evidence in medical product development. In this article,  we introduce a new method for proposing performance goals by leveraging  real-world evidence. The method applies entropy balancing to address possible  patient dissimilarities between the study's target patient population and  existing real-world patients, and can take into account operation differences  between clinical studies and real-world clinical practice. An illustrative  example is provided to demonstrate how to implement the proposed method for  performance goal determination while leveraging real-world evidence.","container-title":"Statistics in medicine","DOI":"10.1002/sim.9199","ISSN":"1097-0258 0277-6715","issue":"29","journalAbbreviation":"Stat Med","language":"eng","license":"© 2021 John Wiley &amp; Sons Ltd.","page":"6577-6589","PMID":"34561895","publisher-place":"England","title":"Leveraging real-world evidence for determining performance goals for medical device studies.","volume":"40","author":[{"family":"Wang","given":"Chenguang"},{"family":"Rosner","given":"Gary L."},{"family":"Bao","given":"Tingting"},{"family":"Lu","given":"Nelson"},{"family":"Chen","given":"Wei-Chen"},{"family":"Li","given":"Heng"},{"family":"Tiwari","given":"Ram"},{"family":"Xu","given":"Yunling"},{"family":"Yue","given":"Lilly Q."}],"issued":{"date-parts":[["2021",12,20]]}}},{"id":16,"uris":["http://zotero.org/users/local/ebPldVBC/items/DQUXXI6N"],"itemData":{"id":16,"type":"article-journal","container-title":"Catheterization and Cardiovascular Interventions","page":"910–919","title":"Performance goals and endpoint assessments for clinical trials of femoropopliteal bare nitinol stents in patients with symptomatic peripheral arterial disease","volume":"69","author":[{"family":"Rocha-Singh","given":"K. J."},{"literal":"others"}],"issued":{"date-parts":[["2007"]]}}}],"schema":"https://github.com/citation-style-language/schema/raw/master/csl-citation.json"} </w:instrText>
      </w:r>
      <w:r w:rsidR="00F11037">
        <w:fldChar w:fldCharType="separate"/>
      </w:r>
      <w:r w:rsidR="00C86E1B" w:rsidRPr="00C86E1B">
        <w:rPr>
          <w:rFonts w:ascii="Aptos" w:hAnsi="Aptos"/>
        </w:rPr>
        <w:t>(7,9)</w:t>
      </w:r>
      <w:r w:rsidR="00F11037">
        <w:fldChar w:fldCharType="end"/>
      </w:r>
      <w:r w:rsidR="00F25F37" w:rsidRPr="00F25F37">
        <w:t xml:space="preserve">. </w:t>
      </w:r>
      <w:r w:rsidRPr="00671A4F">
        <w:t>For safety endpoints, where lower proportions are desirable, the estimated proportion and its confidence interval must remain below a maximum acceptable level of harm</w:t>
      </w:r>
      <w:r w:rsidR="00F11037">
        <w:fldChar w:fldCharType="begin"/>
      </w:r>
      <w:r w:rsidR="00C86E1B">
        <w:instrText xml:space="preserve"> ADDIN ZOTERO_ITEM CSL_CITATION {"citationID":"hiOI4rEF","properties":{"unsorted":false,"formattedCitation":"(7,9)","plainCitation":"(7,9)","noteIndex":0},"citationItems":[{"id":32,"uris":["http://zotero.org/users/local/ebPldVBC/items/7QTQGWQJ"],"itemData":{"id":32,"type":"article-journal","abstract":"Performance goals are numerical target values pertaining to effectiveness or safety endpoints in single-arm medical device clinical studies. Typically,  performance goals are determined at the planning stage of the investigational  study under consideration based on summarized outcome information from existing  relevant clinical trials. In recent years, there is a growing interest in  leveraging real-world evidence in medical product development. In this article,  we introduce a new method for proposing performance goals by leveraging  real-world evidence. The method applies entropy balancing to address possible  patient dissimilarities between the study's target patient population and  existing real-world patients, and can take into account operation differences  between clinical studies and real-world clinical practice. An illustrative  example is provided to demonstrate how to implement the proposed method for  performance goal determination while leveraging real-world evidence.","container-title":"Statistics in medicine","DOI":"10.1002/sim.9199","ISSN":"1097-0258 0277-6715","issue":"29","journalAbbreviation":"Stat Med","language":"eng","license":"© 2021 John Wiley &amp; Sons Ltd.","page":"6577-6589","PMID":"34561895","publisher-place":"England","title":"Leveraging real-world evidence for determining performance goals for medical device studies.","volume":"40","author":[{"family":"Wang","given":"Chenguang"},{"family":"Rosner","given":"Gary L."},{"family":"Bao","given":"Tingting"},{"family":"Lu","given":"Nelson"},{"family":"Chen","given":"Wei-Chen"},{"family":"Li","given":"Heng"},{"family":"Tiwari","given":"Ram"},{"family":"Xu","given":"Yunling"},{"family":"Yue","given":"Lilly Q."}],"issued":{"date-parts":[["2021",12,20]]}}},{"id":16,"uris":["http://zotero.org/users/local/ebPldVBC/items/DQUXXI6N"],"itemData":{"id":16,"type":"article-journal","container-title":"Catheterization and Cardiovascular Interventions","page":"910–919","title":"Performance goals and endpoint assessments for clinical trials of femoropopliteal bare nitinol stents in patients with symptomatic peripheral arterial disease","volume":"69","author":[{"family":"Rocha-Singh","given":"K. J."},{"literal":"others"}],"issued":{"date-parts":[["2007"]]}}}],"schema":"https://github.com/citation-style-language/schema/raw/master/csl-citation.json"} </w:instrText>
      </w:r>
      <w:r w:rsidR="00F11037">
        <w:fldChar w:fldCharType="separate"/>
      </w:r>
      <w:r w:rsidR="00C86E1B" w:rsidRPr="00C86E1B">
        <w:rPr>
          <w:rFonts w:ascii="Aptos" w:hAnsi="Aptos"/>
        </w:rPr>
        <w:t>(7,9)</w:t>
      </w:r>
      <w:r w:rsidR="00F11037">
        <w:fldChar w:fldCharType="end"/>
      </w:r>
      <w:r w:rsidR="00F25F37" w:rsidRPr="00F25F37">
        <w:t xml:space="preserve">. </w:t>
      </w:r>
      <w:r w:rsidRPr="00671A4F">
        <w:t>In either case, a performance goal should not be treated as a simple numerical cut-off</w:t>
      </w:r>
      <w:r w:rsidR="00F11037">
        <w:fldChar w:fldCharType="begin"/>
      </w:r>
      <w:r w:rsidR="001235BB">
        <w:instrText xml:space="preserve"> ADDIN ZOTERO_ITEM CSL_CITATION {"citationID":"WHRePceR","properties":{"unsorted":false,"formattedCitation":"(5,7,9)","plainCitation":"(5,7,9)","noteIndex":0},"citationItems":[{"id":28,"uris":["http://zotero.org/users/local/ebPldVBC/items/R5QCUM6Y"],"itemData":{"id":28,"type":"report","genre":"Guideline","language":"en","publisher":"International Council for Harmonisation (ICH)","source":"Zotero","title":"Statistical Principles for Clinical Trials E9","URL":"https://www.ich.org/page/efficacy-guidelines","author":[{"family":"International Council for Harmonisation","given":""}],"accessed":{"date-parts":[["2026",5,12]]},"issued":{"date-parts":[["1998"]]}}},{"id":32,"uris":["http://zotero.org/users/local/ebPldVBC/items/7QTQGWQJ"],"itemData":{"id":32,"type":"article-journal","abstract":"Performance goals are numerical target values pertaining to effectiveness or safety endpoints in single-arm medical device clinical studies. Typically,  performance goals are determined at the planning stage of the investigational  study under consideration based on summarized outcome information from existing  relevant clinical trials. In recent years, there is a growing interest in  leveraging real-world evidence in medical product development. In this article,  we introduce a new method for proposing performance goals by leveraging  real-world evidence. The method applies entropy balancing to address possible  patient dissimilarities between the study's target patient population and  existing real-world patients, and can take into account operation differences  between clinical studies and real-world clinical practice. An illustrative  example is provided to demonstrate how to implement the proposed method for  performance goal determination while leveraging real-world evidence.","container-title":"Statistics in medicine","DOI":"10.1002/sim.9199","ISSN":"1097-0258 0277-6715","issue":"29","journalAbbreviation":"Stat Med","language":"eng","license":"© 2021 John Wiley &amp; Sons Ltd.","page":"6577-6589","PMID":"34561895","publisher-place":"England","title":"Leveraging real-world evidence for determining performance goals for medical device studies.","volume":"40","author":[{"family":"Wang","given":"Chenguang"},{"family":"Rosner","given":"Gary L."},{"family":"Bao","given":"Tingting"},{"family":"Lu","given":"Nelson"},{"family":"Chen","given":"Wei-Chen"},{"family":"Li","given":"Heng"},{"family":"Tiwari","given":"Ram"},{"family":"Xu","given":"Yunling"},{"family":"Yue","given":"Lilly Q."}],"issued":{"date-parts":[["2021",12,20]]}}},{"id":16,"uris":["http://zotero.org/users/local/ebPldVBC/items/DQUXXI6N"],"itemData":{"id":16,"type":"article-journal","container-title":"Catheterization and Cardiovascular Interventions","page":"910–919","title":"Performance goals and endpoint assessments for clinical trials of femoropopliteal bare nitinol stents in patients with symptomatic peripheral arterial disease","volume":"69","author":[{"family":"Rocha-Singh","given":"K. J."},{"literal":"others"}],"issued":{"date-parts":[["2007"]]}}}],"schema":"https://github.com/citation-style-language/schema/raw/master/csl-citation.json"} </w:instrText>
      </w:r>
      <w:r w:rsidR="00F11037">
        <w:fldChar w:fldCharType="separate"/>
      </w:r>
      <w:r w:rsidR="00C86E1B" w:rsidRPr="00C86E1B">
        <w:rPr>
          <w:rFonts w:ascii="Aptos" w:hAnsi="Aptos"/>
        </w:rPr>
        <w:t>(5,7,9)</w:t>
      </w:r>
      <w:r w:rsidR="00F11037">
        <w:fldChar w:fldCharType="end"/>
      </w:r>
      <w:r w:rsidR="00F25F37" w:rsidRPr="00F25F37">
        <w:t xml:space="preserve">. </w:t>
      </w:r>
      <w:r w:rsidRPr="00671A4F">
        <w:t xml:space="preserve">It represents a clinical and statistical threshold whose validity depends on the endpoint being measured, the quality and </w:t>
      </w:r>
      <w:r w:rsidRPr="00671A4F">
        <w:lastRenderedPageBreak/>
        <w:t>consistency of the historical evidence, and the level of uncertainty considered acceptable for regulatory decision-making</w:t>
      </w:r>
      <w:r w:rsidR="003402F7">
        <w:fldChar w:fldCharType="begin"/>
      </w:r>
      <w:r w:rsidR="00C86E1B">
        <w:instrText xml:space="preserve"> ADDIN ZOTERO_ITEM CSL_CITATION {"citationID":"mdFY61sp","properties":{"unsorted":false,"formattedCitation":"(7,8,10)","plainCitation":"(7,8,10)","noteIndex":0},"citationItems":[{"id":32,"uris":["http://zotero.org/users/local/ebPldVBC/items/7QTQGWQJ"],"itemData":{"id":32,"type":"article-journal","abstract":"Performance goals are numerical target values pertaining to effectiveness or safety endpoints in single-arm medical device clinical studies. Typically,  performance goals are determined at the planning stage of the investigational  study under consideration based on summarized outcome information from existing  relevant clinical trials. In recent years, there is a growing interest in  leveraging real-world evidence in medical product development. In this article,  we introduce a new method for proposing performance goals by leveraging  real-world evidence. The method applies entropy balancing to address possible  patient dissimilarities between the study's target patient population and  existing real-world patients, and can take into account operation differences  between clinical studies and real-world clinical practice. An illustrative  example is provided to demonstrate how to implement the proposed method for  performance goal determination while leveraging real-world evidence.","container-title":"Statistics in medicine","DOI":"10.1002/sim.9199","ISSN":"1097-0258 0277-6715","issue":"29","journalAbbreviation":"Stat Med","language":"eng","license":"© 2021 John Wiley &amp; Sons Ltd.","page":"6577-6589","PMID":"34561895","publisher-place":"England","title":"Leveraging real-world evidence for determining performance goals for medical device studies.","volume":"40","author":[{"family":"Wang","given":"Chenguang"},{"family":"Rosner","given":"Gary L."},{"family":"Bao","given":"Tingting"},{"family":"Lu","given":"Nelson"},{"family":"Chen","given":"Wei-Chen"},{"family":"Li","given":"Heng"},{"family":"Tiwari","given":"Ram"},{"family":"Xu","given":"Yunling"},{"family":"Yue","given":"Lilly Q."}],"issued":{"date-parts":[["2021",12,20]]}}},{"id":20,"uris":["http://zotero.org/users/local/ebPldVBC/items/4GQAW2H3"],"itemData":{"id":20,"type":"article-journal","abstract":"Although randomised controlled trials are considered the gold standard in clinical research, they are not always feasible due to limitations in the study  population, challenges in obtaining evidence, high costs and ethical  considerations. As a result, single-arm trial designs have emerged as one of the  methods to address these issues. Single-arm trials are commonly applied to study  advanced-stage cancer, rare diseases, emerging infectious diseases, new treatment  methods and medical devices. Single-arm trials have certain ethical advantages  over randomised controlled trials, such as providing equitable treatment,  respecting patient preferences, addressing rare diseases and timely management of  adverse events. While single-arm trials do not adhere to the principles of  randomisation and blinding in terms of scientific rigour, they still incorporate  principles of control, balance and replication, making the design scientifically  reasonable. Compared with randomised controlled trials, single-arm trials require  fewer sample sizes and have shorter trial durations, which can help save costs.  Compared with cohort studies, single-arm trials involve intervention measures and  reduce external interference, resulting in higher levels of evidence. However,  single-arm trials also have limitations. Without a parallel control group, there  may be biases in interpreting the results. In addition, single-arm trials cannot  meet the requirements of randomisation and blinding, thereby limiting their  evidence capacity compared with randomised controlled trials. Therefore,  researchers consider using single-arm trials as a trial design method only when  randomised controlled trials are not feasible.","container-title":"BMJ supportive &amp; palliative care","DOI":"10.1136/spcare-2024-004984","ISSN":"2045-4368 2045-435X","issue":"1","journalAbbreviation":"BMJ Support Palliat Care","language":"eng","license":"© Author(s) (or their employer(s)) 2025. Re-use permitted under CC BY-NC. No commercial re-use. See rights and permissions. Published by BMJ Group.","page":"46-54","PMID":"38834238","PMCID":"PMC11874317","publisher-place":"England","title":"Single-arm clinical trials: design, ethics, principles.","volume":"15","author":[{"family":"Wang","given":"Minyan"},{"family":"Ma","given":"Huan"},{"family":"Shi","given":"Yun"},{"family":"Ni","given":"Haojie"},{"family":"Qin","given":"Chu"},{"family":"Ji","given":"Conghua"}],"issued":{"date-parts":[["2024",12,25]]}}},{"id":21,"uris":["http://zotero.org/users/local/ebPldVBC/items/SLWFMSIE"],"itemData":{"id":21,"type":"article-journal","abstract":"Although single-arm trials (SATs) can serve as a pivotal study design for evaluating drug efficacy in specific scenarios, they are accompanied by inherent limitations and challenges. This paper explores the challenges of validity, reliability, statistical power, and the use of external control in SATs from a statistical perspective. We reflect on the rationale for employing SATs to support efficacy assessments, and provide recommendations based on their limitations and potential biases. The objective is to offer guidance for the improved design and implementation of SATs in future research.","container-title":"BMC Medical Research Methodology","DOI":"10.1186/s12874-025-02660-9","ISSN":"1471-2288","issue":"1","journalAbbreviation":"BMC Medical Research Methodology","page":"233","title":"Estimating comparative effectiveness using Single-Arm trials: A challenge in the field of agnosticism","volume":"25","author":[{"family":"Cao","given":"Shang"},{"family":"Kan","given":"Hongwei"},{"family":"Lu","given":"Mingliang"},{"family":"Pan","given":"Jianhong"}],"issued":{"date-parts":[["2025",10,21]]}}}],"schema":"https://github.com/citation-style-language/schema/raw/master/csl-citation.json"} </w:instrText>
      </w:r>
      <w:r w:rsidR="003402F7">
        <w:fldChar w:fldCharType="separate"/>
      </w:r>
      <w:r w:rsidR="00C86E1B" w:rsidRPr="00C86E1B">
        <w:rPr>
          <w:rFonts w:ascii="Aptos" w:hAnsi="Aptos"/>
        </w:rPr>
        <w:t>(7,8,10)</w:t>
      </w:r>
      <w:r w:rsidR="003402F7">
        <w:fldChar w:fldCharType="end"/>
      </w:r>
      <w:r w:rsidR="00F25F37" w:rsidRPr="00F25F37">
        <w:t>.</w:t>
      </w:r>
    </w:p>
    <w:p w14:paraId="0B3B6242" w14:textId="77777777" w:rsidR="009B5901" w:rsidRPr="00FC1EA5" w:rsidRDefault="009B5901" w:rsidP="004A3582">
      <w:pPr>
        <w:spacing w:line="276" w:lineRule="auto"/>
      </w:pPr>
    </w:p>
    <w:p w14:paraId="4F4C962E" w14:textId="1F6B148C" w:rsidR="00980AF3" w:rsidRPr="00574D56" w:rsidRDefault="00980AF3" w:rsidP="004A3582">
      <w:pPr>
        <w:pStyle w:val="Heading2"/>
        <w:spacing w:line="276" w:lineRule="auto"/>
      </w:pPr>
      <w:bookmarkStart w:id="9" w:name="_Toc232114691"/>
      <w:r>
        <w:t xml:space="preserve">1.3 Motivation for </w:t>
      </w:r>
      <w:r w:rsidR="006C0F99">
        <w:t>Study</w:t>
      </w:r>
      <w:bookmarkEnd w:id="9"/>
    </w:p>
    <w:p w14:paraId="4468B641" w14:textId="304C3E47" w:rsidR="001416B0" w:rsidRPr="001416B0" w:rsidRDefault="00F62F2E" w:rsidP="001416B0">
      <w:pPr>
        <w:spacing w:line="276" w:lineRule="auto"/>
      </w:pPr>
      <w:r w:rsidRPr="00F62F2E">
        <w:t>Although non-inferiority and performance goal designs appear straightforward in principle, their conclusions can be sensitive to several methodological choices</w:t>
      </w:r>
      <w:r w:rsidR="00402E26">
        <w:fldChar w:fldCharType="begin"/>
      </w:r>
      <w:r w:rsidR="00402E26">
        <w:instrText xml:space="preserve"> ADDIN ZOTERO_ITEM CSL_CITATION {"citationID":"T5rxXuM0","properties":{"unsorted":false,"formattedCitation":"(1\\uc0\\u8211{}3)","plainCitation":"(1–3)","noteIndex":0},"citationItems":[{"id":5,"uris":["http://zotero.org/users/local/ebPldVBC/items/GSP4TB2M"],"itemData":{"id":5,"type":"article-journal","abstract":"Non-inferiority trials test whether a new product is not unacceptably worse than a product already in use. This paper introduces concepts related to non-inferiority, and discusses the regulatory views of both the European Medicines Agency and the United States Food and Drug Administration.","container-title":"Trials","DOI":"10.1186/1745-6215-12-106","ISSN":"1745-6215","issue":"1","journalAbbreviation":"Trials","page":"106","title":"Through the looking glass: understanding non-inferiority","volume":"12","author":[{"family":"Schumi","given":"Jennifer"},{"family":"Wittes","given":"Janet T."}],"issued":{"date-parts":[["2011",5,3]]}}},{"id":18,"uris":["http://zotero.org/users/local/ebPldVBC/items/GYAJJNXT"],"itemData":{"id":18,"type":"article-journal","abstract":"Noninferiority trials are becoming increasing common, but are often poorly reported and misunderstood. A better understanding of the new components of a  noninferiority trial and their interpretation is needed. Noninferiority trials  are an extension of conventional superiority trials, which provide a basis for  determining if a new treatment, which may have advantages other than efficacy,  has sufficient efficacy to be useful in certain situations. A key feature is the  need to specify a clinical noninferiority margin above which the lower boundary  of the confidence interval for the difference between the new treatment and the  conventional treatment must lie. In most cases a nontreated control arm is not  included, and when the efficacy of the new treatment is less than that of the  standard treatment, determining its efficacy versus no treatment can be a major  challenge. Treatments meeting a clinical noninferiority requirement can be  statistically significantly superior to standard treatment, of similar efficacy  (i.e., no significant difference), or even significantly inferior in a  conventional analysis. Noninferiority comparisons are an important addition to  the reporting of clinical trials, but require prior consideration of several  factors that conventional superiority analyses do not address.","container-title":"British journal of cancer","DOI":"10.1038/s41416-022-01937-w","ISSN":"1532-1827 0007-0920","issue":"10","journalAbbreviation":"Br J Cancer","language":"eng","license":"© 2022. The Author(s).","page":"1755-1759","PMID":"36104512","PMCID":"PMC9643416","publisher-place":"England","title":"Interpreting the results of noninferiority trials-a review.","volume":"127","author":[{"family":"Cuzick","given":"Jack"},{"family":"Sasieni","given":"Peter"}],"issued":{"date-parts":[["2022",11]]}}},{"id":31,"uris":["http://zotero.org/users/local/ebPldVBC/items/2MBTWGM4"],"itemData":{"id":31,"type":"article-journal","abstract":"A noninferiority trial is designed to demonstrate that an experimental therapy is not worse than an active control. Although noninferiority trials are  superficially similar to conventional superiority trials, there are fundamental  differences. In particular, aspects of a study that make the therapies appear  more similar than they actually are can falsely bias the study toward  demonstrating noninferiority. This has important implications for methodologic  techniques such as blinding and statistical analysis based on the  intention-to-treat principle. When applying the results of noninferiority trials,  clinicians should be judicious in determining whether the degree of  noninferiority demonstrated is clinically acceptable and whether the ancillary  benefits of the treatment justify its use.","container-title":"Open medicine : a peer-reviewed, independent, open-access journal","ISSN":"1911-2092","issue":"2","journalAbbreviation":"Open Med","language":"eng","page":"e67-72","PMID":"25009686","PMCID":"PMC4085087","publisher-place":"Canada","title":"A clinician's guide to the assessment and interpretation of noninferiority trials for novel therapies.","volume":"8","author":[{"family":"Oczkowski","given":"Simon J. W."}],"issued":{"date-parts":[["2014"]]}}}],"schema":"https://github.com/citation-style-language/schema/raw/master/csl-citation.json"} </w:instrText>
      </w:r>
      <w:r w:rsidR="00402E26">
        <w:fldChar w:fldCharType="separate"/>
      </w:r>
      <w:r w:rsidR="00402E26" w:rsidRPr="00402E26">
        <w:rPr>
          <w:rFonts w:ascii="Aptos" w:hAnsi="Aptos" w:cs="Times New Roman"/>
          <w:kern w:val="0"/>
        </w:rPr>
        <w:t>(1–3)</w:t>
      </w:r>
      <w:r w:rsidR="00402E26">
        <w:fldChar w:fldCharType="end"/>
      </w:r>
      <w:r w:rsidR="001416B0" w:rsidRPr="001416B0">
        <w:t xml:space="preserve">. </w:t>
      </w:r>
      <w:r w:rsidR="000E0D50" w:rsidRPr="000E0D50">
        <w:t>Small variations in any of these decisions can alter the interpretation of the same clinical data and, consequently, the study conclusion</w:t>
      </w:r>
      <w:r w:rsidR="00CE2B49">
        <w:fldChar w:fldCharType="begin"/>
      </w:r>
      <w:r w:rsidR="00CE2B49">
        <w:instrText xml:space="preserve"> ADDIN ZOTERO_ITEM CSL_CITATION {"citationID":"O2FIBCGL","properties":{"unsorted":false,"formattedCitation":"(1,2)","plainCitation":"(1,2)","noteIndex":0},"citationItems":[{"id":5,"uris":["http://zotero.org/users/local/ebPldVBC/items/GSP4TB2M"],"itemData":{"id":5,"type":"article-journal","abstract":"Non-inferiority trials test whether a new product is not unacceptably worse than a product already in use. This paper introduces concepts related to non-inferiority, and discusses the regulatory views of both the European Medicines Agency and the United States Food and Drug Administration.","container-title":"Trials","DOI":"10.1186/1745-6215-12-106","ISSN":"1745-6215","issue":"1","journalAbbreviation":"Trials","page":"106","title":"Through the looking glass: understanding non-inferiority","volume":"12","author":[{"family":"Schumi","given":"Jennifer"},{"family":"Wittes","given":"Janet T."}],"issued":{"date-parts":[["2011",5,3]]}}},{"id":18,"uris":["http://zotero.org/users/local/ebPldVBC/items/GYAJJNXT"],"itemData":{"id":18,"type":"article-journal","abstract":"Noninferiority trials are becoming increasing common, but are often poorly reported and misunderstood. A better understanding of the new components of a  noninferiority trial and their interpretation is needed. Noninferiority trials  are an extension of conventional superiority trials, which provide a basis for  determining if a new treatment, which may have advantages other than efficacy,  has sufficient efficacy to be useful in certain situations. A key feature is the  need to specify a clinical noninferiority margin above which the lower boundary  of the confidence interval for the difference between the new treatment and the  conventional treatment must lie. In most cases a nontreated control arm is not  included, and when the efficacy of the new treatment is less than that of the  standard treatment, determining its efficacy versus no treatment can be a major  challenge. Treatments meeting a clinical noninferiority requirement can be  statistically significantly superior to standard treatment, of similar efficacy  (i.e., no significant difference), or even significantly inferior in a  conventional analysis. Noninferiority comparisons are an important addition to  the reporting of clinical trials, but require prior consideration of several  factors that conventional superiority analyses do not address.","container-title":"British journal of cancer","DOI":"10.1038/s41416-022-01937-w","ISSN":"1532-1827 0007-0920","issue":"10","journalAbbreviation":"Br J Cancer","language":"eng","license":"© 2022. The Author(s).","page":"1755-1759","PMID":"36104512","PMCID":"PMC9643416","publisher-place":"England","title":"Interpreting the results of noninferiority trials-a review.","volume":"127","author":[{"family":"Cuzick","given":"Jack"},{"family":"Sasieni","given":"Peter"}],"issued":{"date-parts":[["2022",11]]}}}],"schema":"https://github.com/citation-style-language/schema/raw/master/csl-citation.json"} </w:instrText>
      </w:r>
      <w:r w:rsidR="00CE2B49">
        <w:fldChar w:fldCharType="separate"/>
      </w:r>
      <w:r w:rsidR="00CE2B49" w:rsidRPr="00CE2B49">
        <w:rPr>
          <w:rFonts w:ascii="Aptos" w:hAnsi="Aptos"/>
        </w:rPr>
        <w:t>(1,2)</w:t>
      </w:r>
      <w:r w:rsidR="00CE2B49">
        <w:fldChar w:fldCharType="end"/>
      </w:r>
      <w:r w:rsidR="001416B0" w:rsidRPr="001416B0">
        <w:t>.</w:t>
      </w:r>
    </w:p>
    <w:p w14:paraId="0024BBE6" w14:textId="77829EEE" w:rsidR="001416B0" w:rsidRPr="001416B0" w:rsidRDefault="000E0D50" w:rsidP="001416B0">
      <w:pPr>
        <w:spacing w:line="276" w:lineRule="auto"/>
      </w:pPr>
      <w:r w:rsidRPr="000E0D50">
        <w:t>This sensitivity is particularly consequential in medical device studies, where single-arm performance goal designs are common and the absence of a concurrent comparator means the historical benchmark carries much of the evidential weight</w:t>
      </w:r>
      <w:r w:rsidR="00CE2B49">
        <w:fldChar w:fldCharType="begin"/>
      </w:r>
      <w:r w:rsidR="00F11037">
        <w:instrText xml:space="preserve"> ADDIN ZOTERO_ITEM CSL_CITATION {"citationID":"wGuoAcdI","properties":{"unsorted":false,"formattedCitation":"(7,8,11)","plainCitation":"(7,8,11)","noteIndex":0},"citationItems":[{"id":20,"uris":["http://zotero.org/users/local/ebPldVBC/items/4GQAW2H3"],"itemData":{"id":20,"type":"article-journal","abstract":"Although randomised controlled trials are considered the gold standard in clinical research, they are not always feasible due to limitations in the study  population, challenges in obtaining evidence, high costs and ethical  considerations. As a result, single-arm trial designs have emerged as one of the  methods to address these issues. Single-arm trials are commonly applied to study  advanced-stage cancer, rare diseases, emerging infectious diseases, new treatment  methods and medical devices. Single-arm trials have certain ethical advantages  over randomised controlled trials, such as providing equitable treatment,  respecting patient preferences, addressing rare diseases and timely management of  adverse events. While single-arm trials do not adhere to the principles of  randomisation and blinding in terms of scientific rigour, they still incorporate  principles of control, balance and replication, making the design scientifically  reasonable. Compared with randomised controlled trials, single-arm trials require  fewer sample sizes and have shorter trial durations, which can help save costs.  Compared with cohort studies, single-arm trials involve intervention measures and  reduce external interference, resulting in higher levels of evidence. However,  single-arm trials also have limitations. Without a parallel control group, there  may be biases in interpreting the results. In addition, single-arm trials cannot  meet the requirements of randomisation and blinding, thereby limiting their  evidence capacity compared with randomised controlled trials. Therefore,  researchers consider using single-arm trials as a trial design method only when  randomised controlled trials are not feasible.","container-title":"BMJ supportive &amp; palliative care","DOI":"10.1136/spcare-2024-004984","ISSN":"2045-4368 2045-435X","issue":"1","journalAbbreviation":"BMJ Support Palliat Care","language":"eng","license":"© Author(s) (or their employer(s)) 2025. Re-use permitted under CC BY-NC. No commercial re-use. See rights and permissions. Published by BMJ Group.","page":"46-54","PMID":"38834238","PMCID":"PMC11874317","publisher-place":"England","title":"Single-arm clinical trials: design, ethics, principles.","volume":"15","author":[{"family":"Wang","given":"Minyan"},{"family":"Ma","given":"Huan"},{"family":"Shi","given":"Yun"},{"family":"Ni","given":"Haojie"},{"family":"Qin","given":"Chu"},{"family":"Ji","given":"Conghua"}],"issued":{"date-parts":[["2024",12,25]]}}},{"id":32,"uris":["http://zotero.org/users/local/ebPldVBC/items/7QTQGWQJ"],"itemData":{"id":32,"type":"article-journal","abstract":"Performance goals are numerical target values pertaining to effectiveness or safety endpoints in single-arm medical device clinical studies. Typically,  performance goals are determined at the planning stage of the investigational  study under consideration based on summarized outcome information from existing  relevant clinical trials. In recent years, there is a growing interest in  leveraging real-world evidence in medical product development. In this article,  we introduce a new method for proposing performance goals by leveraging  real-world evidence. The method applies entropy balancing to address possible  patient dissimilarities between the study's target patient population and  existing real-world patients, and can take into account operation differences  between clinical studies and real-world clinical practice. An illustrative  example is provided to demonstrate how to implement the proposed method for  performance goal determination while leveraging real-world evidence.","container-title":"Statistics in medicine","DOI":"10.1002/sim.9199","ISSN":"1097-0258 0277-6715","issue":"29","journalAbbreviation":"Stat Med","language":"eng","license":"© 2021 John Wiley &amp; Sons Ltd.","page":"6577-6589","PMID":"34561895","publisher-place":"England","title":"Leveraging real-world evidence for determining performance goals for medical device studies.","volume":"40","author":[{"family":"Wang","given":"Chenguang"},{"family":"Rosner","given":"Gary L."},{"family":"Bao","given":"Tingting"},{"family":"Lu","given":"Nelson"},{"family":"Chen","given":"Wei-Chen"},{"family":"Li","given":"Heng"},{"family":"Tiwari","given":"Ram"},{"family":"Xu","given":"Yunling"},{"family":"Yue","given":"Lilly Q."}],"issued":{"date-parts":[["2021",12,20]]}}},{"id":33,"uris":["http://zotero.org/users/local/ebPldVBC/items/U9Y8QLXH"],"itemData":{"id":33,"type":"webpage","abstract":"Medical Devices - Clinical investigations and performance studies","language":"en","title":"Medical Devices - Clinical investigations and performance studies - European Commission","URL":"https://health.ec.europa.eu/medical-devices-clinical-investigations-and-performance-studies_en","accessed":{"date-parts":[["2026",6,4]]},"issued":{"date-parts":[["2026",4,21]]}}}],"schema":"https://github.com/citation-style-language/schema/raw/master/csl-citation.json"} </w:instrText>
      </w:r>
      <w:r w:rsidR="00CE2B49">
        <w:fldChar w:fldCharType="separate"/>
      </w:r>
      <w:r w:rsidR="00F11037" w:rsidRPr="00F11037">
        <w:rPr>
          <w:rFonts w:ascii="Aptos" w:hAnsi="Aptos"/>
        </w:rPr>
        <w:t>(7,8,11)</w:t>
      </w:r>
      <w:r w:rsidR="00CE2B49">
        <w:fldChar w:fldCharType="end"/>
      </w:r>
      <w:r w:rsidR="001416B0" w:rsidRPr="001416B0">
        <w:t xml:space="preserve">. </w:t>
      </w:r>
      <w:r w:rsidRPr="000E0D50">
        <w:t>If the benchmark is too lenient, a device may appear acceptable despite a clinically meaningful loss of performance. If it is too strict, a device that performs well may require an impractically large sample size or fail to meet the criterion regardless</w:t>
      </w:r>
      <w:r w:rsidR="00CE2B49">
        <w:fldChar w:fldCharType="begin"/>
      </w:r>
      <w:r w:rsidR="00C86E1B">
        <w:instrText xml:space="preserve"> ADDIN ZOTERO_ITEM CSL_CITATION {"citationID":"yS09jLhx","properties":{"unsorted":false,"formattedCitation":"(4,7,10)","plainCitation":"(4,7,10)","noteIndex":0},"citationItems":[{"id":3,"uris":["http://zotero.org/users/local/ebPldVBC/items/AHCE3TKG"],"itemData":{"id":3,"type":"article-journal","container-title":"BMJ","DOI":"10.1136/bmj-2023-078000","note":"_eprint: https://www.bmj.com/content/385/bmj-2023-078000.full.pdf","publisher":"BMJ Publishing Group Ltd","title":"Exploring different objectives in non-inferiority trials","URL":"https://www.bmj.com/content/385/bmj-2023-078000","volume":"385","author":[{"family":"Tweed","given":"Conor D"},{"family":"Quartagno","given":"Matteo"},{"family":"Clements","given":"Michelle N"},{"family":"Turner","given":"Rebecca M"},{"family":"Nunn","given":"Andrew J"},{"family":"Dunn","given":"David T"},{"family":"White","given":"Ian R"},{"family":"Copas","given":"Andrew J"}],"issued":{"date-parts":[["2024"]]}}},{"id":32,"uris":["http://zotero.org/users/local/ebPldVBC/items/7QTQGWQJ"],"itemData":{"id":32,"type":"article-journal","abstract":"Performance goals are numerical target values pertaining to effectiveness or safety endpoints in single-arm medical device clinical studies. Typically,  performance goals are determined at the planning stage of the investigational  study under consideration based on summarized outcome information from existing  relevant clinical trials. In recent years, there is a growing interest in  leveraging real-world evidence in medical product development. In this article,  we introduce a new method for proposing performance goals by leveraging  real-world evidence. The method applies entropy balancing to address possible  patient dissimilarities between the study's target patient population and  existing real-world patients, and can take into account operation differences  between clinical studies and real-world clinical practice. An illustrative  example is provided to demonstrate how to implement the proposed method for  performance goal determination while leveraging real-world evidence.","container-title":"Statistics in medicine","DOI":"10.1002/sim.9199","ISSN":"1097-0258 0277-6715","issue":"29","journalAbbreviation":"Stat Med","language":"eng","license":"© 2021 John Wiley &amp; Sons Ltd.","page":"6577-6589","PMID":"34561895","publisher-place":"England","title":"Leveraging real-world evidence for determining performance goals for medical device studies.","volume":"40","author":[{"family":"Wang","given":"Chenguang"},{"family":"Rosner","given":"Gary L."},{"family":"Bao","given":"Tingting"},{"family":"Lu","given":"Nelson"},{"family":"Chen","given":"Wei-Chen"},{"family":"Li","given":"Heng"},{"family":"Tiwari","given":"Ram"},{"family":"Xu","given":"Yunling"},{"family":"Yue","given":"Lilly Q."}],"issued":{"date-parts":[["2021",12,20]]}}},{"id":21,"uris":["http://zotero.org/users/local/ebPldVBC/items/SLWFMSIE"],"itemData":{"id":21,"type":"article-journal","abstract":"Although single-arm trials (SATs) can serve as a pivotal study design for evaluating drug efficacy in specific scenarios, they are accompanied by inherent limitations and challenges. This paper explores the challenges of validity, reliability, statistical power, and the use of external control in SATs from a statistical perspective. We reflect on the rationale for employing SATs to support efficacy assessments, and provide recommendations based on their limitations and potential biases. The objective is to offer guidance for the improved design and implementation of SATs in future research.","container-title":"BMC Medical Research Methodology","DOI":"10.1186/s12874-025-02660-9","ISSN":"1471-2288","issue":"1","journalAbbreviation":"BMC Medical Research Methodology","page":"233","title":"Estimating comparative effectiveness using Single-Arm trials: A challenge in the field of agnosticism","volume":"25","author":[{"family":"Cao","given":"Shang"},{"family":"Kan","given":"Hongwei"},{"family":"Lu","given":"Mingliang"},{"family":"Pan","given":"Jianhong"}],"issued":{"date-parts":[["2025",10,21]]}}}],"schema":"https://github.com/citation-style-language/schema/raw/master/csl-citation.json"} </w:instrText>
      </w:r>
      <w:r w:rsidR="00CE2B49">
        <w:fldChar w:fldCharType="separate"/>
      </w:r>
      <w:r w:rsidR="00C86E1B" w:rsidRPr="00C86E1B">
        <w:rPr>
          <w:rFonts w:ascii="Aptos" w:hAnsi="Aptos"/>
        </w:rPr>
        <w:t>(4,7,10)</w:t>
      </w:r>
      <w:r w:rsidR="00CE2B49">
        <w:fldChar w:fldCharType="end"/>
      </w:r>
      <w:r w:rsidR="001416B0" w:rsidRPr="001416B0">
        <w:t>.</w:t>
      </w:r>
      <w:r>
        <w:t xml:space="preserve"> </w:t>
      </w:r>
      <w:r w:rsidRPr="000E0D50">
        <w:t>In either case, the benchmark itself shapes the conclusion before a single patient is enrolled.</w:t>
      </w:r>
    </w:p>
    <w:p w14:paraId="1C4929B1" w14:textId="2EFC7EF9" w:rsidR="001416B0" w:rsidRPr="001416B0" w:rsidRDefault="000E0D50" w:rsidP="001416B0">
      <w:pPr>
        <w:spacing w:line="276" w:lineRule="auto"/>
      </w:pPr>
      <w:r w:rsidRPr="000E0D50">
        <w:t>Previous reviews have raised concerns about how consistently these choices are reported. Piaggio et al. found that only around one-fifth of 332 non-inferiority and equivalence trials published between 1990 and 2000 provided a suitable rationale for the chosen margin</w:t>
      </w:r>
      <w:r w:rsidR="00CE2B49">
        <w:fldChar w:fldCharType="begin"/>
      </w:r>
      <w:r w:rsidR="00CE2B49">
        <w:instrText xml:space="preserve"> ADDIN ZOTERO_ITEM CSL_CITATION {"citationID":"nfWsAZEA","properties":{"unsorted":false,"formattedCitation":"(6)","plainCitation":"(6)","noteIndex":0},"citationItems":[{"id":17,"uris":["http://zotero.org/users/local/ebPldVBC/items/97KHEVHM"],"itemData":{"id":17,"type":"article-journal","abstract":"The CONSORT (Consolidated Standards of Reporting Trials) Statement, which includes a checklist and a flow diagram, is a guideline developed to help authors improve the reporting of the findings from randomized controlled trials. It was updated most recently in 2010. Its primary focus is on individually randomized trials with 2 parallel groups that assess the possible superiority of one treatment compared with another. The CONSORT Statement has been extended to other trial designs such as cluster randomization, and recommendations for noninferiority and equivalence trials were made in 2006. In this article, we present an updated extension of the CONSORT checklist for reporting noninferiority and equivalence trials, based on the 2010 version of the CONSORT Statement and the 2008 CONSORT Statement for the reporting of abstracts, and provide illustrative examples and explanations for those items that differ from the main 2010 CONSORT checklist. The intent is to improve reporting of noninferiority and equivalence trials, enabling readers to assess the reliability of their results and conclusions.","container-title":"JAMA","DOI":"10.1001/jama.2012.87802","ISSN":"0098-7484","issue":"24","journalAbbreviation":"JAMA","page":"2594-2604","title":"Reporting of Noninferiority and Equivalence Randomized Trials: Extension of the CONSORT 2010 Statement","volume":"308","author":[{"family":"Piaggio","given":"Gilda"},{"family":"Elbourne","given":"Diana R."},{"family":"Pocock","given":"Stuart J."},{"family":"Evans","given":"Stephen J. W."},{"family":"Altman","given":"Douglas G."},{"family":"CONSORT Group","given":"for","dropping-particle":"the"}],"issued":{"date-parts":[["2012",12,26]]}}}],"schema":"https://github.com/citation-style-language/schema/raw/master/csl-citation.json"} </w:instrText>
      </w:r>
      <w:r w:rsidR="00CE2B49">
        <w:fldChar w:fldCharType="separate"/>
      </w:r>
      <w:r w:rsidR="00CE2B49" w:rsidRPr="00CE2B49">
        <w:rPr>
          <w:rFonts w:ascii="Aptos" w:hAnsi="Aptos"/>
        </w:rPr>
        <w:t>(6)</w:t>
      </w:r>
      <w:r w:rsidR="00CE2B49">
        <w:fldChar w:fldCharType="end"/>
      </w:r>
      <w:r w:rsidR="001416B0" w:rsidRPr="001416B0">
        <w:t xml:space="preserve">. </w:t>
      </w:r>
      <w:r w:rsidRPr="000E0D50">
        <w:t>A later review of 232 drug trials found that while nearly all reports specified a margin, only 24% explained how it had been determined</w:t>
      </w:r>
      <w:r w:rsidR="00CE2B49">
        <w:fldChar w:fldCharType="begin"/>
      </w:r>
      <w:r w:rsidR="00CE2B49">
        <w:instrText xml:space="preserve"> ADDIN ZOTERO_ITEM CSL_CITATION {"citationID":"R0nl80qK","properties":{"unsorted":false,"formattedCitation":"(6)","plainCitation":"(6)","noteIndex":0},"citationItems":[{"id":17,"uris":["http://zotero.org/users/local/ebPldVBC/items/97KHEVHM"],"itemData":{"id":17,"type":"article-journal","abstract":"The CONSORT (Consolidated Standards of Reporting Trials) Statement, which includes a checklist and a flow diagram, is a guideline developed to help authors improve the reporting of the findings from randomized controlled trials. It was updated most recently in 2010. Its primary focus is on individually randomized trials with 2 parallel groups that assess the possible superiority of one treatment compared with another. The CONSORT Statement has been extended to other trial designs such as cluster randomization, and recommendations for noninferiority and equivalence trials were made in 2006. In this article, we present an updated extension of the CONSORT checklist for reporting noninferiority and equivalence trials, based on the 2010 version of the CONSORT Statement and the 2008 CONSORT Statement for the reporting of abstracts, and provide illustrative examples and explanations for those items that differ from the main 2010 CONSORT checklist. The intent is to improve reporting of noninferiority and equivalence trials, enabling readers to assess the reliability of their results and conclusions.","container-title":"JAMA","DOI":"10.1001/jama.2012.87802","ISSN":"0098-7484","issue":"24","journalAbbreviation":"JAMA","page":"2594-2604","title":"Reporting of Noninferiority and Equivalence Randomized Trials: Extension of the CONSORT 2010 Statement","volume":"308","author":[{"family":"Piaggio","given":"Gilda"},{"family":"Elbourne","given":"Diana R."},{"family":"Pocock","given":"Stuart J."},{"family":"Evans","given":"Stephen J. W."},{"family":"Altman","given":"Douglas G."},{"family":"CONSORT Group","given":"for","dropping-particle":"the"}],"issued":{"date-parts":[["2012",12,26]]}}}],"schema":"https://github.com/citation-style-language/schema/raw/master/csl-citation.json"} </w:instrText>
      </w:r>
      <w:r w:rsidR="00CE2B49">
        <w:fldChar w:fldCharType="separate"/>
      </w:r>
      <w:r w:rsidR="00CE2B49" w:rsidRPr="00CE2B49">
        <w:rPr>
          <w:rFonts w:ascii="Aptos" w:hAnsi="Aptos"/>
        </w:rPr>
        <w:t>(6)</w:t>
      </w:r>
      <w:r w:rsidR="00CE2B49">
        <w:fldChar w:fldCharType="end"/>
      </w:r>
      <w:r w:rsidR="001416B0" w:rsidRPr="001416B0">
        <w:t xml:space="preserve">. </w:t>
      </w:r>
      <w:r w:rsidRPr="000E0D50">
        <w:t>Together these findings point to a recurring problem: margins and performance goals are often presented as settled values without making the reasoning behind them transparent</w:t>
      </w:r>
      <w:r w:rsidR="00CE2B49">
        <w:fldChar w:fldCharType="begin"/>
      </w:r>
      <w:r w:rsidR="00CE2B49">
        <w:instrText xml:space="preserve"> ADDIN ZOTERO_ITEM CSL_CITATION {"citationID":"AufOwKBI","properties":{"unsorted":false,"formattedCitation":"(2,6)","plainCitation":"(2,6)","noteIndex":0},"citationItems":[{"id":18,"uris":["http://zotero.org/users/local/ebPldVBC/items/GYAJJNXT"],"itemData":{"id":18,"type":"article-journal","abstract":"Noninferiority trials are becoming increasing common, but are often poorly reported and misunderstood. A better understanding of the new components of a  noninferiority trial and their interpretation is needed. Noninferiority trials  are an extension of conventional superiority trials, which provide a basis for  determining if a new treatment, which may have advantages other than efficacy,  has sufficient efficacy to be useful in certain situations. A key feature is the  need to specify a clinical noninferiority margin above which the lower boundary  of the confidence interval for the difference between the new treatment and the  conventional treatment must lie. In most cases a nontreated control arm is not  included, and when the efficacy of the new treatment is less than that of the  standard treatment, determining its efficacy versus no treatment can be a major  challenge. Treatments meeting a clinical noninferiority requirement can be  statistically significantly superior to standard treatment, of similar efficacy  (i.e., no significant difference), or even significantly inferior in a  conventional analysis. Noninferiority comparisons are an important addition to  the reporting of clinical trials, but require prior consideration of several  factors that conventional superiority analyses do not address.","container-title":"British journal of cancer","DOI":"10.1038/s41416-022-01937-w","ISSN":"1532-1827 0007-0920","issue":"10","journalAbbreviation":"Br J Cancer","language":"eng","license":"© 2022. The Author(s).","page":"1755-1759","PMID":"36104512","PMCID":"PMC9643416","publisher-place":"England","title":"Interpreting the results of noninferiority trials-a review.","volume":"127","author":[{"family":"Cuzick","given":"Jack"},{"family":"Sasieni","given":"Peter"}],"issued":{"date-parts":[["2022",11]]}}},{"id":17,"uris":["http://zotero.org/users/local/ebPldVBC/items/97KHEVHM"],"itemData":{"id":17,"type":"article-journal","abstract":"The CONSORT (Consolidated Standards of Reporting Trials) Statement, which includes a checklist and a flow diagram, is a guideline developed to help authors improve the reporting of the findings from randomized controlled trials. It was updated most recently in 2010. Its primary focus is on individually randomized trials with 2 parallel groups that assess the possible superiority of one treatment compared with another. The CONSORT Statement has been extended to other trial designs such as cluster randomization, and recommendations for noninferiority and equivalence trials were made in 2006. In this article, we present an updated extension of the CONSORT checklist for reporting noninferiority and equivalence trials, based on the 2010 version of the CONSORT Statement and the 2008 CONSORT Statement for the reporting of abstracts, and provide illustrative examples and explanations for those items that differ from the main 2010 CONSORT checklist. The intent is to improve reporting of noninferiority and equivalence trials, enabling readers to assess the reliability of their results and conclusions.","container-title":"JAMA","DOI":"10.1001/jama.2012.87802","ISSN":"0098-7484","issue":"24","journalAbbreviation":"JAMA","page":"2594-2604","title":"Reporting of Noninferiority and Equivalence Randomized Trials: Extension of the CONSORT 2010 Statement","volume":"308","author":[{"family":"Piaggio","given":"Gilda"},{"family":"Elbourne","given":"Diana R."},{"family":"Pocock","given":"Stuart J."},{"family":"Evans","given":"Stephen J. W."},{"family":"Altman","given":"Douglas G."},{"family":"CONSORT Group","given":"for","dropping-particle":"the"}],"issued":{"date-parts":[["2012",12,26]]}}}],"schema":"https://github.com/citation-style-language/schema/raw/master/csl-citation.json"} </w:instrText>
      </w:r>
      <w:r w:rsidR="00CE2B49">
        <w:fldChar w:fldCharType="separate"/>
      </w:r>
      <w:r w:rsidR="00CE2B49" w:rsidRPr="00CE2B49">
        <w:rPr>
          <w:rFonts w:ascii="Aptos" w:hAnsi="Aptos"/>
        </w:rPr>
        <w:t>(2,6)</w:t>
      </w:r>
      <w:r w:rsidR="00CE2B49">
        <w:fldChar w:fldCharType="end"/>
      </w:r>
      <w:r w:rsidR="001416B0" w:rsidRPr="001416B0">
        <w:t>.</w:t>
      </w:r>
    </w:p>
    <w:p w14:paraId="3DD13B8D" w14:textId="0D231466" w:rsidR="001416B0" w:rsidRPr="001416B0" w:rsidRDefault="000E0D50" w:rsidP="001416B0">
      <w:pPr>
        <w:spacing w:line="276" w:lineRule="auto"/>
      </w:pPr>
      <w:r w:rsidRPr="000E0D50">
        <w:t xml:space="preserve">This study is motivated by that problem. Using the </w:t>
      </w:r>
      <w:proofErr w:type="spellStart"/>
      <w:r w:rsidRPr="000E0D50">
        <w:t>BioMimics</w:t>
      </w:r>
      <w:proofErr w:type="spellEnd"/>
      <w:r w:rsidRPr="000E0D50">
        <w:t xml:space="preserve"> 3D vascular stent trial as a case study, it examines how performance goal selection, confidence interval choice and sample size calculation interact to influence conclusions in a single-arm medical device setting</w:t>
      </w:r>
      <w:r w:rsidR="00CE2B49">
        <w:fldChar w:fldCharType="begin"/>
      </w:r>
      <w:r w:rsidR="001235BB">
        <w:instrText xml:space="preserve"> ADDIN ZOTERO_ITEM CSL_CITATION {"citationID":"PZoDlX5P","properties":{"unsorted":false,"formattedCitation":"(1,5\\uc0\\u8211{}7)","plainCitation":"(1,5–7)","noteIndex":0},"citationItems":[{"id":5,"uris":["http://zotero.org/users/local/ebPldVBC/items/GSP4TB2M"],"itemData":{"id":5,"type":"article-journal","abstract":"Non-inferiority trials test whether a new product is not unacceptably worse than a product already in use. This paper introduces concepts related to non-inferiority, and discusses the regulatory views of both the European Medicines Agency and the United States Food and Drug Administration.","container-title":"Trials","DOI":"10.1186/1745-6215-12-106","ISSN":"1745-6215","issue":"1","journalAbbreviation":"Trials","page":"106","title":"Through the looking glass: understanding non-inferiority","volume":"12","author":[{"family":"Schumi","given":"Jennifer"},{"family":"Wittes","given":"Janet T."}],"issued":{"date-parts":[["2011",5,3]]}}},{"id":28,"uris":["http://zotero.org/users/local/ebPldVBC/items/R5QCUM6Y"],"itemData":{"id":28,"type":"report","genre":"Guideline","language":"en","publisher":"International Council for Harmonisation (ICH)","source":"Zotero","title":"Statistical Principles for Clinical Trials E9","URL":"https://www.ich.org/page/efficacy-guidelines","author":[{"family":"International Council for Harmonisation","given":""}],"accessed":{"date-parts":[["2026",5,12]]},"issued":{"date-parts":[["1998"]]}}},{"id":17,"uris":["http://zotero.org/users/local/ebPldVBC/items/97KHEVHM"],"itemData":{"id":17,"type":"article-journal","abstract":"The CONSORT (Consolidated Standards of Reporting Trials) Statement, which includes a checklist and a flow diagram, is a guideline developed to help authors improve the reporting of the findings from randomized controlled trials. It was updated most recently in 2010. Its primary focus is on individually randomized trials with 2 parallel groups that assess the possible superiority of one treatment compared with another. The CONSORT Statement has been extended to other trial designs such as cluster randomization, and recommendations for noninferiority and equivalence trials were made in 2006. In this article, we present an updated extension of the CONSORT checklist for reporting noninferiority and equivalence trials, based on the 2010 version of the CONSORT Statement and the 2008 CONSORT Statement for the reporting of abstracts, and provide illustrative examples and explanations for those items that differ from the main 2010 CONSORT checklist. The intent is to improve reporting of noninferiority and equivalence trials, enabling readers to assess the reliability of their results and conclusions.","container-title":"JAMA","DOI":"10.1001/jama.2012.87802","ISSN":"0098-7484","issue":"24","journalAbbreviation":"JAMA","page":"2594-2604","title":"Reporting of Noninferiority and Equivalence Randomized Trials: Extension of the CONSORT 2010 Statement","volume":"308","author":[{"family":"Piaggio","given":"Gilda"},{"family":"Elbourne","given":"Diana R."},{"family":"Pocock","given":"Stuart J."},{"family":"Evans","given":"Stephen J. W."},{"family":"Altman","given":"Douglas G."},{"family":"CONSORT Group","given":"for","dropping-particle":"the"}],"issued":{"date-parts":[["2012",12,26]]}}},{"id":32,"uris":["http://zotero.org/users/local/ebPldVBC/items/7QTQGWQJ"],"itemData":{"id":32,"type":"article-journal","abstract":"Performance goals are numerical target values pertaining to effectiveness or safety endpoints in single-arm medical device clinical studies. Typically,  performance goals are determined at the planning stage of the investigational  study under consideration based on summarized outcome information from existing  relevant clinical trials. In recent years, there is a growing interest in  leveraging real-world evidence in medical product development. In this article,  we introduce a new method for proposing performance goals by leveraging  real-world evidence. The method applies entropy balancing to address possible  patient dissimilarities between the study's target patient population and  existing real-world patients, and can take into account operation differences  between clinical studies and real-world clinical practice. An illustrative  example is provided to demonstrate how to implement the proposed method for  performance goal determination while leveraging real-world evidence.","container-title":"Statistics in medicine","DOI":"10.1002/sim.9199","ISSN":"1097-0258 0277-6715","issue":"29","journalAbbreviation":"Stat Med","language":"eng","license":"© 2021 John Wiley &amp; Sons Ltd.","page":"6577-6589","PMID":"34561895","publisher-place":"England","title":"Leveraging real-world evidence for determining performance goals for medical device studies.","volume":"40","author":[{"family":"Wang","given":"Chenguang"},{"family":"Rosner","given":"Gary L."},{"family":"Bao","given":"Tingting"},{"family":"Lu","given":"Nelson"},{"family":"Chen","given":"Wei-Chen"},{"family":"Li","given":"Heng"},{"family":"Tiwari","given":"Ram"},{"family":"Xu","given":"Yunling"},{"family":"Yue","given":"Lilly Q."}],"issued":{"date-parts":[["2021",12,20]]}}}],"schema":"https://github.com/citation-style-language/schema/raw/master/csl-citation.json"} </w:instrText>
      </w:r>
      <w:r w:rsidR="00CE2B49">
        <w:fldChar w:fldCharType="separate"/>
      </w:r>
      <w:r w:rsidR="00F11037" w:rsidRPr="00F11037">
        <w:rPr>
          <w:rFonts w:ascii="Aptos" w:hAnsi="Aptos" w:cs="Times New Roman"/>
          <w:kern w:val="0"/>
        </w:rPr>
        <w:t>(1,5–7)</w:t>
      </w:r>
      <w:r w:rsidR="00CE2B49">
        <w:fldChar w:fldCharType="end"/>
      </w:r>
      <w:r w:rsidR="001416B0" w:rsidRPr="001416B0">
        <w:t>.</w:t>
      </w:r>
    </w:p>
    <w:p w14:paraId="3802A606" w14:textId="77777777" w:rsidR="00242A37" w:rsidRDefault="00242A37" w:rsidP="004A3582">
      <w:pPr>
        <w:spacing w:line="276" w:lineRule="auto"/>
      </w:pPr>
    </w:p>
    <w:p w14:paraId="1132BED4" w14:textId="49D407AA" w:rsidR="004840F3" w:rsidRPr="004840F3" w:rsidRDefault="00980AF3" w:rsidP="004A3582">
      <w:pPr>
        <w:pStyle w:val="Heading2"/>
        <w:spacing w:line="276" w:lineRule="auto"/>
      </w:pPr>
      <w:bookmarkStart w:id="10" w:name="_Toc232114692"/>
      <w:r>
        <w:t>1.4 Case</w:t>
      </w:r>
      <w:r w:rsidR="00C110AE">
        <w:t xml:space="preserve"> Study: </w:t>
      </w:r>
      <w:proofErr w:type="spellStart"/>
      <w:r w:rsidR="00C110AE">
        <w:t>Biomimics</w:t>
      </w:r>
      <w:proofErr w:type="spellEnd"/>
      <w:r w:rsidR="00C110AE">
        <w:t xml:space="preserve"> 3D Vascular Stent</w:t>
      </w:r>
      <w:bookmarkEnd w:id="10"/>
    </w:p>
    <w:p w14:paraId="71AB4992" w14:textId="77777777" w:rsidR="000E0D50" w:rsidRPr="000E0D50" w:rsidRDefault="000E0D50" w:rsidP="000E0D50">
      <w:pPr>
        <w:spacing w:line="276" w:lineRule="auto"/>
      </w:pPr>
      <w:r w:rsidRPr="000E0D50">
        <w:t xml:space="preserve">The </w:t>
      </w:r>
      <w:proofErr w:type="spellStart"/>
      <w:r w:rsidRPr="000E0D50">
        <w:t>BioMimics</w:t>
      </w:r>
      <w:proofErr w:type="spellEnd"/>
      <w:r w:rsidRPr="000E0D50">
        <w:t xml:space="preserve"> 3D vascular stent trial serves as the primary case study throughout this analysis. Rather than attempting to reproduce the original trial, the case study is used as a real medical device setting in which to examine how statistical choices surrounding performance goals influence the interpretation of device performance.</w:t>
      </w:r>
    </w:p>
    <w:p w14:paraId="5332571B" w14:textId="018130BA" w:rsidR="000E0D50" w:rsidRPr="000E0D50" w:rsidRDefault="000E0D50" w:rsidP="000E0D50">
      <w:pPr>
        <w:spacing w:line="276" w:lineRule="auto"/>
      </w:pPr>
      <w:r w:rsidRPr="000E0D50">
        <w:t>Clinical and regulatory context for the analysis was obtained through meetings with a lead scientist involved in the original trial. These discussions clarified how the device was intended to be evaluated in practice and highlighted that the statistical design could not be reduced to a purely numerical exercise</w:t>
      </w:r>
      <w:r>
        <w:t>-</w:t>
      </w:r>
      <w:r w:rsidRPr="000E0D50">
        <w:t xml:space="preserve"> it had to reflect clinical judgement, regulatory expectations and practical feasibility alongside the available evidence.</w:t>
      </w:r>
    </w:p>
    <w:p w14:paraId="09DCAB90" w14:textId="77777777" w:rsidR="000E0D50" w:rsidRDefault="000E0D50" w:rsidP="004A3582">
      <w:pPr>
        <w:spacing w:line="276" w:lineRule="auto"/>
      </w:pPr>
    </w:p>
    <w:p w14:paraId="2E93CF5E" w14:textId="516F4584" w:rsidR="00136DCD" w:rsidRDefault="00136DCD" w:rsidP="004A3582">
      <w:pPr>
        <w:pStyle w:val="Heading2"/>
        <w:spacing w:line="276" w:lineRule="auto"/>
      </w:pPr>
      <w:bookmarkStart w:id="11" w:name="_Toc232114693"/>
      <w:r>
        <w:lastRenderedPageBreak/>
        <w:t xml:space="preserve">1.5 </w:t>
      </w:r>
      <w:r w:rsidR="006C0F99">
        <w:t>Study</w:t>
      </w:r>
      <w:r>
        <w:t xml:space="preserve"> Aims</w:t>
      </w:r>
      <w:bookmarkEnd w:id="11"/>
    </w:p>
    <w:p w14:paraId="7B36F84B" w14:textId="77777777" w:rsidR="000E0D50" w:rsidRPr="000E0D50" w:rsidRDefault="000E0D50" w:rsidP="000E0D50">
      <w:pPr>
        <w:spacing w:line="276" w:lineRule="auto"/>
      </w:pPr>
      <w:r w:rsidRPr="000E0D50">
        <w:t>This study has five objectives:</w:t>
      </w:r>
    </w:p>
    <w:p w14:paraId="06E0445E" w14:textId="77777777" w:rsidR="000E0D50" w:rsidRPr="000E0D50" w:rsidRDefault="000E0D50" w:rsidP="000E0D50">
      <w:pPr>
        <w:numPr>
          <w:ilvl w:val="0"/>
          <w:numId w:val="15"/>
        </w:numPr>
        <w:spacing w:line="276" w:lineRule="auto"/>
      </w:pPr>
      <w:r w:rsidRPr="000E0D50">
        <w:t>To derive evidence-based performance goals for a single-arm medical device study through meta-analysis of comparable historical device studies;</w:t>
      </w:r>
    </w:p>
    <w:p w14:paraId="64AB8C02" w14:textId="77777777" w:rsidR="000E0D50" w:rsidRPr="000E0D50" w:rsidRDefault="000E0D50" w:rsidP="000E0D50">
      <w:pPr>
        <w:numPr>
          <w:ilvl w:val="0"/>
          <w:numId w:val="15"/>
        </w:numPr>
        <w:spacing w:line="276" w:lineRule="auto"/>
      </w:pPr>
      <w:r w:rsidRPr="000E0D50">
        <w:t>To compare confidence interval methods for binary endpoints in terms of coverage probability and interval width;</w:t>
      </w:r>
    </w:p>
    <w:p w14:paraId="24271BF8" w14:textId="77777777" w:rsidR="000E0D50" w:rsidRPr="000E0D50" w:rsidRDefault="000E0D50" w:rsidP="000E0D50">
      <w:pPr>
        <w:numPr>
          <w:ilvl w:val="0"/>
          <w:numId w:val="15"/>
        </w:numPr>
        <w:spacing w:line="276" w:lineRule="auto"/>
      </w:pPr>
      <w:r w:rsidRPr="000E0D50">
        <w:t>To evaluate how performance goal selection and confidence interval choice affect sample size requirements and non-inferiority conclusions;</w:t>
      </w:r>
    </w:p>
    <w:p w14:paraId="0B68BA82" w14:textId="77777777" w:rsidR="000E0D50" w:rsidRPr="000E0D50" w:rsidRDefault="000E0D50" w:rsidP="000E0D50">
      <w:pPr>
        <w:numPr>
          <w:ilvl w:val="0"/>
          <w:numId w:val="15"/>
        </w:numPr>
        <w:spacing w:line="276" w:lineRule="auto"/>
      </w:pPr>
      <w:r w:rsidRPr="000E0D50">
        <w:t>To develop an interactive Shiny application, PG-Power, to support sample size planning and confidence interval method selection in performance goal studies;</w:t>
      </w:r>
    </w:p>
    <w:p w14:paraId="4BC7D6A8" w14:textId="77777777" w:rsidR="000E0D50" w:rsidRPr="000E0D50" w:rsidRDefault="000E0D50" w:rsidP="000E0D50">
      <w:pPr>
        <w:numPr>
          <w:ilvl w:val="0"/>
          <w:numId w:val="15"/>
        </w:numPr>
        <w:spacing w:line="276" w:lineRule="auto"/>
      </w:pPr>
      <w:r w:rsidRPr="000E0D50">
        <w:t>To explore the potential role of Bayesian historical borrowing as a means of reducing the required sample size.</w:t>
      </w:r>
    </w:p>
    <w:p w14:paraId="7D5B353C" w14:textId="0A59EA27" w:rsidR="004E5AD8" w:rsidRDefault="004E5AD8" w:rsidP="004A3582">
      <w:pPr>
        <w:spacing w:line="276" w:lineRule="auto"/>
      </w:pPr>
    </w:p>
    <w:p w14:paraId="2FC70E1E" w14:textId="0A758023" w:rsidR="00E30C5A" w:rsidRDefault="00E30C5A" w:rsidP="004A3582">
      <w:pPr>
        <w:pStyle w:val="Heading1"/>
        <w:numPr>
          <w:ilvl w:val="0"/>
          <w:numId w:val="4"/>
        </w:numPr>
        <w:spacing w:line="276" w:lineRule="auto"/>
      </w:pPr>
      <w:bookmarkStart w:id="12" w:name="_Toc232114694"/>
      <w:r>
        <w:t>Background and Statistical Framework</w:t>
      </w:r>
      <w:bookmarkEnd w:id="12"/>
    </w:p>
    <w:p w14:paraId="6B155DA3" w14:textId="0528B5CF" w:rsidR="00E30C5A" w:rsidRDefault="00CB4C8F" w:rsidP="004A3582">
      <w:pPr>
        <w:pStyle w:val="Heading2"/>
        <w:spacing w:line="276" w:lineRule="auto"/>
      </w:pPr>
      <w:bookmarkStart w:id="13" w:name="_Toc232114695"/>
      <w:r>
        <w:t xml:space="preserve">2.1 </w:t>
      </w:r>
      <w:r w:rsidR="007905F5" w:rsidRPr="007905F5">
        <w:t>Superiority, Equivalence and Non-Inferiority</w:t>
      </w:r>
      <w:bookmarkEnd w:id="13"/>
    </w:p>
    <w:p w14:paraId="3566EBD8" w14:textId="622AE4A2" w:rsidR="004F6526" w:rsidRDefault="000E0D50" w:rsidP="00F04ED2">
      <w:pPr>
        <w:spacing w:line="276" w:lineRule="auto"/>
      </w:pPr>
      <w:r w:rsidRPr="000E0D50">
        <w:t>Superiority, equivalence and non-inferiority trials address distinct clinical questions and should not be interpreted interchangeably</w:t>
      </w:r>
      <w:r w:rsidR="005A11F9">
        <w:fldChar w:fldCharType="begin"/>
      </w:r>
      <w:r w:rsidR="00F11037">
        <w:instrText xml:space="preserve"> ADDIN ZOTERO_ITEM CSL_CITATION {"citationID":"q3v7sw5h","properties":{"unsorted":false,"formattedCitation":"(12,13)","plainCitation":"(12,13)","noteIndex":0},"citationItems":[{"id":35,"uris":["http://zotero.org/users/local/ebPldVBC/items/GEG6QICV"],"itemData":{"id":35,"type":"article-journal","abstract":"When the aim of the randomized controlled trial (RCT) is to show that one treatment is superior to another, a statistical test is employed and the trial (test) is called a superiority trial (test). Often a nonsignificant superiority test is wrongly interpreted as proof of no difference between the two treatments. Proving that two treatments are equal in performance is impossible with statistical tools; at most, one can show that they are equivalent. In an equivalence trial, the statistical test aims at showing that two treatments are not too different in characteristics, where “not too different” is defined in a clinical manner. Finally, in a non-inferiority trial, the aim is to show that an experimental treatment is not (much) worse than a standard treatment. In this report, the three types of trials are compared, but the main focus is on the non-inferiority trial. Special attention is paid to the practical implications when setting up a non-inferiority trial. Illustrations are taken from a clinical trial in osteoarthritis and from thrombolytic research.","container-title":"Bulletin of the Hospital for Joint Diseases","ISSN":"2328-4633","issue":"2","title":"Superiority, Equivalence, and Non-Inferiority Trials","URL":"https://journals.lww.com/bhjd/fulltext/2008/66020/superiority,_equivalence,_and_non_inferiority.16.aspx","volume":"66","author":[{"family":"Lesaffre","given":"Emmanuel"}],"issued":{"date-parts":[["2008"]]}}},{"id":38,"uris":["http://zotero.org/users/local/ebPldVBC/items/4KW5E62I"],"itemData":{"id":38,"type":"book","ISBN":"1-315-18308-0","publisher":"chapman and hall/CRC","title":"Sample size calculations in clinical research","author":[{"family":"Chow","given":"Shein-Chung"},{"family":"Shao","given":"Jun"},{"family":"Wang","given":"Hansheng"},{"family":"Lokhnygina","given":"Yuliya"}],"issued":{"date-parts":[["2017"]]}}}],"schema":"https://github.com/citation-style-language/schema/raw/master/csl-citation.json"} </w:instrText>
      </w:r>
      <w:r w:rsidR="005A11F9">
        <w:fldChar w:fldCharType="separate"/>
      </w:r>
      <w:r w:rsidR="00F11037" w:rsidRPr="00F11037">
        <w:rPr>
          <w:rFonts w:ascii="Aptos" w:hAnsi="Aptos"/>
        </w:rPr>
        <w:t>(12,13)</w:t>
      </w:r>
      <w:r w:rsidR="005A11F9">
        <w:fldChar w:fldCharType="end"/>
      </w:r>
      <w:r w:rsidR="00085F71" w:rsidRPr="00085F71">
        <w:t xml:space="preserve">. </w:t>
      </w:r>
      <w:r w:rsidRPr="000E0D50">
        <w:t xml:space="preserve">Let </w:t>
      </w:r>
      <m:oMath>
        <m:sSub>
          <m:sSubPr>
            <m:ctrlPr>
              <w:rPr>
                <w:rFonts w:ascii="Cambria Math" w:hAnsi="Cambria Math"/>
              </w:rPr>
            </m:ctrlPr>
          </m:sSubPr>
          <m:e>
            <m:r>
              <w:rPr>
                <w:rFonts w:ascii="Cambria Math" w:hAnsi="Cambria Math"/>
              </w:rPr>
              <m:t>p</m:t>
            </m:r>
          </m:e>
          <m:sub>
            <m:r>
              <w:rPr>
                <w:rFonts w:ascii="Cambria Math" w:hAnsi="Cambria Math"/>
              </w:rPr>
              <m:t>T</m:t>
            </m:r>
          </m:sub>
        </m:sSub>
      </m:oMath>
      <w:r w:rsidRPr="000E0D50">
        <w:t xml:space="preserve">denote the success probability in the investigational treatment group and </w:t>
      </w:r>
      <m:oMath>
        <m:sSub>
          <m:sSubPr>
            <m:ctrlPr>
              <w:rPr>
                <w:rFonts w:ascii="Cambria Math" w:hAnsi="Cambria Math"/>
              </w:rPr>
            </m:ctrlPr>
          </m:sSubPr>
          <m:e>
            <m:r>
              <w:rPr>
                <w:rFonts w:ascii="Cambria Math" w:hAnsi="Cambria Math"/>
              </w:rPr>
              <m:t>p</m:t>
            </m:r>
          </m:e>
          <m:sub>
            <m:r>
              <w:rPr>
                <w:rFonts w:ascii="Cambria Math" w:hAnsi="Cambria Math"/>
              </w:rPr>
              <m:t>C</m:t>
            </m:r>
          </m:sub>
        </m:sSub>
      </m:oMath>
      <w:r w:rsidRPr="000E0D50">
        <w:t>denote the success probability in the comparator group. For a binary success endpoint, the treatment effect is defined as</w:t>
      </w:r>
      <w:r w:rsidR="005A11F9">
        <w:fldChar w:fldCharType="begin"/>
      </w:r>
      <w:r w:rsidR="00F11037">
        <w:instrText xml:space="preserve"> ADDIN ZOTERO_ITEM CSL_CITATION {"citationID":"KVg52cfW","properties":{"unsorted":false,"formattedCitation":"(13,14)","plainCitation":"(13,14)","noteIndex":0},"citationItems":[{"id":38,"uris":["http://zotero.org/users/local/ebPldVBC/items/4KW5E62I"],"itemData":{"id":38,"type":"book","ISBN":"1-315-18308-0","publisher":"chapman and hall/CRC","title":"Sample size calculations in clinical research","author":[{"family":"Chow","given":"Shein-Chung"},{"family":"Shao","given":"Jun"},{"family":"Wang","given":"Hansheng"},{"family":"Lokhnygina","given":"Yuliya"}],"issued":{"date-parts":[["2017"]]}}},{"id":39,"uris":["http://zotero.org/users/local/ebPldVBC/items/BSAWXQE8"],"itemData":{"id":39,"type":"article-journal","abstract":"Investigators should properly calculate sample sizes before the start of their randomised trials and adequately describe the details in their published report. In these a-priori calculations, determining the effect size to detect?eg, event rates in treatment and control groups?reflects inherently subjective clinical judgments. Furthermore, these judgments greatly affect sample size calculations. We question the branding of trials as unethical on the basis of an imprecise sample size calculation process. So-called underpowered trials might be acceptable if investigators use methodological rigor to eliminate bias, properly report to avoid misinterpretation, and always publish results to avert publication bias. Some shift of emphasis from a fixation on sample size to a focus on methodological quality would yield more trials with less bias. Unbiased trials with imprecise results trump no results at all. Clinicians and patients deserve guidance now.","container-title":"The Lancet","DOI":"10.1016/S0140-6736(05)61034-3","ISSN":"0140-6736","issue":"9467","page":"1348-1353","publisher":"Elsevier","title":"Sample size calculations in randomised trials: mandatory and mystical","volume":"365","author":[{"family":"Schulz","given":"Kenneth F"},{"family":"Grimes","given":"David A"}],"issued":{"date-parts":[["2005",4,9]]}}}],"schema":"https://github.com/citation-style-language/schema/raw/master/csl-citation.json"} </w:instrText>
      </w:r>
      <w:r w:rsidR="005A11F9">
        <w:fldChar w:fldCharType="separate"/>
      </w:r>
      <w:r w:rsidR="00F11037" w:rsidRPr="00F11037">
        <w:rPr>
          <w:rFonts w:ascii="Aptos" w:hAnsi="Aptos"/>
        </w:rPr>
        <w:t>(13,14)</w:t>
      </w:r>
      <w:r w:rsidR="005A11F9">
        <w:fldChar w:fldCharType="end"/>
      </w:r>
      <w:r w:rsidR="00085F71" w:rsidRPr="00085F71">
        <w:t>:</w:t>
      </w:r>
    </w:p>
    <w:p w14:paraId="6B33DBFB" w14:textId="5300F573" w:rsidR="00085F71" w:rsidRPr="00085F71" w:rsidRDefault="00085F71" w:rsidP="00F04ED2">
      <w:pPr>
        <w:spacing w:line="276" w:lineRule="auto"/>
        <w:rPr>
          <w:rFonts w:eastAsiaTheme="minorEastAsia"/>
        </w:rPr>
      </w:pPr>
      <m:oMathPara>
        <m:oMath>
          <m:r>
            <w:rPr>
              <w:rFonts w:ascii="Cambria Math" w:hAnsi="Cambria Math"/>
            </w:rPr>
            <m:t>θ = pT - pC</m:t>
          </m:r>
        </m:oMath>
      </m:oMathPara>
    </w:p>
    <w:p w14:paraId="30C5C863" w14:textId="77777777" w:rsidR="00085F71" w:rsidRDefault="00085F71" w:rsidP="00F04ED2">
      <w:pPr>
        <w:spacing w:line="276" w:lineRule="auto"/>
        <w:rPr>
          <w:rFonts w:eastAsiaTheme="minorEastAsia"/>
        </w:rPr>
      </w:pPr>
    </w:p>
    <w:p w14:paraId="659DA984" w14:textId="708DED45" w:rsidR="00085F71" w:rsidRDefault="000E0D50" w:rsidP="00F04ED2">
      <w:pPr>
        <w:spacing w:line="276" w:lineRule="auto"/>
      </w:pPr>
      <w:r w:rsidRPr="000E0D50">
        <w:t>A superiority trial evaluates whether the investigational treatment performs better than the comparator. The null and alternative hypotheses ar</w:t>
      </w:r>
      <w:r>
        <w:t>e</w:t>
      </w:r>
      <w:r w:rsidR="005A11F9">
        <w:fldChar w:fldCharType="begin"/>
      </w:r>
      <w:r w:rsidR="00F11037">
        <w:instrText xml:space="preserve"> ADDIN ZOTERO_ITEM CSL_CITATION {"citationID":"PpfR37g6","properties":{"unsorted":false,"formattedCitation":"(1,12,13)","plainCitation":"(1,12,13)","noteIndex":0},"citationItems":[{"id":5,"uris":["http://zotero.org/users/local/ebPldVBC/items/GSP4TB2M"],"itemData":{"id":5,"type":"article-journal","abstract":"Non-inferiority trials test whether a new product is not unacceptably worse than a product already in use. This paper introduces concepts related to non-inferiority, and discusses the regulatory views of both the European Medicines Agency and the United States Food and Drug Administration.","container-title":"Trials","DOI":"10.1186/1745-6215-12-106","ISSN":"1745-6215","issue":"1","journalAbbreviation":"Trials","page":"106","title":"Through the looking glass: understanding non-inferiority","volume":"12","author":[{"family":"Schumi","given":"Jennifer"},{"family":"Wittes","given":"Janet T."}],"issued":{"date-parts":[["2011",5,3]]}}},{"id":35,"uris":["http://zotero.org/users/local/ebPldVBC/items/GEG6QICV"],"itemData":{"id":35,"type":"article-journal","abstract":"When the aim of the randomized controlled trial (RCT) is to show that one treatment is superior to another, a statistical test is employed and the trial (test) is called a superiority trial (test). Often a nonsignificant superiority test is wrongly interpreted as proof of no difference between the two treatments. Proving that two treatments are equal in performance is impossible with statistical tools; at most, one can show that they are equivalent. In an equivalence trial, the statistical test aims at showing that two treatments are not too different in characteristics, where “not too different” is defined in a clinical manner. Finally, in a non-inferiority trial, the aim is to show that an experimental treatment is not (much) worse than a standard treatment. In this report, the three types of trials are compared, but the main focus is on the non-inferiority trial. Special attention is paid to the practical implications when setting up a non-inferiority trial. Illustrations are taken from a clinical trial in osteoarthritis and from thrombolytic research.","container-title":"Bulletin of the Hospital for Joint Diseases","ISSN":"2328-4633","issue":"2","title":"Superiority, Equivalence, and Non-Inferiority Trials","URL":"https://journals.lww.com/bhjd/fulltext/2008/66020/superiority,_equivalence,_and_non_inferiority.16.aspx","volume":"66","author":[{"family":"Lesaffre","given":"Emmanuel"}],"issued":{"date-parts":[["2008"]]}}},{"id":38,"uris":["http://zotero.org/users/local/ebPldVBC/items/4KW5E62I"],"itemData":{"id":38,"type":"book","ISBN":"1-315-18308-0","publisher":"chapman and hall/CRC","title":"Sample size calculations in clinical research","author":[{"family":"Chow","given":"Shein-Chung"},{"family":"Shao","given":"Jun"},{"family":"Wang","given":"Hansheng"},{"family":"Lokhnygina","given":"Yuliya"}],"issued":{"date-parts":[["2017"]]}}}],"schema":"https://github.com/citation-style-language/schema/raw/master/csl-citation.json"} </w:instrText>
      </w:r>
      <w:r w:rsidR="005A11F9">
        <w:fldChar w:fldCharType="separate"/>
      </w:r>
      <w:r w:rsidR="00F11037" w:rsidRPr="00F11037">
        <w:rPr>
          <w:rFonts w:ascii="Aptos" w:hAnsi="Aptos"/>
        </w:rPr>
        <w:t>(1,12,13)</w:t>
      </w:r>
      <w:r w:rsidR="005A11F9">
        <w:fldChar w:fldCharType="end"/>
      </w:r>
      <w:r w:rsidR="00085F71" w:rsidRPr="00085F71">
        <w:t>:</w:t>
      </w:r>
    </w:p>
    <w:p w14:paraId="2B0EC31B" w14:textId="050C4320" w:rsidR="00D31154" w:rsidRPr="00085F71" w:rsidRDefault="00085F71" w:rsidP="00F04ED2">
      <w:pPr>
        <w:spacing w:line="276" w:lineRule="auto"/>
      </w:pPr>
      <m:oMathPara>
        <m:oMath>
          <m:r>
            <w:rPr>
              <w:rFonts w:ascii="Cambria Math" w:hAnsi="Cambria Math"/>
            </w:rPr>
            <m:t>H₀: θ ≤ 0</m:t>
          </m:r>
          <m:r>
            <m:rPr>
              <m:sty m:val="p"/>
            </m:rPr>
            <w:rPr>
              <w:rFonts w:ascii="Cambria Math" w:hAnsi="Cambria Math"/>
            </w:rPr>
            <w:br/>
          </m:r>
        </m:oMath>
        <m:oMath>
          <m:r>
            <w:rPr>
              <w:rFonts w:ascii="Cambria Math" w:hAnsi="Cambria Math"/>
            </w:rPr>
            <m:t>H₁: θ &gt; 0</m:t>
          </m:r>
        </m:oMath>
      </m:oMathPara>
    </w:p>
    <w:p w14:paraId="0C09C1DA" w14:textId="71AECEFB" w:rsidR="00085F71" w:rsidRDefault="000E0D50" w:rsidP="00F04ED2">
      <w:pPr>
        <w:spacing w:line="276" w:lineRule="auto"/>
      </w:pPr>
      <w:r w:rsidRPr="000E0D50">
        <w:t xml:space="preserve">Superiority is concluded when the lower confidence bound for </w:t>
      </w:r>
      <m:oMath>
        <m:r>
          <w:rPr>
            <w:rFonts w:ascii="Cambria Math" w:hAnsi="Cambria Math"/>
          </w:rPr>
          <m:t>θ</m:t>
        </m:r>
      </m:oMath>
      <w:r w:rsidR="00161628">
        <w:rPr>
          <w:rFonts w:eastAsiaTheme="minorEastAsia"/>
        </w:rPr>
        <w:t xml:space="preserve"> </w:t>
      </w:r>
      <w:r w:rsidRPr="000E0D50">
        <w:t>lies above zero</w:t>
      </w:r>
      <w:r w:rsidR="00216609">
        <w:fldChar w:fldCharType="begin"/>
      </w:r>
      <w:r w:rsidR="00216609">
        <w:instrText xml:space="preserve"> ADDIN ZOTERO_ITEM CSL_CITATION {"citationID":"nhYRJHOO","properties":{"unsorted":false,"formattedCitation":"(1)","plainCitation":"(1)","noteIndex":0},"citationItems":[{"id":5,"uris":["http://zotero.org/users/local/ebPldVBC/items/GSP4TB2M"],"itemData":{"id":5,"type":"article-journal","abstract":"Non-inferiority trials test whether a new product is not unacceptably worse than a product already in use. This paper introduces concepts related to non-inferiority, and discusses the regulatory views of both the European Medicines Agency and the United States Food and Drug Administration.","container-title":"Trials","DOI":"10.1186/1745-6215-12-106","ISSN":"1745-6215","issue":"1","journalAbbreviation":"Trials","page":"106","title":"Through the looking glass: understanding non-inferiority","volume":"12","author":[{"family":"Schumi","given":"Jennifer"},{"family":"Wittes","given":"Janet T."}],"issued":{"date-parts":[["2011",5,3]]}}}],"schema":"https://github.com/citation-style-language/schema/raw/master/csl-citation.json"} </w:instrText>
      </w:r>
      <w:r w:rsidR="00216609">
        <w:fldChar w:fldCharType="separate"/>
      </w:r>
      <w:r w:rsidR="00216609" w:rsidRPr="00216609">
        <w:rPr>
          <w:rFonts w:ascii="Aptos" w:hAnsi="Aptos"/>
        </w:rPr>
        <w:t>(1)</w:t>
      </w:r>
      <w:r w:rsidR="00216609">
        <w:fldChar w:fldCharType="end"/>
      </w:r>
      <w:r w:rsidRPr="000E0D50">
        <w:t>.</w:t>
      </w:r>
    </w:p>
    <w:p w14:paraId="611AF8E2" w14:textId="77777777" w:rsidR="000E0D50" w:rsidRDefault="000E0D50" w:rsidP="00F04ED2">
      <w:pPr>
        <w:spacing w:line="276" w:lineRule="auto"/>
      </w:pPr>
    </w:p>
    <w:p w14:paraId="5CA16852" w14:textId="0FEFA34B" w:rsidR="00085F71" w:rsidRDefault="000E0D50" w:rsidP="00F04ED2">
      <w:pPr>
        <w:spacing w:line="276" w:lineRule="auto"/>
      </w:pPr>
      <w:r w:rsidRPr="000E0D50">
        <w:t xml:space="preserve">An equivalence trial asks whether the difference between treatments is small enough to be considered clinically unimportant in either direction. Denoting the equivalence margin as </w:t>
      </w:r>
      <m:oMath>
        <m:sSub>
          <m:sSubPr>
            <m:ctrlPr>
              <w:rPr>
                <w:rFonts w:ascii="Cambria Math" w:hAnsi="Cambria Math"/>
              </w:rPr>
            </m:ctrlPr>
          </m:sSubPr>
          <m:e>
            <m:r>
              <m:rPr>
                <m:sty m:val="p"/>
              </m:rPr>
              <w:rPr>
                <w:rFonts w:ascii="Cambria Math" w:hAnsi="Cambria Math"/>
              </w:rPr>
              <m:t>Δ</m:t>
            </m:r>
          </m:e>
          <m:sub>
            <m:r>
              <w:rPr>
                <w:rFonts w:ascii="Cambria Math" w:hAnsi="Cambria Math"/>
              </w:rPr>
              <m:t>E</m:t>
            </m:r>
          </m:sub>
        </m:sSub>
      </m:oMath>
      <w:r w:rsidRPr="000E0D50">
        <w:t>, the hypotheses are</w:t>
      </w:r>
      <w:r w:rsidR="005A11F9">
        <w:fldChar w:fldCharType="begin"/>
      </w:r>
      <w:r w:rsidR="00F11037">
        <w:instrText xml:space="preserve"> ADDIN ZOTERO_ITEM CSL_CITATION {"citationID":"7sLthEDA","properties":{"unsorted":false,"formattedCitation":"(6,12,13)","plainCitation":"(6,12,13)","noteIndex":0},"citationItems":[{"id":17,"uris":["http://zotero.org/users/local/ebPldVBC/items/97KHEVHM"],"itemData":{"id":17,"type":"article-journal","abstract":"The CONSORT (Consolidated Standards of Reporting Trials) Statement, which includes a checklist and a flow diagram, is a guideline developed to help authors improve the reporting of the findings from randomized controlled trials. It was updated most recently in 2010. Its primary focus is on individually randomized trials with 2 parallel groups that assess the possible superiority of one treatment compared with another. The CONSORT Statement has been extended to other trial designs such as cluster randomization, and recommendations for noninferiority and equivalence trials were made in 2006. In this article, we present an updated extension of the CONSORT checklist for reporting noninferiority and equivalence trials, based on the 2010 version of the CONSORT Statement and the 2008 CONSORT Statement for the reporting of abstracts, and provide illustrative examples and explanations for those items that differ from the main 2010 CONSORT checklist. The intent is to improve reporting of noninferiority and equivalence trials, enabling readers to assess the reliability of their results and conclusions.","container-title":"JAMA","DOI":"10.1001/jama.2012.87802","ISSN":"0098-7484","issue":"24","journalAbbreviation":"JAMA","page":"2594-2604","title":"Reporting of Noninferiority and Equivalence Randomized Trials: Extension of the CONSORT 2010 Statement","volume":"308","author":[{"family":"Piaggio","given":"Gilda"},{"family":"Elbourne","given":"Diana R."},{"family":"Pocock","given":"Stuart J."},{"family":"Evans","given":"Stephen J. W."},{"family":"Altman","given":"Douglas G."},{"family":"CONSORT Group","given":"for","dropping-particle":"the"}],"issued":{"date-parts":[["2012",12,26]]}}},{"id":35,"uris":["http://zotero.org/users/local/ebPldVBC/items/GEG6QICV"],"itemData":{"id":35,"type":"article-journal","abstract":"When the aim of the randomized controlled trial (RCT) is to show that one treatment is superior to another, a statistical test is employed and the trial (test) is called a superiority trial (test). Often a nonsignificant superiority test is wrongly interpreted as proof of no difference between the two treatments. Proving that two treatments are equal in performance is impossible with statistical tools; at most, one can show that they are equivalent. In an equivalence trial, the statistical test aims at showing that two treatments are not too different in characteristics, where “not too different” is defined in a clinical manner. Finally, in a non-inferiority trial, the aim is to show that an experimental treatment is not (much) worse than a standard treatment. In this report, the three types of trials are compared, but the main focus is on the non-inferiority trial. Special attention is paid to the practical implications when setting up a non-inferiority trial. Illustrations are taken from a clinical trial in osteoarthritis and from thrombolytic research.","container-title":"Bulletin of the Hospital for Joint Diseases","ISSN":"2328-4633","issue":"2","title":"Superiority, Equivalence, and Non-Inferiority Trials","URL":"https://journals.lww.com/bhjd/fulltext/2008/66020/superiority,_equivalence,_and_non_inferiority.16.aspx","volume":"66","author":[{"family":"Lesaffre","given":"Emmanuel"}],"issued":{"date-parts":[["2008"]]}}},{"id":38,"uris":["http://zotero.org/users/local/ebPldVBC/items/4KW5E62I"],"itemData":{"id":38,"type":"book","ISBN":"1-315-18308-0","publisher":"chapman and hall/CRC","title":"Sample size calculations in clinical research","author":[{"family":"Chow","given":"Shein-Chung"},{"family":"Shao","given":"Jun"},{"family":"Wang","given":"Hansheng"},{"family":"Lokhnygina","given":"Yuliya"}],"issued":{"date-parts":[["2017"]]}}}],"schema":"https://github.com/citation-style-language/schema/raw/master/csl-citation.json"} </w:instrText>
      </w:r>
      <w:r w:rsidR="005A11F9">
        <w:fldChar w:fldCharType="separate"/>
      </w:r>
      <w:r w:rsidR="00F11037" w:rsidRPr="00F11037">
        <w:rPr>
          <w:rFonts w:ascii="Aptos" w:hAnsi="Aptos"/>
        </w:rPr>
        <w:t>(6,12,13)</w:t>
      </w:r>
      <w:r w:rsidR="005A11F9">
        <w:fldChar w:fldCharType="end"/>
      </w:r>
      <w:r w:rsidR="00085F71" w:rsidRPr="00085F71">
        <w:t>:</w:t>
      </w:r>
    </w:p>
    <w:p w14:paraId="14700C31" w14:textId="0A384A0F" w:rsidR="005A11F9" w:rsidRPr="000E0D50" w:rsidRDefault="00085F71" w:rsidP="00F04ED2">
      <w:pPr>
        <w:spacing w:line="276" w:lineRule="auto"/>
        <w:rPr>
          <w:rFonts w:eastAsiaTheme="minorEastAsia"/>
        </w:rPr>
      </w:pPr>
      <m:oMathPara>
        <m:oMath>
          <m:r>
            <w:rPr>
              <w:rFonts w:ascii="Cambria Math" w:hAnsi="Cambria Math"/>
            </w:rPr>
            <m:t>H₀: θ ≤ -ΔE or θ ≥ ΔE</m:t>
          </m:r>
          <m:r>
            <m:rPr>
              <m:sty m:val="p"/>
            </m:rPr>
            <w:rPr>
              <w:rFonts w:ascii="Cambria Math" w:hAnsi="Cambria Math"/>
            </w:rPr>
            <w:br/>
          </m:r>
        </m:oMath>
        <m:oMath>
          <m:r>
            <w:rPr>
              <w:rFonts w:ascii="Cambria Math" w:hAnsi="Cambria Math"/>
            </w:rPr>
            <m:t>H₁: -ΔE &lt; θ &lt; ΔE</m:t>
          </m:r>
        </m:oMath>
      </m:oMathPara>
    </w:p>
    <w:p w14:paraId="6E1210E0" w14:textId="1251BBF0" w:rsidR="00085F71" w:rsidRDefault="000E0D50" w:rsidP="00F04ED2">
      <w:pPr>
        <w:spacing w:line="276" w:lineRule="auto"/>
      </w:pPr>
      <w:r w:rsidRPr="000E0D50">
        <w:lastRenderedPageBreak/>
        <w:t xml:space="preserve">Equivalence is concluded when the confidence interval for </w:t>
      </w:r>
      <m:oMath>
        <m:r>
          <w:rPr>
            <w:rFonts w:ascii="Cambria Math" w:hAnsi="Cambria Math"/>
          </w:rPr>
          <m:t>θ</m:t>
        </m:r>
      </m:oMath>
      <w:r w:rsidR="00161628">
        <w:rPr>
          <w:rFonts w:eastAsiaTheme="minorEastAsia"/>
        </w:rPr>
        <w:t xml:space="preserve"> </w:t>
      </w:r>
      <w:r w:rsidRPr="000E0D50">
        <w:t>lies entirely within the equivalence margins</w:t>
      </w:r>
      <w:r w:rsidR="005A11F9">
        <w:fldChar w:fldCharType="begin"/>
      </w:r>
      <w:r w:rsidR="00F11037">
        <w:instrText xml:space="preserve"> ADDIN ZOTERO_ITEM CSL_CITATION {"citationID":"6gLKs8pN","properties":{"unsorted":false,"formattedCitation":"(6,12,13)","plainCitation":"(6,12,13)","noteIndex":0},"citationItems":[{"id":17,"uris":["http://zotero.org/users/local/ebPldVBC/items/97KHEVHM"],"itemData":{"id":17,"type":"article-journal","abstract":"The CONSORT (Consolidated Standards of Reporting Trials) Statement, which includes a checklist and a flow diagram, is a guideline developed to help authors improve the reporting of the findings from randomized controlled trials. It was updated most recently in 2010. Its primary focus is on individually randomized trials with 2 parallel groups that assess the possible superiority of one treatment compared with another. The CONSORT Statement has been extended to other trial designs such as cluster randomization, and recommendations for noninferiority and equivalence trials were made in 2006. In this article, we present an updated extension of the CONSORT checklist for reporting noninferiority and equivalence trials, based on the 2010 version of the CONSORT Statement and the 2008 CONSORT Statement for the reporting of abstracts, and provide illustrative examples and explanations for those items that differ from the main 2010 CONSORT checklist. The intent is to improve reporting of noninferiority and equivalence trials, enabling readers to assess the reliability of their results and conclusions.","container-title":"JAMA","DOI":"10.1001/jama.2012.87802","ISSN":"0098-7484","issue":"24","journalAbbreviation":"JAMA","page":"2594-2604","title":"Reporting of Noninferiority and Equivalence Randomized Trials: Extension of the CONSORT 2010 Statement","volume":"308","author":[{"family":"Piaggio","given":"Gilda"},{"family":"Elbourne","given":"Diana R."},{"family":"Pocock","given":"Stuart J."},{"family":"Evans","given":"Stephen J. W."},{"family":"Altman","given":"Douglas G."},{"family":"CONSORT Group","given":"for","dropping-particle":"the"}],"issued":{"date-parts":[["2012",12,26]]}}},{"id":35,"uris":["http://zotero.org/users/local/ebPldVBC/items/GEG6QICV"],"itemData":{"id":35,"type":"article-journal","abstract":"When the aim of the randomized controlled trial (RCT) is to show that one treatment is superior to another, a statistical test is employed and the trial (test) is called a superiority trial (test). Often a nonsignificant superiority test is wrongly interpreted as proof of no difference between the two treatments. Proving that two treatments are equal in performance is impossible with statistical tools; at most, one can show that they are equivalent. In an equivalence trial, the statistical test aims at showing that two treatments are not too different in characteristics, where “not too different” is defined in a clinical manner. Finally, in a non-inferiority trial, the aim is to show that an experimental treatment is not (much) worse than a standard treatment. In this report, the three types of trials are compared, but the main focus is on the non-inferiority trial. Special attention is paid to the practical implications when setting up a non-inferiority trial. Illustrations are taken from a clinical trial in osteoarthritis and from thrombolytic research.","container-title":"Bulletin of the Hospital for Joint Diseases","ISSN":"2328-4633","issue":"2","title":"Superiority, Equivalence, and Non-Inferiority Trials","URL":"https://journals.lww.com/bhjd/fulltext/2008/66020/superiority,_equivalence,_and_non_inferiority.16.aspx","volume":"66","author":[{"family":"Lesaffre","given":"Emmanuel"}],"issued":{"date-parts":[["2008"]]}}},{"id":38,"uris":["http://zotero.org/users/local/ebPldVBC/items/4KW5E62I"],"itemData":{"id":38,"type":"book","ISBN":"1-315-18308-0","publisher":"chapman and hall/CRC","title":"Sample size calculations in clinical research","author":[{"family":"Chow","given":"Shein-Chung"},{"family":"Shao","given":"Jun"},{"family":"Wang","given":"Hansheng"},{"family":"Lokhnygina","given":"Yuliya"}],"issued":{"date-parts":[["2017"]]}}}],"schema":"https://github.com/citation-style-language/schema/raw/master/csl-citation.json"} </w:instrText>
      </w:r>
      <w:r w:rsidR="005A11F9">
        <w:fldChar w:fldCharType="separate"/>
      </w:r>
      <w:r w:rsidR="00F11037" w:rsidRPr="00F11037">
        <w:rPr>
          <w:rFonts w:ascii="Aptos" w:hAnsi="Aptos"/>
        </w:rPr>
        <w:t>(6,12,13)</w:t>
      </w:r>
      <w:r w:rsidR="005A11F9">
        <w:fldChar w:fldCharType="end"/>
      </w:r>
      <w:r w:rsidR="00085F71" w:rsidRPr="00085F71">
        <w:t>:</w:t>
      </w:r>
    </w:p>
    <w:p w14:paraId="1487140D" w14:textId="6E9D9F50" w:rsidR="00085F71" w:rsidRDefault="00085F71" w:rsidP="00F04ED2">
      <w:pPr>
        <w:spacing w:line="276" w:lineRule="auto"/>
      </w:pPr>
      <m:oMathPara>
        <m:oMath>
          <m:r>
            <w:rPr>
              <w:rFonts w:ascii="Cambria Math" w:hAnsi="Cambria Math"/>
            </w:rPr>
            <m:t>-ΔE &lt; CI₁</m:t>
          </m:r>
          <m:r>
            <w:rPr>
              <w:rFonts w:ascii="Cambria Math" w:hAnsi="Cambria Math" w:cs="Cambria Math"/>
            </w:rPr>
            <m:t>₋</m:t>
          </m:r>
          <m:r>
            <w:rPr>
              <w:rFonts w:ascii="Cambria Math" w:hAnsi="Cambria Math" w:cs="Aptos"/>
            </w:rPr>
            <m:t>α</m:t>
          </m:r>
          <m:r>
            <w:rPr>
              <w:rFonts w:ascii="Cambria Math" w:hAnsi="Cambria Math"/>
            </w:rPr>
            <m:t>(</m:t>
          </m:r>
          <m:r>
            <w:rPr>
              <w:rFonts w:ascii="Cambria Math" w:hAnsi="Cambria Math" w:cs="Aptos"/>
            </w:rPr>
            <m:t>θ</m:t>
          </m:r>
          <m:r>
            <w:rPr>
              <w:rFonts w:ascii="Cambria Math" w:hAnsi="Cambria Math"/>
            </w:rPr>
            <m:t xml:space="preserve">) &lt; </m:t>
          </m:r>
          <m:r>
            <w:rPr>
              <w:rFonts w:ascii="Cambria Math" w:hAnsi="Cambria Math" w:cs="Aptos"/>
            </w:rPr>
            <m:t>Δ</m:t>
          </m:r>
          <m:r>
            <w:rPr>
              <w:rFonts w:ascii="Cambria Math" w:hAnsi="Cambria Math"/>
            </w:rPr>
            <m:t>E</m:t>
          </m:r>
        </m:oMath>
      </m:oMathPara>
    </w:p>
    <w:p w14:paraId="1FB32D92" w14:textId="77777777" w:rsidR="00D31154" w:rsidRDefault="00D31154" w:rsidP="00F04ED2">
      <w:pPr>
        <w:spacing w:line="276" w:lineRule="auto"/>
      </w:pPr>
    </w:p>
    <w:p w14:paraId="148CAB73" w14:textId="559A6E0D" w:rsidR="00085F71" w:rsidRDefault="000E0D50" w:rsidP="00F04ED2">
      <w:pPr>
        <w:spacing w:line="276" w:lineRule="auto"/>
      </w:pPr>
      <w:r w:rsidRPr="000E0D50">
        <w:t xml:space="preserve">A non-inferiority trial is less restrictive, focusing only on differences in the unfavourable direction. Denoting the non-inferiority margin as </w:t>
      </w:r>
      <m:oMath>
        <m:sSub>
          <m:sSubPr>
            <m:ctrlPr>
              <w:rPr>
                <w:rFonts w:ascii="Cambria Math" w:hAnsi="Cambria Math"/>
              </w:rPr>
            </m:ctrlPr>
          </m:sSubPr>
          <m:e>
            <m:r>
              <m:rPr>
                <m:sty m:val="p"/>
              </m:rPr>
              <w:rPr>
                <w:rFonts w:ascii="Cambria Math" w:hAnsi="Cambria Math"/>
              </w:rPr>
              <m:t>Δ</m:t>
            </m:r>
          </m:e>
          <m:sub>
            <m:r>
              <w:rPr>
                <w:rFonts w:ascii="Cambria Math" w:hAnsi="Cambria Math"/>
              </w:rPr>
              <m:t>NI</m:t>
            </m:r>
          </m:sub>
        </m:sSub>
      </m:oMath>
      <w:r w:rsidRPr="000E0D50">
        <w:t>, the largest clinically acceptable loss of efficacy, the hypotheses are</w:t>
      </w:r>
      <w:r w:rsidR="005A11F9">
        <w:fldChar w:fldCharType="begin"/>
      </w:r>
      <w:r w:rsidR="00F11037">
        <w:instrText xml:space="preserve"> ADDIN ZOTERO_ITEM CSL_CITATION {"citationID":"fbmfDVKm","properties":{"unsorted":false,"formattedCitation":"(1,2,12,13)","plainCitation":"(1,2,12,13)","noteIndex":0},"citationItems":[{"id":5,"uris":["http://zotero.org/users/local/ebPldVBC/items/GSP4TB2M"],"itemData":{"id":5,"type":"article-journal","abstract":"Non-inferiority trials test whether a new product is not unacceptably worse than a product already in use. This paper introduces concepts related to non-inferiority, and discusses the regulatory views of both the European Medicines Agency and the United States Food and Drug Administration.","container-title":"Trials","DOI":"10.1186/1745-6215-12-106","ISSN":"1745-6215","issue":"1","journalAbbreviation":"Trials","page":"106","title":"Through the looking glass: understanding non-inferiority","volume":"12","author":[{"family":"Schumi","given":"Jennifer"},{"family":"Wittes","given":"Janet T."}],"issued":{"date-parts":[["2011",5,3]]}}},{"id":18,"uris":["http://zotero.org/users/local/ebPldVBC/items/GYAJJNXT"],"itemData":{"id":18,"type":"article-journal","abstract":"Noninferiority trials are becoming increasing common, but are often poorly reported and misunderstood. A better understanding of the new components of a  noninferiority trial and their interpretation is needed. Noninferiority trials  are an extension of conventional superiority trials, which provide a basis for  determining if a new treatment, which may have advantages other than efficacy,  has sufficient efficacy to be useful in certain situations. A key feature is the  need to specify a clinical noninferiority margin above which the lower boundary  of the confidence interval for the difference between the new treatment and the  conventional treatment must lie. In most cases a nontreated control arm is not  included, and when the efficacy of the new treatment is less than that of the  standard treatment, determining its efficacy versus no treatment can be a major  challenge. Treatments meeting a clinical noninferiority requirement can be  statistically significantly superior to standard treatment, of similar efficacy  (i.e., no significant difference), or even significantly inferior in a  conventional analysis. Noninferiority comparisons are an important addition to  the reporting of clinical trials, but require prior consideration of several  factors that conventional superiority analyses do not address.","container-title":"British journal of cancer","DOI":"10.1038/s41416-022-01937-w","ISSN":"1532-1827 0007-0920","issue":"10","journalAbbreviation":"Br J Cancer","language":"eng","license":"© 2022. The Author(s).","page":"1755-1759","PMID":"36104512","PMCID":"PMC9643416","publisher-place":"England","title":"Interpreting the results of noninferiority trials-a review.","volume":"127","author":[{"family":"Cuzick","given":"Jack"},{"family":"Sasieni","given":"Peter"}],"issued":{"date-parts":[["2022",11]]}}},{"id":35,"uris":["http://zotero.org/users/local/ebPldVBC/items/GEG6QICV"],"itemData":{"id":35,"type":"article-journal","abstract":"When the aim of the randomized controlled trial (RCT) is to show that one treatment is superior to another, a statistical test is employed and the trial (test) is called a superiority trial (test). Often a nonsignificant superiority test is wrongly interpreted as proof of no difference between the two treatments. Proving that two treatments are equal in performance is impossible with statistical tools; at most, one can show that they are equivalent. In an equivalence trial, the statistical test aims at showing that two treatments are not too different in characteristics, where “not too different” is defined in a clinical manner. Finally, in a non-inferiority trial, the aim is to show that an experimental treatment is not (much) worse than a standard treatment. In this report, the three types of trials are compared, but the main focus is on the non-inferiority trial. Special attention is paid to the practical implications when setting up a non-inferiority trial. Illustrations are taken from a clinical trial in osteoarthritis and from thrombolytic research.","container-title":"Bulletin of the Hospital for Joint Diseases","ISSN":"2328-4633","issue":"2","title":"Superiority, Equivalence, and Non-Inferiority Trials","URL":"https://journals.lww.com/bhjd/fulltext/2008/66020/superiority,_equivalence,_and_non_inferiority.16.aspx","volume":"66","author":[{"family":"Lesaffre","given":"Emmanuel"}],"issued":{"date-parts":[["2008"]]}}},{"id":38,"uris":["http://zotero.org/users/local/ebPldVBC/items/4KW5E62I"],"itemData":{"id":38,"type":"book","ISBN":"1-315-18308-0","publisher":"chapman and hall/CRC","title":"Sample size calculations in clinical research","author":[{"family":"Chow","given":"Shein-Chung"},{"family":"Shao","given":"Jun"},{"family":"Wang","given":"Hansheng"},{"family":"Lokhnygina","given":"Yuliya"}],"issued":{"date-parts":[["2017"]]}}}],"schema":"https://github.com/citation-style-language/schema/raw/master/csl-citation.json"} </w:instrText>
      </w:r>
      <w:r w:rsidR="005A11F9">
        <w:fldChar w:fldCharType="separate"/>
      </w:r>
      <w:r w:rsidR="00F11037" w:rsidRPr="00F11037">
        <w:rPr>
          <w:rFonts w:ascii="Aptos" w:hAnsi="Aptos"/>
        </w:rPr>
        <w:t>(1,2,12,13)</w:t>
      </w:r>
      <w:r w:rsidR="005A11F9">
        <w:fldChar w:fldCharType="end"/>
      </w:r>
      <w:r w:rsidR="00085F71" w:rsidRPr="00085F71">
        <w:t>:</w:t>
      </w:r>
    </w:p>
    <w:p w14:paraId="3DD81172" w14:textId="46BFF3DF" w:rsidR="00085F71" w:rsidRDefault="00085F71" w:rsidP="00F04ED2">
      <w:pPr>
        <w:spacing w:line="276" w:lineRule="auto"/>
      </w:pPr>
      <m:oMathPara>
        <m:oMath>
          <m:r>
            <w:rPr>
              <w:rFonts w:ascii="Cambria Math" w:hAnsi="Cambria Math"/>
            </w:rPr>
            <m:t>H₀: θ ≤ -ΔNI</m:t>
          </m:r>
          <m:r>
            <m:rPr>
              <m:sty m:val="p"/>
            </m:rPr>
            <w:rPr>
              <w:rFonts w:ascii="Cambria Math" w:hAnsi="Cambria Math"/>
            </w:rPr>
            <w:br/>
          </m:r>
        </m:oMath>
        <m:oMath>
          <m:r>
            <w:rPr>
              <w:rFonts w:ascii="Cambria Math" w:hAnsi="Cambria Math"/>
            </w:rPr>
            <m:t>H₁: θ &gt; -ΔNI</m:t>
          </m:r>
        </m:oMath>
      </m:oMathPara>
    </w:p>
    <w:p w14:paraId="00AFF01C" w14:textId="77777777" w:rsidR="00085F71" w:rsidRDefault="00085F71" w:rsidP="00F04ED2">
      <w:pPr>
        <w:spacing w:line="276" w:lineRule="auto"/>
      </w:pPr>
    </w:p>
    <w:p w14:paraId="6C2AB998" w14:textId="133B162A" w:rsidR="00085F71" w:rsidRDefault="000E0D50" w:rsidP="00F04ED2">
      <w:pPr>
        <w:spacing w:line="276" w:lineRule="auto"/>
      </w:pPr>
      <w:r w:rsidRPr="000E0D50">
        <w:t>Non-inferiority is concluded when the lower confidence bound lies above the margin</w:t>
      </w:r>
      <w:r w:rsidR="005A11F9">
        <w:fldChar w:fldCharType="begin"/>
      </w:r>
      <w:r w:rsidR="00F11037">
        <w:instrText xml:space="preserve"> ADDIN ZOTERO_ITEM CSL_CITATION {"citationID":"gHrv1Xae","properties":{"unsorted":false,"formattedCitation":"(1,6,12,13)","plainCitation":"(1,6,12,13)","noteIndex":0},"citationItems":[{"id":5,"uris":["http://zotero.org/users/local/ebPldVBC/items/GSP4TB2M"],"itemData":{"id":5,"type":"article-journal","abstract":"Non-inferiority trials test whether a new product is not unacceptably worse than a product already in use. This paper introduces concepts related to non-inferiority, and discusses the regulatory views of both the European Medicines Agency and the United States Food and Drug Administration.","container-title":"Trials","DOI":"10.1186/1745-6215-12-106","ISSN":"1745-6215","issue":"1","journalAbbreviation":"Trials","page":"106","title":"Through the looking glass: understanding non-inferiority","volume":"12","author":[{"family":"Schumi","given":"Jennifer"},{"family":"Wittes","given":"Janet T."}],"issued":{"date-parts":[["2011",5,3]]}}},{"id":17,"uris":["http://zotero.org/users/local/ebPldVBC/items/97KHEVHM"],"itemData":{"id":17,"type":"article-journal","abstract":"The CONSORT (Consolidated Standards of Reporting Trials) Statement, which includes a checklist and a flow diagram, is a guideline developed to help authors improve the reporting of the findings from randomized controlled trials. It was updated most recently in 2010. Its primary focus is on individually randomized trials with 2 parallel groups that assess the possible superiority of one treatment compared with another. The CONSORT Statement has been extended to other trial designs such as cluster randomization, and recommendations for noninferiority and equivalence trials were made in 2006. In this article, we present an updated extension of the CONSORT checklist for reporting noninferiority and equivalence trials, based on the 2010 version of the CONSORT Statement and the 2008 CONSORT Statement for the reporting of abstracts, and provide illustrative examples and explanations for those items that differ from the main 2010 CONSORT checklist. The intent is to improve reporting of noninferiority and equivalence trials, enabling readers to assess the reliability of their results and conclusions.","container-title":"JAMA","DOI":"10.1001/jama.2012.87802","ISSN":"0098-7484","issue":"24","journalAbbreviation":"JAMA","page":"2594-2604","title":"Reporting of Noninferiority and Equivalence Randomized Trials: Extension of the CONSORT 2010 Statement","volume":"308","author":[{"family":"Piaggio","given":"Gilda"},{"family":"Elbourne","given":"Diana R."},{"family":"Pocock","given":"Stuart J."},{"family":"Evans","given":"Stephen J. W."},{"family":"Altman","given":"Douglas G."},{"family":"CONSORT Group","given":"for","dropping-particle":"the"}],"issued":{"date-parts":[["2012",12,26]]}}},{"id":35,"uris":["http://zotero.org/users/local/ebPldVBC/items/GEG6QICV"],"itemData":{"id":35,"type":"article-journal","abstract":"When the aim of the randomized controlled trial (RCT) is to show that one treatment is superior to another, a statistical test is employed and the trial (test) is called a superiority trial (test). Often a nonsignificant superiority test is wrongly interpreted as proof of no difference between the two treatments. Proving that two treatments are equal in performance is impossible with statistical tools; at most, one can show that they are equivalent. In an equivalence trial, the statistical test aims at showing that two treatments are not too different in characteristics, where “not too different” is defined in a clinical manner. Finally, in a non-inferiority trial, the aim is to show that an experimental treatment is not (much) worse than a standard treatment. In this report, the three types of trials are compared, but the main focus is on the non-inferiority trial. Special attention is paid to the practical implications when setting up a non-inferiority trial. Illustrations are taken from a clinical trial in osteoarthritis and from thrombolytic research.","container-title":"Bulletin of the Hospital for Joint Diseases","ISSN":"2328-4633","issue":"2","title":"Superiority, Equivalence, and Non-Inferiority Trials","URL":"https://journals.lww.com/bhjd/fulltext/2008/66020/superiority,_equivalence,_and_non_inferiority.16.aspx","volume":"66","author":[{"family":"Lesaffre","given":"Emmanuel"}],"issued":{"date-parts":[["2008"]]}}},{"id":38,"uris":["http://zotero.org/users/local/ebPldVBC/items/4KW5E62I"],"itemData":{"id":38,"type":"book","ISBN":"1-315-18308-0","publisher":"chapman and hall/CRC","title":"Sample size calculations in clinical research","author":[{"family":"Chow","given":"Shein-Chung"},{"family":"Shao","given":"Jun"},{"family":"Wang","given":"Hansheng"},{"family":"Lokhnygina","given":"Yuliya"}],"issued":{"date-parts":[["2017"]]}}}],"schema":"https://github.com/citation-style-language/schema/raw/master/csl-citation.json"} </w:instrText>
      </w:r>
      <w:r w:rsidR="005A11F9">
        <w:fldChar w:fldCharType="separate"/>
      </w:r>
      <w:r w:rsidR="00F11037" w:rsidRPr="00F11037">
        <w:rPr>
          <w:rFonts w:ascii="Aptos" w:hAnsi="Aptos"/>
        </w:rPr>
        <w:t>(1,6,12,13)</w:t>
      </w:r>
      <w:r w:rsidR="005A11F9">
        <w:fldChar w:fldCharType="end"/>
      </w:r>
      <w:r w:rsidR="00085F71" w:rsidRPr="00085F71">
        <w:t>:</w:t>
      </w:r>
    </w:p>
    <w:p w14:paraId="6E7B0B6B" w14:textId="0F152564" w:rsidR="00085F71" w:rsidRPr="00085F71" w:rsidRDefault="00085F71" w:rsidP="00F04ED2">
      <w:pPr>
        <w:spacing w:line="276" w:lineRule="auto"/>
        <w:rPr>
          <w:rFonts w:eastAsiaTheme="minorEastAsia"/>
        </w:rPr>
      </w:pPr>
      <m:oMathPara>
        <m:oMath>
          <m:r>
            <w:rPr>
              <w:rFonts w:ascii="Cambria Math" w:hAnsi="Cambria Math"/>
            </w:rPr>
            <m:t>L₁₋α(θ) &gt; -ΔNI</m:t>
          </m:r>
        </m:oMath>
      </m:oMathPara>
    </w:p>
    <w:p w14:paraId="76C92312" w14:textId="77777777" w:rsidR="00085F71" w:rsidRDefault="00085F71" w:rsidP="00F04ED2">
      <w:pPr>
        <w:spacing w:line="276" w:lineRule="auto"/>
        <w:rPr>
          <w:rFonts w:eastAsiaTheme="minorEastAsia"/>
        </w:rPr>
      </w:pPr>
    </w:p>
    <w:p w14:paraId="633FC1A1" w14:textId="5F47D4B1" w:rsidR="00085F71" w:rsidRDefault="000E0D50" w:rsidP="00F04ED2">
      <w:pPr>
        <w:spacing w:line="276" w:lineRule="auto"/>
      </w:pPr>
      <w:r w:rsidRPr="000E0D50">
        <w:t>These three designs are often confused in practice, but the distinction matters. Failure to demonstrate superiority does not imply equivalence or non-inferiority</w:t>
      </w:r>
      <w:r>
        <w:t>-</w:t>
      </w:r>
      <w:r w:rsidRPr="000E0D50">
        <w:t xml:space="preserve"> a non-significant superiority test may simply reflect insufficient power or imprecision rather than genuine similarity between treatments</w:t>
      </w:r>
      <w:r w:rsidR="005A11F9">
        <w:fldChar w:fldCharType="begin"/>
      </w:r>
      <w:r w:rsidR="00F11037">
        <w:instrText xml:space="preserve"> ADDIN ZOTERO_ITEM CSL_CITATION {"citationID":"di0pD1au","properties":{"unsorted":false,"formattedCitation":"(1,2,12)","plainCitation":"(1,2,12)","noteIndex":0},"citationItems":[{"id":5,"uris":["http://zotero.org/users/local/ebPldVBC/items/GSP4TB2M"],"itemData":{"id":5,"type":"article-journal","abstract":"Non-inferiority trials test whether a new product is not unacceptably worse than a product already in use. This paper introduces concepts related to non-inferiority, and discusses the regulatory views of both the European Medicines Agency and the United States Food and Drug Administration.","container-title":"Trials","DOI":"10.1186/1745-6215-12-106","ISSN":"1745-6215","issue":"1","journalAbbreviation":"Trials","page":"106","title":"Through the looking glass: understanding non-inferiority","volume":"12","author":[{"family":"Schumi","given":"Jennifer"},{"family":"Wittes","given":"Janet T."}],"issued":{"date-parts":[["2011",5,3]]}}},{"id":18,"uris":["http://zotero.org/users/local/ebPldVBC/items/GYAJJNXT"],"itemData":{"id":18,"type":"article-journal","abstract":"Noninferiority trials are becoming increasing common, but are often poorly reported and misunderstood. A better understanding of the new components of a  noninferiority trial and their interpretation is needed. Noninferiority trials  are an extension of conventional superiority trials, which provide a basis for  determining if a new treatment, which may have advantages other than efficacy,  has sufficient efficacy to be useful in certain situations. A key feature is the  need to specify a clinical noninferiority margin above which the lower boundary  of the confidence interval for the difference between the new treatment and the  conventional treatment must lie. In most cases a nontreated control arm is not  included, and when the efficacy of the new treatment is less than that of the  standard treatment, determining its efficacy versus no treatment can be a major  challenge. Treatments meeting a clinical noninferiority requirement can be  statistically significantly superior to standard treatment, of similar efficacy  (i.e., no significant difference), or even significantly inferior in a  conventional analysis. Noninferiority comparisons are an important addition to  the reporting of clinical trials, but require prior consideration of several  factors that conventional superiority analyses do not address.","container-title":"British journal of cancer","DOI":"10.1038/s41416-022-01937-w","ISSN":"1532-1827 0007-0920","issue":"10","journalAbbreviation":"Br J Cancer","language":"eng","license":"© 2022. The Author(s).","page":"1755-1759","PMID":"36104512","PMCID":"PMC9643416","publisher-place":"England","title":"Interpreting the results of noninferiority trials-a review.","volume":"127","author":[{"family":"Cuzick","given":"Jack"},{"family":"Sasieni","given":"Peter"}],"issued":{"date-parts":[["2022",11]]}}},{"id":35,"uris":["http://zotero.org/users/local/ebPldVBC/items/GEG6QICV"],"itemData":{"id":35,"type":"article-journal","abstract":"When the aim of the randomized controlled trial (RCT) is to show that one treatment is superior to another, a statistical test is employed and the trial (test) is called a superiority trial (test). Often a nonsignificant superiority test is wrongly interpreted as proof of no difference between the two treatments. Proving that two treatments are equal in performance is impossible with statistical tools; at most, one can show that they are equivalent. In an equivalence trial, the statistical test aims at showing that two treatments are not too different in characteristics, where “not too different” is defined in a clinical manner. Finally, in a non-inferiority trial, the aim is to show that an experimental treatment is not (much) worse than a standard treatment. In this report, the three types of trials are compared, but the main focus is on the non-inferiority trial. Special attention is paid to the practical implications when setting up a non-inferiority trial. Illustrations are taken from a clinical trial in osteoarthritis and from thrombolytic research.","container-title":"Bulletin of the Hospital for Joint Diseases","ISSN":"2328-4633","issue":"2","title":"Superiority, Equivalence, and Non-Inferiority Trials","URL":"https://journals.lww.com/bhjd/fulltext/2008/66020/superiority,_equivalence,_and_non_inferiority.16.aspx","volume":"66","author":[{"family":"Lesaffre","given":"Emmanuel"}],"issued":{"date-parts":[["2008"]]}}}],"schema":"https://github.com/citation-style-language/schema/raw/master/csl-citation.json"} </w:instrText>
      </w:r>
      <w:r w:rsidR="005A11F9">
        <w:fldChar w:fldCharType="separate"/>
      </w:r>
      <w:r w:rsidR="00F11037" w:rsidRPr="00F11037">
        <w:rPr>
          <w:rFonts w:ascii="Aptos" w:hAnsi="Aptos"/>
        </w:rPr>
        <w:t>(1,2,12)</w:t>
      </w:r>
      <w:r w:rsidR="005A11F9">
        <w:fldChar w:fldCharType="end"/>
      </w:r>
      <w:r w:rsidR="00085F71" w:rsidRPr="00085F71">
        <w:t xml:space="preserve">. </w:t>
      </w:r>
      <w:r w:rsidRPr="000E0D50">
        <w:t>Each design therefore requires its own pre-specified margin, endpoints, analysis population and decision rule, and conclusions should not be switched between frameworks after the data have been collect</w:t>
      </w:r>
      <w:r>
        <w:t>ed</w:t>
      </w:r>
      <w:r w:rsidR="005A11F9">
        <w:fldChar w:fldCharType="begin"/>
      </w:r>
      <w:r w:rsidR="001235BB">
        <w:instrText xml:space="preserve"> ADDIN ZOTERO_ITEM CSL_CITATION {"citationID":"YQUIyI5g","properties":{"unsorted":false,"formattedCitation":"(5,6,13)","plainCitation":"(5,6,13)","noteIndex":0},"citationItems":[{"id":28,"uris":["http://zotero.org/users/local/ebPldVBC/items/R5QCUM6Y"],"itemData":{"id":28,"type":"report","genre":"Guideline","language":"en","publisher":"International Council for Harmonisation (ICH)","source":"Zotero","title":"Statistical Principles for Clinical Trials E9","URL":"https://www.ich.org/page/efficacy-guidelines","author":[{"family":"International Council for Harmonisation","given":""}],"accessed":{"date-parts":[["2026",5,12]]},"issued":{"date-parts":[["1998"]]}}},{"id":17,"uris":["http://zotero.org/users/local/ebPldVBC/items/97KHEVHM"],"itemData":{"id":17,"type":"article-journal","abstract":"The CONSORT (Consolidated Standards of Reporting Trials) Statement, which includes a checklist and a flow diagram, is a guideline developed to help authors improve the reporting of the findings from randomized controlled trials. It was updated most recently in 2010. Its primary focus is on individually randomized trials with 2 parallel groups that assess the possible superiority of one treatment compared with another. The CONSORT Statement has been extended to other trial designs such as cluster randomization, and recommendations for noninferiority and equivalence trials were made in 2006. In this article, we present an updated extension of the CONSORT checklist for reporting noninferiority and equivalence trials, based on the 2010 version of the CONSORT Statement and the 2008 CONSORT Statement for the reporting of abstracts, and provide illustrative examples and explanations for those items that differ from the main 2010 CONSORT checklist. The intent is to improve reporting of noninferiority and equivalence trials, enabling readers to assess the reliability of their results and conclusions.","container-title":"JAMA","DOI":"10.1001/jama.2012.87802","ISSN":"0098-7484","issue":"24","journalAbbreviation":"JAMA","page":"2594-2604","title":"Reporting of Noninferiority and Equivalence Randomized Trials: Extension of the CONSORT 2010 Statement","volume":"308","author":[{"family":"Piaggio","given":"Gilda"},{"family":"Elbourne","given":"Diana R."},{"family":"Pocock","given":"Stuart J."},{"family":"Evans","given":"Stephen J. W."},{"family":"Altman","given":"Douglas G."},{"family":"CONSORT Group","given":"for","dropping-particle":"the"}],"issued":{"date-parts":[["2012",12,26]]}}},{"id":38,"uris":["http://zotero.org/users/local/ebPldVBC/items/4KW5E62I"],"itemData":{"id":38,"type":"book","ISBN":"1-315-18308-0","publisher":"chapman and hall/CRC","title":"Sample size calculations in clinical research","author":[{"family":"Chow","given":"Shein-Chung"},{"family":"Shao","given":"Jun"},{"family":"Wang","given":"Hansheng"},{"family":"Lokhnygina","given":"Yuliya"}],"issued":{"date-parts":[["2017"]]}}}],"schema":"https://github.com/citation-style-language/schema/raw/master/csl-citation.json"} </w:instrText>
      </w:r>
      <w:r w:rsidR="005A11F9">
        <w:fldChar w:fldCharType="separate"/>
      </w:r>
      <w:r w:rsidR="00F11037" w:rsidRPr="00F11037">
        <w:rPr>
          <w:rFonts w:ascii="Aptos" w:hAnsi="Aptos"/>
        </w:rPr>
        <w:t>(5,6,13)</w:t>
      </w:r>
      <w:r w:rsidR="005A11F9">
        <w:fldChar w:fldCharType="end"/>
      </w:r>
      <w:r w:rsidR="00085F71" w:rsidRPr="00085F71">
        <w:t>.</w:t>
      </w:r>
    </w:p>
    <w:p w14:paraId="54CB120C" w14:textId="77777777" w:rsidR="00157576" w:rsidRDefault="00157576" w:rsidP="00157576">
      <w:pPr>
        <w:keepNext/>
        <w:spacing w:line="276" w:lineRule="auto"/>
      </w:pPr>
      <w:r>
        <w:rPr>
          <w:noProof/>
        </w:rPr>
        <w:drawing>
          <wp:inline distT="0" distB="0" distL="0" distR="0" wp14:anchorId="1521E268" wp14:editId="600F605E">
            <wp:extent cx="5731510" cy="2635885"/>
            <wp:effectExtent l="0" t="0" r="2540" b="0"/>
            <wp:docPr id="1630347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347872" name="Picture 1630347872"/>
                    <pic:cNvPicPr/>
                  </pic:nvPicPr>
                  <pic:blipFill>
                    <a:blip r:embed="rId9">
                      <a:extLst>
                        <a:ext uri="{28A0092B-C50C-407E-A947-70E740481C1C}">
                          <a14:useLocalDpi xmlns:a14="http://schemas.microsoft.com/office/drawing/2010/main" val="0"/>
                        </a:ext>
                      </a:extLst>
                    </a:blip>
                    <a:stretch>
                      <a:fillRect/>
                    </a:stretch>
                  </pic:blipFill>
                  <pic:spPr>
                    <a:xfrm>
                      <a:off x="0" y="0"/>
                      <a:ext cx="5731510" cy="2635885"/>
                    </a:xfrm>
                    <a:prstGeom prst="rect">
                      <a:avLst/>
                    </a:prstGeom>
                  </pic:spPr>
                </pic:pic>
              </a:graphicData>
            </a:graphic>
          </wp:inline>
        </w:drawing>
      </w:r>
    </w:p>
    <w:p w14:paraId="5B39054C" w14:textId="5FDC55D6" w:rsidR="00F04ED2" w:rsidRDefault="00157576" w:rsidP="00157576">
      <w:pPr>
        <w:pStyle w:val="Caption"/>
      </w:pPr>
      <w:bookmarkStart w:id="14" w:name="_Toc232114731"/>
      <w:r>
        <w:t xml:space="preserve">Figure </w:t>
      </w:r>
      <w:r>
        <w:fldChar w:fldCharType="begin"/>
      </w:r>
      <w:r>
        <w:instrText xml:space="preserve"> SEQ Figure \* ARABIC </w:instrText>
      </w:r>
      <w:r>
        <w:fldChar w:fldCharType="separate"/>
      </w:r>
      <w:r w:rsidR="007F77B6">
        <w:rPr>
          <w:noProof/>
        </w:rPr>
        <w:t>1</w:t>
      </w:r>
      <w:r>
        <w:fldChar w:fldCharType="end"/>
      </w:r>
      <w:r>
        <w:t xml:space="preserve"> </w:t>
      </w:r>
      <w:r w:rsidRPr="001A2B8C">
        <w:t xml:space="preserve"> Confidence interval decision rules for superiority, non-inferiority and equivalence trials. Each row shows a representative 95% confidence interval for the treatment difference</w:t>
      </w:r>
      <w:r>
        <w:t xml:space="preserve">. </w:t>
      </w:r>
      <w:r w:rsidRPr="00157576">
        <w:t>The shaded region indicates the null hypothesis zone for each design.</w:t>
      </w:r>
      <w:bookmarkEnd w:id="14"/>
    </w:p>
    <w:p w14:paraId="4E2EDBFC" w14:textId="77777777" w:rsidR="00157576" w:rsidRDefault="00157576" w:rsidP="00085F71">
      <w:pPr>
        <w:spacing w:line="276" w:lineRule="auto"/>
      </w:pPr>
    </w:p>
    <w:p w14:paraId="6E098617" w14:textId="0F473108" w:rsidR="00C56E74" w:rsidRPr="00C56E74" w:rsidRDefault="00FE2CFF" w:rsidP="00C56E74">
      <w:pPr>
        <w:pStyle w:val="Heading2"/>
        <w:spacing w:line="276" w:lineRule="auto"/>
      </w:pPr>
      <w:bookmarkStart w:id="15" w:name="_Toc232114696"/>
      <w:r>
        <w:lastRenderedPageBreak/>
        <w:t xml:space="preserve">2.2 </w:t>
      </w:r>
      <w:r w:rsidR="00DA6817" w:rsidRPr="00DA6817">
        <w:t>Non-Inferiority Margins and Performance Goals</w:t>
      </w:r>
      <w:bookmarkEnd w:id="15"/>
    </w:p>
    <w:p w14:paraId="4AB926D8" w14:textId="04BE8DD6" w:rsidR="00F25F37" w:rsidRPr="00F25F37" w:rsidRDefault="00F25F37" w:rsidP="00F25F37">
      <w:pPr>
        <w:spacing w:line="276" w:lineRule="auto"/>
      </w:pPr>
      <w:r w:rsidRPr="00F25F37">
        <w:t>The non-inferiority margin is one of the central design choices in a non-inferiority trial</w:t>
      </w:r>
      <w:r>
        <w:fldChar w:fldCharType="begin"/>
      </w:r>
      <w:r w:rsidR="003A69E1">
        <w:instrText xml:space="preserve"> ADDIN ZOTERO_ITEM CSL_CITATION {"citationID":"l5DG0C25","properties":{"unsorted":false,"formattedCitation":"(1,2,15)","plainCitation":"(1,2,15)","noteIndex":0},"citationItems":[{"id":5,"uris":["http://zotero.org/users/local/ebPldVBC/items/GSP4TB2M"],"itemData":{"id":5,"type":"article-journal","abstract":"Non-inferiority trials test whether a new product is not unacceptably worse than a product already in use. This paper introduces concepts related to non-inferiority, and discusses the regulatory views of both the European Medicines Agency and the United States Food and Drug Administration.","container-title":"Trials","DOI":"10.1186/1745-6215-12-106","ISSN":"1745-6215","issue":"1","journalAbbreviation":"Trials","page":"106","title":"Through the looking glass: understanding non-inferiority","volume":"12","author":[{"family":"Schumi","given":"Jennifer"},{"family":"Wittes","given":"Janet T."}],"issued":{"date-parts":[["2011",5,3]]}}},{"id":18,"uris":["http://zotero.org/users/local/ebPldVBC/items/GYAJJNXT"],"itemData":{"id":18,"type":"article-journal","abstract":"Noninferiority trials are becoming increasing common, but are often poorly reported and misunderstood. A better understanding of the new components of a  noninferiority trial and their interpretation is needed. Noninferiority trials  are an extension of conventional superiority trials, which provide a basis for  determining if a new treatment, which may have advantages other than efficacy,  has sufficient efficacy to be useful in certain situations. A key feature is the  need to specify a clinical noninferiority margin above which the lower boundary  of the confidence interval for the difference between the new treatment and the  conventional treatment must lie. In most cases a nontreated control arm is not  included, and when the efficacy of the new treatment is less than that of the  standard treatment, determining its efficacy versus no treatment can be a major  challenge. Treatments meeting a clinical noninferiority requirement can be  statistically significantly superior to standard treatment, of similar efficacy  (i.e., no significant difference), or even significantly inferior in a  conventional analysis. Noninferiority comparisons are an important addition to  the reporting of clinical trials, but require prior consideration of several  factors that conventional superiority analyses do not address.","container-title":"British journal of cancer","DOI":"10.1038/s41416-022-01937-w","ISSN":"1532-1827 0007-0920","issue":"10","journalAbbreviation":"Br J Cancer","language":"eng","license":"© 2022. The Author(s).","page":"1755-1759","PMID":"36104512","PMCID":"PMC9643416","publisher-place":"England","title":"Interpreting the results of noninferiority trials-a review.","volume":"127","author":[{"family":"Cuzick","given":"Jack"},{"family":"Sasieni","given":"Peter"}],"issued":{"date-parts":[["2022",11]]}}},{"id":42,"uris":["http://zotero.org/users/local/ebPldVBC/items/N4FDNJKC"],"itemData":{"id":42,"type":"report","genre":"Guidance for Industry","language":"en","publisher":"U.S. Food and Drug Administration","source":"Zotero","title":"Non-Inferiority Clinical Trials to Establish Effectiveness","URL":"https://www.fda.gov/media/78504/download","author":[{"literal":"U.S. Food and Drug Administration"}],"accessed":{"date-parts":[["2026",1,5]]},"issued":{"date-parts":[["2016"]]}}}],"schema":"https://github.com/citation-style-language/schema/raw/master/csl-citation.json"} </w:instrText>
      </w:r>
      <w:r>
        <w:fldChar w:fldCharType="separate"/>
      </w:r>
      <w:r w:rsidR="00F11037" w:rsidRPr="00F11037">
        <w:rPr>
          <w:rFonts w:ascii="Aptos" w:hAnsi="Aptos"/>
        </w:rPr>
        <w:t>(1,2,15)</w:t>
      </w:r>
      <w:r>
        <w:fldChar w:fldCharType="end"/>
      </w:r>
      <w:r w:rsidRPr="00F25F37">
        <w:t xml:space="preserve">. </w:t>
      </w:r>
      <w:r w:rsidR="000E0D50" w:rsidRPr="000E0D50">
        <w:t>It defines the largest loss of efficacy considered clinically acceptable in exchange for other benefits offered by the investigational treatment</w:t>
      </w:r>
      <w:r w:rsidR="0045697A">
        <w:fldChar w:fldCharType="begin"/>
      </w:r>
      <w:r w:rsidR="003A69E1">
        <w:instrText xml:space="preserve"> ADDIN ZOTERO_ITEM CSL_CITATION {"citationID":"oenKTbg6","properties":{"unsorted":false,"formattedCitation":"(1,4,15)","plainCitation":"(1,4,15)","noteIndex":0},"citationItems":[{"id":5,"uris":["http://zotero.org/users/local/ebPldVBC/items/GSP4TB2M"],"itemData":{"id":5,"type":"article-journal","abstract":"Non-inferiority trials test whether a new product is not unacceptably worse than a product already in use. This paper introduces concepts related to non-inferiority, and discusses the regulatory views of both the European Medicines Agency and the United States Food and Drug Administration.","container-title":"Trials","DOI":"10.1186/1745-6215-12-106","ISSN":"1745-6215","issue":"1","journalAbbreviation":"Trials","page":"106","title":"Through the looking glass: understanding non-inferiority","volume":"12","author":[{"family":"Schumi","given":"Jennifer"},{"family":"Wittes","given":"Janet T."}],"issued":{"date-parts":[["2011",5,3]]}}},{"id":3,"uris":["http://zotero.org/users/local/ebPldVBC/items/AHCE3TKG"],"itemData":{"id":3,"type":"article-journal","container-title":"BMJ","DOI":"10.1136/bmj-2023-078000","note":"_eprint: https://www.bmj.com/content/385/bmj-2023-078000.full.pdf","publisher":"BMJ Publishing Group Ltd","title":"Exploring different objectives in non-inferiority trials","URL":"https://www.bmj.com/content/385/bmj-2023-078000","volume":"385","author":[{"family":"Tweed","given":"Conor D"},{"family":"Quartagno","given":"Matteo"},{"family":"Clements","given":"Michelle N"},{"family":"Turner","given":"Rebecca M"},{"family":"Nunn","given":"Andrew J"},{"family":"Dunn","given":"David T"},{"family":"White","given":"Ian R"},{"family":"Copas","given":"Andrew J"}],"issued":{"date-parts":[["2024"]]}}},{"id":42,"uris":["http://zotero.org/users/local/ebPldVBC/items/N4FDNJKC"],"itemData":{"id":42,"type":"report","genre":"Guidance for Industry","language":"en","publisher":"U.S. Food and Drug Administration","source":"Zotero","title":"Non-Inferiority Clinical Trials to Establish Effectiveness","URL":"https://www.fda.gov/media/78504/download","author":[{"literal":"U.S. Food and Drug Administration"}],"accessed":{"date-parts":[["2026",1,5]]},"issued":{"date-parts":[["2016"]]}}}],"schema":"https://github.com/citation-style-language/schema/raw/master/csl-citation.json"} </w:instrText>
      </w:r>
      <w:r w:rsidR="0045697A">
        <w:fldChar w:fldCharType="separate"/>
      </w:r>
      <w:r w:rsidR="00F11037" w:rsidRPr="00F11037">
        <w:rPr>
          <w:rFonts w:ascii="Aptos" w:hAnsi="Aptos"/>
        </w:rPr>
        <w:t>(1,4,15)</w:t>
      </w:r>
      <w:r w:rsidR="0045697A">
        <w:fldChar w:fldCharType="end"/>
      </w:r>
      <w:r w:rsidRPr="00F25F37">
        <w:t>.</w:t>
      </w:r>
      <w:r w:rsidR="002728B1">
        <w:t xml:space="preserve"> </w:t>
      </w:r>
      <w:r w:rsidR="000E0D50" w:rsidRPr="000E0D50">
        <w:t>As established in Section 1.1, the selected margin affects the interpretation of the trial, the required sample size and the probability of concluding non-inferiority</w:t>
      </w:r>
      <w:r w:rsidR="0045697A">
        <w:fldChar w:fldCharType="begin"/>
      </w:r>
      <w:r w:rsidR="003A69E1">
        <w:instrText xml:space="preserve"> ADDIN ZOTERO_ITEM CSL_CITATION {"citationID":"QCsN82wp","properties":{"unsorted":false,"formattedCitation":"(1,13,15)","plainCitation":"(1,13,15)","noteIndex":0},"citationItems":[{"id":5,"uris":["http://zotero.org/users/local/ebPldVBC/items/GSP4TB2M"],"itemData":{"id":5,"type":"article-journal","abstract":"Non-inferiority trials test whether a new product is not unacceptably worse than a product already in use. This paper introduces concepts related to non-inferiority, and discusses the regulatory views of both the European Medicines Agency and the United States Food and Drug Administration.","container-title":"Trials","DOI":"10.1186/1745-6215-12-106","ISSN":"1745-6215","issue":"1","journalAbbreviation":"Trials","page":"106","title":"Through the looking glass: understanding non-inferiority","volume":"12","author":[{"family":"Schumi","given":"Jennifer"},{"family":"Wittes","given":"Janet T."}],"issued":{"date-parts":[["2011",5,3]]}}},{"id":38,"uris":["http://zotero.org/users/local/ebPldVBC/items/4KW5E62I"],"itemData":{"id":38,"type":"book","ISBN":"1-315-18308-0","publisher":"chapman and hall/CRC","title":"Sample size calculations in clinical research","author":[{"family":"Chow","given":"Shein-Chung"},{"family":"Shao","given":"Jun"},{"family":"Wang","given":"Hansheng"},{"family":"Lokhnygina","given":"Yuliya"}],"issued":{"date-parts":[["2017"]]}}},{"id":42,"uris":["http://zotero.org/users/local/ebPldVBC/items/N4FDNJKC"],"itemData":{"id":42,"type":"report","genre":"Guidance for Industry","language":"en","publisher":"U.S. Food and Drug Administration","source":"Zotero","title":"Non-Inferiority Clinical Trials to Establish Effectiveness","URL":"https://www.fda.gov/media/78504/download","author":[{"literal":"U.S. Food and Drug Administration"}],"accessed":{"date-parts":[["2026",1,5]]},"issued":{"date-parts":[["2016"]]}}}],"schema":"https://github.com/citation-style-language/schema/raw/master/csl-citation.json"} </w:instrText>
      </w:r>
      <w:r w:rsidR="0045697A">
        <w:fldChar w:fldCharType="separate"/>
      </w:r>
      <w:r w:rsidR="00F11037" w:rsidRPr="00F11037">
        <w:rPr>
          <w:rFonts w:ascii="Aptos" w:hAnsi="Aptos"/>
        </w:rPr>
        <w:t>(1,13,15)</w:t>
      </w:r>
      <w:r w:rsidR="0045697A">
        <w:fldChar w:fldCharType="end"/>
      </w:r>
      <w:r w:rsidRPr="00F25F37">
        <w:t>.</w:t>
      </w:r>
    </w:p>
    <w:p w14:paraId="21682188" w14:textId="76F8C847" w:rsidR="00F25F37" w:rsidRPr="00CC79A0" w:rsidRDefault="000E0D50" w:rsidP="00F25F37">
      <w:pPr>
        <w:spacing w:line="276" w:lineRule="auto"/>
        <w:rPr>
          <w:rFonts w:eastAsiaTheme="minorEastAsia"/>
        </w:rPr>
      </w:pPr>
      <w:r w:rsidRPr="000E0D50">
        <w:t xml:space="preserve">In an active-control non-inferiority trial, the margin is usually defined relative to the established effect of the </w:t>
      </w:r>
      <w:r w:rsidR="00161628" w:rsidRPr="000E0D50">
        <w:t>comparator</w:t>
      </w:r>
      <w:r w:rsidR="006803C8">
        <w:t>.</w:t>
      </w:r>
      <w:r w:rsidR="00161628" w:rsidRPr="000E0D50">
        <w:t xml:space="preserve"> In</w:t>
      </w:r>
      <w:r w:rsidRPr="000E0D50">
        <w:t xml:space="preserve"> single-arm medical device studies, the same logic is applied through a performance goal</w:t>
      </w:r>
      <w:r>
        <w:t>,</w:t>
      </w:r>
      <w:r w:rsidRPr="000E0D50">
        <w:t xml:space="preserve"> a pre-specified benchmark against which the device is evaluated directly, without a concurrent control group</w:t>
      </w:r>
      <w:r w:rsidR="0045697A">
        <w:fldChar w:fldCharType="begin"/>
      </w:r>
      <w:r w:rsidR="00F11037">
        <w:instrText xml:space="preserve"> ADDIN ZOTERO_ITEM CSL_CITATION {"citationID":"VOH13Vk5","properties":{"unsorted":false,"formattedCitation":"(8,16)","plainCitation":"(8,16)","noteIndex":0},"citationItems":[{"id":20,"uris":["http://zotero.org/users/local/ebPldVBC/items/4GQAW2H3"],"itemData":{"id":20,"type":"article-journal","abstract":"Although randomised controlled trials are considered the gold standard in clinical research, they are not always feasible due to limitations in the study  population, challenges in obtaining evidence, high costs and ethical  considerations. As a result, single-arm trial designs have emerged as one of the  methods to address these issues. Single-arm trials are commonly applied to study  advanced-stage cancer, rare diseases, emerging infectious diseases, new treatment  methods and medical devices. Single-arm trials have certain ethical advantages  over randomised controlled trials, such as providing equitable treatment,  respecting patient preferences, addressing rare diseases and timely management of  adverse events. While single-arm trials do not adhere to the principles of  randomisation and blinding in terms of scientific rigour, they still incorporate  principles of control, balance and replication, making the design scientifically  reasonable. Compared with randomised controlled trials, single-arm trials require  fewer sample sizes and have shorter trial durations, which can help save costs.  Compared with cohort studies, single-arm trials involve intervention measures and  reduce external interference, resulting in higher levels of evidence. However,  single-arm trials also have limitations. Without a parallel control group, there  may be biases in interpreting the results. In addition, single-arm trials cannot  meet the requirements of randomisation and blinding, thereby limiting their  evidence capacity compared with randomised controlled trials. Therefore,  researchers consider using single-arm trials as a trial design method only when  randomised controlled trials are not feasible.","container-title":"BMJ supportive &amp; palliative care","DOI":"10.1136/spcare-2024-004984","ISSN":"2045-4368 2045-435X","issue":"1","journalAbbreviation":"BMJ Support Palliat Care","language":"eng","license":"© Author(s) (or their employer(s)) 2025. Re-use permitted under CC BY-NC. No commercial re-use. See rights and permissions. Published by BMJ Group.","page":"46-54","PMID":"38834238","PMCID":"PMC11874317","publisher-place":"England","title":"Single-arm clinical trials: design, ethics, principles.","volume":"15","author":[{"family":"Wang","given":"Minyan"},{"family":"Ma","given":"Huan"},{"family":"Shi","given":"Yun"},{"family":"Ni","given":"Haojie"},{"family":"Qin","given":"Chu"},{"family":"Ji","given":"Conghua"}],"issued":{"date-parts":[["2024",12,25]]}}},{"id":37,"uris":["http://zotero.org/users/local/ebPldVBC/items/APGW42QD"],"itemData":{"id":37,"type":"article-journal","abstract":"Sample size determination is an essential step in planning a clinical study. It is critical to understand that different study designs need different methods of sample size estimation. Although there is a vast literature discussing sample size estimation, incorrect or improper formulas continue to be applied. This article reviews basic statistical concepts in sample size estimation, discusses statistical considerations in the choice of a sample size for randomized controlled trials and observational studies, and provides strategies for reducing sample size when planning a study. To assist clinical researchers in performing sample size calculations, we have developed an online calculator for common clinical study designs. The calculator is available at http://riskcalc.org:3838/samplesize/. Finally, we offer our recommendations on reporting sample size determination in clinical studies.","container-title":"An Overview of Study Design and Statistical Considerations","DOI":"10.1016/j.chest.2020.03.010","ISSN":"0012-3692","issue":"1, Supplement","journalAbbreviation":"Chest","page":"S12-S20","title":"Sample Size Estimation in Clinical Research: From Randomized Controlled Trials to Observational Studies","volume":"158","author":[{"family":"Wang","given":"Xiaofeng"},{"family":"Ji","given":"Xinge"}],"issued":{"date-parts":[["2020",7,1]]}}}],"schema":"https://github.com/citation-style-language/schema/raw/master/csl-citation.json"} </w:instrText>
      </w:r>
      <w:r w:rsidR="0045697A">
        <w:fldChar w:fldCharType="separate"/>
      </w:r>
      <w:r w:rsidR="00F11037" w:rsidRPr="00F11037">
        <w:rPr>
          <w:rFonts w:ascii="Aptos" w:hAnsi="Aptos"/>
        </w:rPr>
        <w:t>(8,16)</w:t>
      </w:r>
      <w:r w:rsidR="0045697A">
        <w:fldChar w:fldCharType="end"/>
      </w:r>
      <w:r w:rsidR="00F25F37" w:rsidRPr="00F25F37">
        <w:t xml:space="preserve">. </w:t>
      </w:r>
      <w:r w:rsidRPr="000E0D50">
        <w:t>For a binary efficacy endpoint, where higher proportions reflect better performance, the hypotheses take the form</w:t>
      </w:r>
      <w:r w:rsidR="00F25F37" w:rsidRPr="00F25F37">
        <w:t>:</w:t>
      </w:r>
    </w:p>
    <w:p w14:paraId="32DB2D62" w14:textId="6CA9E440" w:rsidR="00F25F37" w:rsidRPr="00F25F37" w:rsidRDefault="00F25F37" w:rsidP="00F25F37">
      <w:pPr>
        <w:spacing w:line="276" w:lineRule="auto"/>
        <w:rPr>
          <w:rFonts w:ascii="Cambria Math" w:hAnsi="Cambria Math"/>
          <w:oMath/>
        </w:rPr>
      </w:pPr>
      <m:oMathPara>
        <m:oMath>
          <m:r>
            <w:rPr>
              <w:rFonts w:ascii="Cambria Math" w:hAnsi="Cambria Math"/>
            </w:rPr>
            <m:t>H₀: p ≤ p₀</m:t>
          </m:r>
        </m:oMath>
      </m:oMathPara>
    </w:p>
    <w:p w14:paraId="1D68CD50" w14:textId="22E8E757" w:rsidR="00F25F37" w:rsidRPr="00F25F37" w:rsidRDefault="00F25F37" w:rsidP="00F25F37">
      <w:pPr>
        <w:spacing w:line="276" w:lineRule="auto"/>
        <w:rPr>
          <w:rFonts w:eastAsiaTheme="minorEastAsia"/>
        </w:rPr>
      </w:pPr>
      <m:oMathPara>
        <m:oMath>
          <m:r>
            <w:rPr>
              <w:rFonts w:ascii="Cambria Math" w:hAnsi="Cambria Math"/>
            </w:rPr>
            <m:t>H₁: p &gt; p₀</m:t>
          </m:r>
        </m:oMath>
      </m:oMathPara>
    </w:p>
    <w:p w14:paraId="36B9C513" w14:textId="77777777" w:rsidR="00F25F37" w:rsidRPr="00F25F37" w:rsidRDefault="00F25F37" w:rsidP="00F25F37">
      <w:pPr>
        <w:spacing w:line="276" w:lineRule="auto"/>
        <w:rPr>
          <w:rFonts w:ascii="Cambria Math" w:hAnsi="Cambria Math"/>
          <w:oMath/>
        </w:rPr>
      </w:pPr>
    </w:p>
    <w:p w14:paraId="58993F31" w14:textId="5E4C82DA" w:rsidR="00F25F37" w:rsidRPr="00F25F37" w:rsidRDefault="000E0D50" w:rsidP="00F25F37">
      <w:pPr>
        <w:spacing w:line="276" w:lineRule="auto"/>
      </w:pPr>
      <w:r w:rsidRPr="000E0D50">
        <w:t xml:space="preserve">where </w:t>
      </w:r>
      <m:oMath>
        <m:r>
          <w:rPr>
            <w:rFonts w:ascii="Cambria Math" w:hAnsi="Cambria Math"/>
          </w:rPr>
          <m:t>p</m:t>
        </m:r>
      </m:oMath>
      <w:r>
        <w:rPr>
          <w:rFonts w:eastAsiaTheme="minorEastAsia"/>
        </w:rPr>
        <w:t xml:space="preserve"> </w:t>
      </w:r>
      <w:r w:rsidRPr="000E0D50">
        <w:t xml:space="preserve">is the true success probability for the investigational device and </w:t>
      </w:r>
      <m:oMath>
        <m:sSub>
          <m:sSubPr>
            <m:ctrlPr>
              <w:rPr>
                <w:rFonts w:ascii="Cambria Math" w:hAnsi="Cambria Math"/>
              </w:rPr>
            </m:ctrlPr>
          </m:sSubPr>
          <m:e>
            <m:r>
              <w:rPr>
                <w:rFonts w:ascii="Cambria Math" w:hAnsi="Cambria Math"/>
              </w:rPr>
              <m:t>p</m:t>
            </m:r>
          </m:e>
          <m:sub>
            <m:r>
              <w:rPr>
                <w:rFonts w:ascii="Cambria Math" w:hAnsi="Cambria Math"/>
              </w:rPr>
              <m:t>0</m:t>
            </m:r>
          </m:sub>
        </m:sSub>
      </m:oMath>
      <w:r>
        <w:rPr>
          <w:rFonts w:eastAsiaTheme="minorEastAsia"/>
        </w:rPr>
        <w:t xml:space="preserve"> </w:t>
      </w:r>
      <w:r w:rsidRPr="000E0D50">
        <w:t>is the performance goal. Acceptable performance is concluded when the lower confidence bound exceeds the goal</w:t>
      </w:r>
      <w:r w:rsidR="0045697A">
        <w:fldChar w:fldCharType="begin"/>
      </w:r>
      <w:r w:rsidR="0045697A">
        <w:instrText xml:space="preserve"> ADDIN ZOTERO_ITEM CSL_CITATION {"citationID":"O5FLIR3e","properties":{"unsorted":false,"formattedCitation":"(7,8)","plainCitation":"(7,8)","noteIndex":0},"citationItems":[{"id":20,"uris":["http://zotero.org/users/local/ebPldVBC/items/4GQAW2H3"],"itemData":{"id":20,"type":"article-journal","abstract":"Although randomised controlled trials are considered the gold standard in clinical research, they are not always feasible due to limitations in the study  population, challenges in obtaining evidence, high costs and ethical  considerations. As a result, single-arm trial designs have emerged as one of the  methods to address these issues. Single-arm trials are commonly applied to study  advanced-stage cancer, rare diseases, emerging infectious diseases, new treatment  methods and medical devices. Single-arm trials have certain ethical advantages  over randomised controlled trials, such as providing equitable treatment,  respecting patient preferences, addressing rare diseases and timely management of  adverse events. While single-arm trials do not adhere to the principles of  randomisation and blinding in terms of scientific rigour, they still incorporate  principles of control, balance and replication, making the design scientifically  reasonable. Compared with randomised controlled trials, single-arm trials require  fewer sample sizes and have shorter trial durations, which can help save costs.  Compared with cohort studies, single-arm trials involve intervention measures and  reduce external interference, resulting in higher levels of evidence. However,  single-arm trials also have limitations. Without a parallel control group, there  may be biases in interpreting the results. In addition, single-arm trials cannot  meet the requirements of randomisation and blinding, thereby limiting their  evidence capacity compared with randomised controlled trials. Therefore,  researchers consider using single-arm trials as a trial design method only when  randomised controlled trials are not feasible.","container-title":"BMJ supportive &amp; palliative care","DOI":"10.1136/spcare-2024-004984","ISSN":"2045-4368 2045-435X","issue":"1","journalAbbreviation":"BMJ Support Palliat Care","language":"eng","license":"© Author(s) (or their employer(s)) 2025. Re-use permitted under CC BY-NC. No commercial re-use. See rights and permissions. Published by BMJ Group.","page":"46-54","PMID":"38834238","PMCID":"PMC11874317","publisher-place":"England","title":"Single-arm clinical trials: design, ethics, principles.","volume":"15","author":[{"family":"Wang","given":"Minyan"},{"family":"Ma","given":"Huan"},{"family":"Shi","given":"Yun"},{"family":"Ni","given":"Haojie"},{"family":"Qin","given":"Chu"},{"family":"Ji","given":"Conghua"}],"issued":{"date-parts":[["2024",12,25]]}}},{"id":32,"uris":["http://zotero.org/users/local/ebPldVBC/items/7QTQGWQJ"],"itemData":{"id":32,"type":"article-journal","abstract":"Performance goals are numerical target values pertaining to effectiveness or safety endpoints in single-arm medical device clinical studies. Typically,  performance goals are determined at the planning stage of the investigational  study under consideration based on summarized outcome information from existing  relevant clinical trials. In recent years, there is a growing interest in  leveraging real-world evidence in medical product development. In this article,  we introduce a new method for proposing performance goals by leveraging  real-world evidence. The method applies entropy balancing to address possible  patient dissimilarities between the study's target patient population and  existing real-world patients, and can take into account operation differences  between clinical studies and real-world clinical practice. An illustrative  example is provided to demonstrate how to implement the proposed method for  performance goal determination while leveraging real-world evidence.","container-title":"Statistics in medicine","DOI":"10.1002/sim.9199","ISSN":"1097-0258 0277-6715","issue":"29","journalAbbreviation":"Stat Med","language":"eng","license":"© 2021 John Wiley &amp; Sons Ltd.","page":"6577-6589","PMID":"34561895","publisher-place":"England","title":"Leveraging real-world evidence for determining performance goals for medical device studies.","volume":"40","author":[{"family":"Wang","given":"Chenguang"},{"family":"Rosner","given":"Gary L."},{"family":"Bao","given":"Tingting"},{"family":"Lu","given":"Nelson"},{"family":"Chen","given":"Wei-Chen"},{"family":"Li","given":"Heng"},{"family":"Tiwari","given":"Ram"},{"family":"Xu","given":"Yunling"},{"family":"Yue","given":"Lilly Q."}],"issued":{"date-parts":[["2021",12,20]]}}}],"schema":"https://github.com/citation-style-language/schema/raw/master/csl-citation.json"} </w:instrText>
      </w:r>
      <w:r w:rsidR="0045697A">
        <w:fldChar w:fldCharType="separate"/>
      </w:r>
      <w:r w:rsidR="0045697A" w:rsidRPr="0045697A">
        <w:rPr>
          <w:rFonts w:ascii="Aptos" w:hAnsi="Aptos"/>
        </w:rPr>
        <w:t>(7,8)</w:t>
      </w:r>
      <w:r w:rsidR="0045697A">
        <w:fldChar w:fldCharType="end"/>
      </w:r>
      <w:r w:rsidR="00F25F37" w:rsidRPr="00F25F37">
        <w:t>:</w:t>
      </w:r>
    </w:p>
    <w:p w14:paraId="0A1A1F6F" w14:textId="60142C01" w:rsidR="00F25F37" w:rsidRPr="00F25F37" w:rsidRDefault="00F25F37" w:rsidP="00F25F37">
      <w:pPr>
        <w:spacing w:line="276" w:lineRule="auto"/>
        <w:rPr>
          <w:rFonts w:eastAsiaTheme="minorEastAsia"/>
        </w:rPr>
      </w:pPr>
      <m:oMathPara>
        <m:oMath>
          <m:r>
            <w:rPr>
              <w:rFonts w:ascii="Cambria Math" w:hAnsi="Cambria Math"/>
            </w:rPr>
            <m:t>L₁</m:t>
          </m:r>
          <m:r>
            <w:rPr>
              <w:rFonts w:ascii="Cambria Math" w:hAnsi="Cambria Math" w:cs="Cambria Math"/>
            </w:rPr>
            <m:t>₋</m:t>
          </m:r>
          <m:r>
            <w:rPr>
              <w:rFonts w:ascii="Cambria Math" w:hAnsi="Cambria Math" w:cs="Aptos"/>
            </w:rPr>
            <m:t>α</m:t>
          </m:r>
          <m:r>
            <w:rPr>
              <w:rFonts w:ascii="Cambria Math" w:hAnsi="Cambria Math"/>
            </w:rPr>
            <m:t>(p) &gt; p</m:t>
          </m:r>
          <m:r>
            <w:rPr>
              <w:rFonts w:ascii="Cambria Math" w:hAnsi="Cambria Math" w:cs="Aptos"/>
            </w:rPr>
            <m:t>₀</m:t>
          </m:r>
        </m:oMath>
      </m:oMathPara>
    </w:p>
    <w:p w14:paraId="14468E2A" w14:textId="77777777" w:rsidR="00F25F37" w:rsidRPr="00F25F37" w:rsidRDefault="00F25F37" w:rsidP="00F25F37">
      <w:pPr>
        <w:spacing w:line="276" w:lineRule="auto"/>
      </w:pPr>
    </w:p>
    <w:p w14:paraId="278365E6" w14:textId="5D7C3AEB" w:rsidR="00F25F37" w:rsidRPr="00F25F37" w:rsidRDefault="000E0D50" w:rsidP="00F25F37">
      <w:pPr>
        <w:spacing w:line="276" w:lineRule="auto"/>
        <w:rPr>
          <w:rFonts w:ascii="Cambria Math" w:hAnsi="Cambria Math"/>
          <w:oMath/>
        </w:rPr>
      </w:pPr>
      <w:r w:rsidRPr="000E0D50">
        <w:t>For an unfavourable safety endpoint, where lower proportions reflect better performance, the direction is reversed</w:t>
      </w:r>
      <w:r>
        <w:t>:</w:t>
      </w:r>
    </w:p>
    <w:p w14:paraId="76E8E000" w14:textId="06DFD906" w:rsidR="00F25F37" w:rsidRPr="00F25F37" w:rsidRDefault="00F25F37" w:rsidP="00F25F37">
      <w:pPr>
        <w:spacing w:line="276" w:lineRule="auto"/>
        <w:rPr>
          <w:rFonts w:eastAsiaTheme="minorEastAsia"/>
        </w:rPr>
      </w:pPr>
      <m:oMathPara>
        <m:oMath>
          <m:r>
            <w:rPr>
              <w:rFonts w:ascii="Cambria Math" w:hAnsi="Cambria Math"/>
            </w:rPr>
            <m:t>H₁: p &lt; p₀</m:t>
          </m:r>
        </m:oMath>
      </m:oMathPara>
    </w:p>
    <w:p w14:paraId="6009BD8B" w14:textId="77777777" w:rsidR="00F25F37" w:rsidRPr="00F25F37" w:rsidRDefault="00F25F37" w:rsidP="00F25F37">
      <w:pPr>
        <w:spacing w:line="276" w:lineRule="auto"/>
        <w:rPr>
          <w:rFonts w:ascii="Cambria Math" w:hAnsi="Cambria Math"/>
          <w:oMath/>
        </w:rPr>
      </w:pPr>
    </w:p>
    <w:p w14:paraId="5EE649B9" w14:textId="42BC4731" w:rsidR="00F25F37" w:rsidRPr="00F25F37" w:rsidRDefault="000E0D50" w:rsidP="00F25F37">
      <w:pPr>
        <w:spacing w:line="276" w:lineRule="auto"/>
      </w:pPr>
      <w:r w:rsidRPr="000E0D50">
        <w:t>and acceptable performance is concluded when the upper confidence bound falls below the goal</w:t>
      </w:r>
      <w:r w:rsidR="00DA139A">
        <w:fldChar w:fldCharType="begin"/>
      </w:r>
      <w:r w:rsidR="00DA139A">
        <w:instrText xml:space="preserve"> ADDIN ZOTERO_ITEM CSL_CITATION {"citationID":"tzFZR68G","properties":{"unsorted":false,"formattedCitation":"(1,3,6)","plainCitation":"(1,3,6)","noteIndex":0},"citationItems":[{"id":5,"uris":["http://zotero.org/users/local/ebPldVBC/items/GSP4TB2M"],"itemData":{"id":5,"type":"article-journal","abstract":"Non-inferiority trials test whether a new product is not unacceptably worse than a product already in use. This paper introduces concepts related to non-inferiority, and discusses the regulatory views of both the European Medicines Agency and the United States Food and Drug Administration.","container-title":"Trials","DOI":"10.1186/1745-6215-12-106","ISSN":"1745-6215","issue":"1","journalAbbreviation":"Trials","page":"106","title":"Through the looking glass: understanding non-inferiority","volume":"12","author":[{"family":"Schumi","given":"Jennifer"},{"family":"Wittes","given":"Janet T."}],"issued":{"date-parts":[["2011",5,3]]}}},{"id":31,"uris":["http://zotero.org/users/local/ebPldVBC/items/2MBTWGM4"],"itemData":{"id":31,"type":"article-journal","abstract":"A noninferiority trial is designed to demonstrate that an experimental therapy is not worse than an active control. Although noninferiority trials are  superficially similar to conventional superiority trials, there are fundamental  differences. In particular, aspects of a study that make the therapies appear  more similar than they actually are can falsely bias the study toward  demonstrating noninferiority. This has important implications for methodologic  techniques such as blinding and statistical analysis based on the  intention-to-treat principle. When applying the results of noninferiority trials,  clinicians should be judicious in determining whether the degree of  noninferiority demonstrated is clinically acceptable and whether the ancillary  benefits of the treatment justify its use.","container-title":"Open medicine : a peer-reviewed, independent, open-access journal","ISSN":"1911-2092","issue":"2","journalAbbreviation":"Open Med","language":"eng","page":"e67-72","PMID":"25009686","PMCID":"PMC4085087","publisher-place":"Canada","title":"A clinician's guide to the assessment and interpretation of noninferiority trials for novel therapies.","volume":"8","author":[{"family":"Oczkowski","given":"Simon J. W."}],"issued":{"date-parts":[["2014"]]}}},{"id":17,"uris":["http://zotero.org/users/local/ebPldVBC/items/97KHEVHM"],"itemData":{"id":17,"type":"article-journal","abstract":"The CONSORT (Consolidated Standards of Reporting Trials) Statement, which includes a checklist and a flow diagram, is a guideline developed to help authors improve the reporting of the findings from randomized controlled trials. It was updated most recently in 2010. Its primary focus is on individually randomized trials with 2 parallel groups that assess the possible superiority of one treatment compared with another. The CONSORT Statement has been extended to other trial designs such as cluster randomization, and recommendations for noninferiority and equivalence trials were made in 2006. In this article, we present an updated extension of the CONSORT checklist for reporting noninferiority and equivalence trials, based on the 2010 version of the CONSORT Statement and the 2008 CONSORT Statement for the reporting of abstracts, and provide illustrative examples and explanations for those items that differ from the main 2010 CONSORT checklist. The intent is to improve reporting of noninferiority and equivalence trials, enabling readers to assess the reliability of their results and conclusions.","container-title":"JAMA","DOI":"10.1001/jama.2012.87802","ISSN":"0098-7484","issue":"24","journalAbbreviation":"JAMA","page":"2594-2604","title":"Reporting of Noninferiority and Equivalence Randomized Trials: Extension of the CONSORT 2010 Statement","volume":"308","author":[{"family":"Piaggio","given":"Gilda"},{"family":"Elbourne","given":"Diana R."},{"family":"Pocock","given":"Stuart J."},{"family":"Evans","given":"Stephen J. W."},{"family":"Altman","given":"Douglas G."},{"family":"CONSORT Group","given":"for","dropping-particle":"the"}],"issued":{"date-parts":[["2012",12,26]]}}}],"schema":"https://github.com/citation-style-language/schema/raw/master/csl-citation.json"} </w:instrText>
      </w:r>
      <w:r w:rsidR="00DA139A">
        <w:fldChar w:fldCharType="separate"/>
      </w:r>
      <w:r w:rsidR="00DA139A" w:rsidRPr="00DA139A">
        <w:rPr>
          <w:rFonts w:ascii="Aptos" w:hAnsi="Aptos"/>
        </w:rPr>
        <w:t>(1,3,6)</w:t>
      </w:r>
      <w:r w:rsidR="00DA139A">
        <w:fldChar w:fldCharType="end"/>
      </w:r>
      <w:r w:rsidR="00F25F37" w:rsidRPr="00F25F37">
        <w:t>:</w:t>
      </w:r>
    </w:p>
    <w:p w14:paraId="43A7236F" w14:textId="46367311" w:rsidR="00F25F37" w:rsidRPr="00F25F37" w:rsidRDefault="00F25F37" w:rsidP="00F25F37">
      <w:pPr>
        <w:spacing w:line="276" w:lineRule="auto"/>
        <w:rPr>
          <w:rFonts w:eastAsiaTheme="minorEastAsia"/>
        </w:rPr>
      </w:pPr>
      <m:oMathPara>
        <m:oMath>
          <m:r>
            <w:rPr>
              <w:rFonts w:ascii="Cambria Math" w:hAnsi="Cambria Math"/>
            </w:rPr>
            <m:t>U₁</m:t>
          </m:r>
          <m:r>
            <w:rPr>
              <w:rFonts w:ascii="Cambria Math" w:hAnsi="Cambria Math" w:cs="Cambria Math"/>
            </w:rPr>
            <m:t>₋</m:t>
          </m:r>
          <m:r>
            <w:rPr>
              <w:rFonts w:ascii="Cambria Math" w:hAnsi="Cambria Math" w:cs="Aptos"/>
            </w:rPr>
            <m:t>α</m:t>
          </m:r>
          <m:r>
            <w:rPr>
              <w:rFonts w:ascii="Cambria Math" w:hAnsi="Cambria Math"/>
            </w:rPr>
            <m:t>(p) &lt; p</m:t>
          </m:r>
          <m:r>
            <w:rPr>
              <w:rFonts w:ascii="Cambria Math" w:hAnsi="Cambria Math" w:cs="Aptos"/>
            </w:rPr>
            <m:t>₀</m:t>
          </m:r>
        </m:oMath>
      </m:oMathPara>
    </w:p>
    <w:p w14:paraId="5C2584F5" w14:textId="77777777" w:rsidR="00F25F37" w:rsidRPr="00F25F37" w:rsidRDefault="00F25F37" w:rsidP="00F25F37">
      <w:pPr>
        <w:spacing w:line="276" w:lineRule="auto"/>
      </w:pPr>
    </w:p>
    <w:p w14:paraId="7E07425F" w14:textId="31B75EAD" w:rsidR="00F25F37" w:rsidRPr="00F25F37" w:rsidRDefault="000E0D50" w:rsidP="00F25F37">
      <w:pPr>
        <w:spacing w:line="276" w:lineRule="auto"/>
      </w:pPr>
      <w:r w:rsidRPr="000E0D50">
        <w:t>These rules highlight why the performance goal and confidence interval method are closely linked</w:t>
      </w:r>
      <w:r w:rsidR="00DA139A">
        <w:fldChar w:fldCharType="begin"/>
      </w:r>
      <w:r w:rsidR="003A69E1">
        <w:instrText xml:space="preserve"> ADDIN ZOTERO_ITEM CSL_CITATION {"citationID":"V1tDAQsi","properties":{"unsorted":false,"formattedCitation":"(7,15)","plainCitation":"(7,15)","noteIndex":0},"citationItems":[{"id":32,"uris":["http://zotero.org/users/local/ebPldVBC/items/7QTQGWQJ"],"itemData":{"id":32,"type":"article-journal","abstract":"Performance goals are numerical target values pertaining to effectiveness or safety endpoints in single-arm medical device clinical studies. Typically,  performance goals are determined at the planning stage of the investigational  study under consideration based on summarized outcome information from existing  relevant clinical trials. In recent years, there is a growing interest in  leveraging real-world evidence in medical product development. In this article,  we introduce a new method for proposing performance goals by leveraging  real-world evidence. The method applies entropy balancing to address possible  patient dissimilarities between the study's target patient population and  existing real-world patients, and can take into account operation differences  between clinical studies and real-world clinical practice. An illustrative  example is provided to demonstrate how to implement the proposed method for  performance goal determination while leveraging real-world evidence.","container-title":"Statistics in medicine","DOI":"10.1002/sim.9199","ISSN":"1097-0258 0277-6715","issue":"29","journalAbbreviation":"Stat Med","language":"eng","license":"© 2021 John Wiley &amp; Sons Ltd.","page":"6577-6589","PMID":"34561895","publisher-place":"England","title":"Leveraging real-world evidence for determining performance goals for medical device studies.","volume":"40","author":[{"family":"Wang","given":"Chenguang"},{"family":"Rosner","given":"Gary L."},{"family":"Bao","given":"Tingting"},{"family":"Lu","given":"Nelson"},{"family":"Chen","given":"Wei-Chen"},{"family":"Li","given":"Heng"},{"family":"Tiwari","given":"Ram"},{"family":"Xu","given":"Yunling"},{"family":"Yue","given":"Lilly Q."}],"issued":{"date-parts":[["2021",12,20]]}}},{"id":42,"uris":["http://zotero.org/users/local/ebPldVBC/items/N4FDNJKC"],"itemData":{"id":42,"type":"report","genre":"Guidance for Industry","language":"en","publisher":"U.S. Food and Drug Administration","source":"Zotero","title":"Non-Inferiority Clinical Trials to Establish Effectiveness","URL":"https://www.fda.gov/media/78504/download","author":[{"literal":"U.S. Food and Drug Administration"}],"accessed":{"date-parts":[["2026",1,5]]},"issued":{"date-parts":[["2016"]]}}}],"schema":"https://github.com/citation-style-language/schema/raw/master/csl-citation.json"} </w:instrText>
      </w:r>
      <w:r w:rsidR="00DA139A">
        <w:fldChar w:fldCharType="separate"/>
      </w:r>
      <w:r w:rsidR="00F11037" w:rsidRPr="00F11037">
        <w:rPr>
          <w:rFonts w:ascii="Aptos" w:hAnsi="Aptos"/>
        </w:rPr>
        <w:t>(7,15)</w:t>
      </w:r>
      <w:r w:rsidR="00DA139A">
        <w:fldChar w:fldCharType="end"/>
      </w:r>
      <w:r w:rsidR="00F25F37" w:rsidRPr="00F25F37">
        <w:t xml:space="preserve">. </w:t>
      </w:r>
      <w:r w:rsidRPr="000E0D50">
        <w:t>The same observed event proportion can produce different confidence bounds depending on the method used, and when the bound lies close to the performance goal, that choice alone may determine whether the device is judged to meet the criterion</w:t>
      </w:r>
      <w:r w:rsidR="00DA139A">
        <w:fldChar w:fldCharType="begin"/>
      </w:r>
      <w:r w:rsidR="00F11037">
        <w:instrText xml:space="preserve"> ADDIN ZOTERO_ITEM CSL_CITATION {"citationID":"wKryaQXx","properties":{"unsorted":false,"formattedCitation":"(7,17)","plainCitation":"(7,17)","noteIndex":0},"citationItems":[{"id":32,"uris":["http://zotero.org/users/local/ebPldVBC/items/7QTQGWQJ"],"itemData":{"id":32,"type":"article-journal","abstract":"Performance goals are numerical target values pertaining to effectiveness or safety endpoints in single-arm medical device clinical studies. Typically,  performance goals are determined at the planning stage of the investigational  study under consideration based on summarized outcome information from existing  relevant clinical trials. In recent years, there is a growing interest in  leveraging real-world evidence in medical product development. In this article,  we introduce a new method for proposing performance goals by leveraging  real-world evidence. The method applies entropy balancing to address possible  patient dissimilarities between the study's target patient population and  existing real-world patients, and can take into account operation differences  between clinical studies and real-world clinical practice. An illustrative  example is provided to demonstrate how to implement the proposed method for  performance goal determination while leveraging real-world evidence.","container-title":"Statistics in medicine","DOI":"10.1002/sim.9199","ISSN":"1097-0258 0277-6715","issue":"29","journalAbbreviation":"Stat Med","language":"eng","license":"© 2021 John Wiley &amp; Sons Ltd.","page":"6577-6589","PMID":"34561895","publisher-place":"England","title":"Leveraging real-world evidence for determining performance goals for medical device studies.","volume":"40","author":[{"family":"Wang","given":"Chenguang"},{"family":"Rosner","given":"Gary L."},{"family":"Bao","given":"Tingting"},{"family":"Lu","given":"Nelson"},{"family":"Chen","given":"Wei-Chen"},{"family":"Li","given":"Heng"},{"family":"Tiwari","given":"Ram"},{"family":"Xu","given":"Yunling"},{"family":"Yue","given":"Lilly Q."}],"issued":{"date-parts":[["2021",12,20]]}}},{"id":43,"uris":["http://zotero.org/users/local/ebPldVBC/items/H9KC5ZVH"],"itemData":{"id":43,"type":"article-journal","abstract":"[We revisit the problem of interval estimation of a binomial proportion. The erratic behavior of the coverage probability of the standard Wald confidence interval has previously been remarked on in the literature (Blyth and Still, Agresti and Coull, Santner and others). We begin by showing that the chaotic coverage properties of the Wald interval are far more persistent than is appreciated. Furthermore, common textbook prescriptions regarding its safety are misleading and defective in several respects and cannot be trusted. This leads us to consideration of alternative intervals. A number of natural alternatives are presented, each with its motivation and context. Each interval is examined for its coverage probability and its length. Based on this analysis, we recommend the Wilson interval or the equal-tailed Jeffreys prior interval for small n and the interval suggested in Agresti and Coull for larger n. We also provide an additional frequentist justification for use of the Jeffreys interval.]","archive":"JSTOR","container-title":"Statistical Science","ISSN":"08834237, 21688745","issue":"2","page":"101-117","publisher":"Institute of Mathematical Statistics","title":"Interval Estimation for a Binomial Proportion","volume":"16","author":[{"family":"Brown","given":"Lawrence D."},{"family":"Cai","given":"T. Tony"},{"family":"DasGupta","given":"Anirban"}],"issued":{"date-parts":[["2001"]]}}}],"schema":"https://github.com/citation-style-language/schema/raw/master/csl-citation.json"} </w:instrText>
      </w:r>
      <w:r w:rsidR="00DA139A">
        <w:fldChar w:fldCharType="separate"/>
      </w:r>
      <w:r w:rsidR="00F11037" w:rsidRPr="00F11037">
        <w:rPr>
          <w:rFonts w:ascii="Aptos" w:hAnsi="Aptos"/>
        </w:rPr>
        <w:t>(7,17)</w:t>
      </w:r>
      <w:r w:rsidR="00DA139A">
        <w:fldChar w:fldCharType="end"/>
      </w:r>
      <w:r w:rsidR="00F25F37" w:rsidRPr="00F25F37">
        <w:t xml:space="preserve">. </w:t>
      </w:r>
      <w:r>
        <w:t>T</w:t>
      </w:r>
      <w:r w:rsidRPr="000E0D50">
        <w:t>his dependence motivates the comparison of confidence interval methods in Section 2.3 and the simulation study in Section 4.1.</w:t>
      </w:r>
      <w:r w:rsidR="004373F2" w:rsidRPr="004373F2">
        <w:t xml:space="preserve"> </w:t>
      </w:r>
      <w:r w:rsidR="00DA139A">
        <w:fldChar w:fldCharType="begin"/>
      </w:r>
      <w:r w:rsidR="00F11037">
        <w:instrText xml:space="preserve"> ADDIN ZOTERO_ITEM CSL_CITATION {"citationID":"z7EMUbMT","properties":{"unsorted":false,"formattedCitation":"(1,7,17)","plainCitation":"(1,7,17)","noteIndex":0},"citationItems":[{"id":5,"uris":["http://zotero.org/users/local/ebPldVBC/items/GSP4TB2M"],"itemData":{"id":5,"type":"article-journal","abstract":"Non-inferiority trials test whether a new product is not unacceptably worse than a product already in use. This paper introduces concepts related to non-inferiority, and discusses the regulatory views of both the European Medicines Agency and the United States Food and Drug Administration.","container-title":"Trials","DOI":"10.1186/1745-6215-12-106","ISSN":"1745-6215","issue":"1","journalAbbreviation":"Trials","page":"106","title":"Through the looking glass: understanding non-inferiority","volume":"12","author":[{"family":"Schumi","given":"Jennifer"},{"family":"Wittes","given":"Janet T."}],"issued":{"date-parts":[["2011",5,3]]}}},{"id":32,"uris":["http://zotero.org/users/local/ebPldVBC/items/7QTQGWQJ"],"itemData":{"id":32,"type":"article-journal","abstract":"Performance goals are numerical target values pertaining to effectiveness or safety endpoints in single-arm medical device clinical studies. Typically,  performance goals are determined at the planning stage of the investigational  study under consideration based on summarized outcome information from existing  relevant clinical trials. In recent years, there is a growing interest in  leveraging real-world evidence in medical product development. In this article,  we introduce a new method for proposing performance goals by leveraging  real-world evidence. The method applies entropy balancing to address possible  patient dissimilarities between the study's target patient population and  existing real-world patients, and can take into account operation differences  between clinical studies and real-world clinical practice. An illustrative  example is provided to demonstrate how to implement the proposed method for  performance goal determination while leveraging real-world evidence.","container-title":"Statistics in medicine","DOI":"10.1002/sim.9199","ISSN":"1097-0258 0277-6715","issue":"29","journalAbbreviation":"Stat Med","language":"eng","license":"© 2021 John Wiley &amp; Sons Ltd.","page":"6577-6589","PMID":"34561895","publisher-place":"England","title":"Leveraging real-world evidence for determining performance goals for medical device studies.","volume":"40","author":[{"family":"Wang","given":"Chenguang"},{"family":"Rosner","given":"Gary L."},{"family":"Bao","given":"Tingting"},{"family":"Lu","given":"Nelson"},{"family":"Chen","given":"Wei-Chen"},{"family":"Li","given":"Heng"},{"family":"Tiwari","given":"Ram"},{"family":"Xu","given":"Yunling"},{"family":"Yue","given":"Lilly Q."}],"issued":{"date-parts":[["2021",12,20]]}}},{"id":43,"uris":["http://zotero.org/users/local/ebPldVBC/items/H9KC5ZVH"],"itemData":{"id":43,"type":"article-journal","abstract":"[We revisit the problem of interval estimation of a binomial proportion. The erratic behavior of the coverage probability of the standard Wald confidence interval has previously been remarked on in the literature (Blyth and Still, Agresti and Coull, Santner and others). We begin by showing that the chaotic coverage properties of the Wald interval are far more persistent than is appreciated. Furthermore, common textbook prescriptions regarding its safety are misleading and defective in several respects and cannot be trusted. This leads us to consideration of alternative intervals. A number of natural alternatives are presented, each with its motivation and context. Each interval is examined for its coverage probability and its length. Based on this analysis, we recommend the Wilson interval or the equal-tailed Jeffreys prior interval for small n and the interval suggested in Agresti and Coull for larger n. We also provide an additional frequentist justification for use of the Jeffreys interval.]","archive":"JSTOR","container-title":"Statistical Science","ISSN":"08834237, 21688745","issue":"2","page":"101-117","publisher":"Institute of Mathematical Statistics","title":"Interval Estimation for a Binomial Proportion","volume":"16","author":[{"family":"Brown","given":"Lawrence D."},{"family":"Cai","given":"T. Tony"},{"family":"DasGupta","given":"Anirban"}],"issued":{"date-parts":[["2001"]]}}}],"schema":"https://github.com/citation-style-language/schema/raw/master/csl-citation.json"} </w:instrText>
      </w:r>
      <w:r w:rsidR="00DA139A">
        <w:fldChar w:fldCharType="separate"/>
      </w:r>
      <w:r w:rsidR="00F11037" w:rsidRPr="00F11037">
        <w:rPr>
          <w:rFonts w:ascii="Aptos" w:hAnsi="Aptos"/>
        </w:rPr>
        <w:t>(1,7,17)</w:t>
      </w:r>
      <w:r w:rsidR="00DA139A">
        <w:fldChar w:fldCharType="end"/>
      </w:r>
      <w:r w:rsidR="00F25F37" w:rsidRPr="00F25F37">
        <w:t>.</w:t>
      </w:r>
    </w:p>
    <w:p w14:paraId="2047695A" w14:textId="77777777" w:rsidR="004A3582" w:rsidRPr="004A3582" w:rsidRDefault="004A3582" w:rsidP="004A3582">
      <w:pPr>
        <w:spacing w:line="276" w:lineRule="auto"/>
      </w:pPr>
    </w:p>
    <w:p w14:paraId="5077E41E" w14:textId="5715A3AB" w:rsidR="00DA6817" w:rsidRDefault="00FE2CFF" w:rsidP="00C56E74">
      <w:pPr>
        <w:pStyle w:val="Heading2"/>
      </w:pPr>
      <w:bookmarkStart w:id="16" w:name="_Toc232114697"/>
      <w:r>
        <w:lastRenderedPageBreak/>
        <w:t xml:space="preserve">2.3 </w:t>
      </w:r>
      <w:r w:rsidR="00DA6817" w:rsidRPr="00DA6817">
        <w:t>Confidence Intervals for Proportions</w:t>
      </w:r>
      <w:bookmarkEnd w:id="16"/>
    </w:p>
    <w:p w14:paraId="1ADB0A1D" w14:textId="63B77B03" w:rsidR="00F4661D" w:rsidRDefault="00F4661D" w:rsidP="00F4661D">
      <w:pPr>
        <w:spacing w:line="276" w:lineRule="auto"/>
      </w:pPr>
      <w:r w:rsidRPr="00F4661D">
        <w:t>In single-arm performance goal studies with binary endpoints, the primary analysis is based on an observed event proportion</w:t>
      </w:r>
      <w:r w:rsidR="00572B8A">
        <w:fldChar w:fldCharType="begin"/>
      </w:r>
      <w:r w:rsidR="00572B8A">
        <w:instrText xml:space="preserve"> ADDIN ZOTERO_ITEM CSL_CITATION {"citationID":"wiG3BHS0","properties":{"unsorted":false,"formattedCitation":"(7,8)","plainCitation":"(7,8)","noteIndex":0},"citationItems":[{"id":32,"uris":["http://zotero.org/users/local/ebPldVBC/items/7QTQGWQJ"],"itemData":{"id":32,"type":"article-journal","abstract":"Performance goals are numerical target values pertaining to effectiveness or safety endpoints in single-arm medical device clinical studies. Typically,  performance goals are determined at the planning stage of the investigational  study under consideration based on summarized outcome information from existing  relevant clinical trials. In recent years, there is a growing interest in  leveraging real-world evidence in medical product development. In this article,  we introduce a new method for proposing performance goals by leveraging  real-world evidence. The method applies entropy balancing to address possible  patient dissimilarities between the study's target patient population and  existing real-world patients, and can take into account operation differences  between clinical studies and real-world clinical practice. An illustrative  example is provided to demonstrate how to implement the proposed method for  performance goal determination while leveraging real-world evidence.","container-title":"Statistics in medicine","DOI":"10.1002/sim.9199","ISSN":"1097-0258 0277-6715","issue":"29","journalAbbreviation":"Stat Med","language":"eng","license":"© 2021 John Wiley &amp; Sons Ltd.","page":"6577-6589","PMID":"34561895","publisher-place":"England","title":"Leveraging real-world evidence for determining performance goals for medical device studies.","volume":"40","author":[{"family":"Wang","given":"Chenguang"},{"family":"Rosner","given":"Gary L."},{"family":"Bao","given":"Tingting"},{"family":"Lu","given":"Nelson"},{"family":"Chen","given":"Wei-Chen"},{"family":"Li","given":"Heng"},{"family":"Tiwari","given":"Ram"},{"family":"Xu","given":"Yunling"},{"family":"Yue","given":"Lilly Q."}],"issued":{"date-parts":[["2021",12,20]]}}},{"id":20,"uris":["http://zotero.org/users/local/ebPldVBC/items/4GQAW2H3"],"itemData":{"id":20,"type":"article-journal","abstract":"Although randomised controlled trials are considered the gold standard in clinical research, they are not always feasible due to limitations in the study  population, challenges in obtaining evidence, high costs and ethical  considerations. As a result, single-arm trial designs have emerged as one of the  methods to address these issues. Single-arm trials are commonly applied to study  advanced-stage cancer, rare diseases, emerging infectious diseases, new treatment  methods and medical devices. Single-arm trials have certain ethical advantages  over randomised controlled trials, such as providing equitable treatment,  respecting patient preferences, addressing rare diseases and timely management of  adverse events. While single-arm trials do not adhere to the principles of  randomisation and blinding in terms of scientific rigour, they still incorporate  principles of control, balance and replication, making the design scientifically  reasonable. Compared with randomised controlled trials, single-arm trials require  fewer sample sizes and have shorter trial durations, which can help save costs.  Compared with cohort studies, single-arm trials involve intervention measures and  reduce external interference, resulting in higher levels of evidence. However,  single-arm trials also have limitations. Without a parallel control group, there  may be biases in interpreting the results. In addition, single-arm trials cannot  meet the requirements of randomisation and blinding, thereby limiting their  evidence capacity compared with randomised controlled trials. Therefore,  researchers consider using single-arm trials as a trial design method only when  randomised controlled trials are not feasible.","container-title":"BMJ supportive &amp; palliative care","DOI":"10.1136/spcare-2024-004984","ISSN":"2045-4368 2045-435X","issue":"1","journalAbbreviation":"BMJ Support Palliat Care","language":"eng","license":"© Author(s) (or their employer(s)) 2025. Re-use permitted under CC BY-NC. No commercial re-use. See rights and permissions. Published by BMJ Group.","page":"46-54","PMID":"38834238","PMCID":"PMC11874317","publisher-place":"England","title":"Single-arm clinical trials: design, ethics, principles.","volume":"15","author":[{"family":"Wang","given":"Minyan"},{"family":"Ma","given":"Huan"},{"family":"Shi","given":"Yun"},{"family":"Ni","given":"Haojie"},{"family":"Qin","given":"Chu"},{"family":"Ji","given":"Conghua"}],"issued":{"date-parts":[["2024",12,25]]}}}],"schema":"https://github.com/citation-style-language/schema/raw/master/csl-citation.json"} </w:instrText>
      </w:r>
      <w:r w:rsidR="00572B8A">
        <w:fldChar w:fldCharType="separate"/>
      </w:r>
      <w:r w:rsidR="00572B8A" w:rsidRPr="00572B8A">
        <w:rPr>
          <w:rFonts w:ascii="Aptos" w:hAnsi="Aptos"/>
        </w:rPr>
        <w:t>(7,8)</w:t>
      </w:r>
      <w:r w:rsidR="00572B8A">
        <w:fldChar w:fldCharType="end"/>
      </w:r>
      <w:r w:rsidR="00F04ED2" w:rsidRPr="00F04ED2">
        <w:t xml:space="preserve">. </w:t>
      </w:r>
      <w:r w:rsidRPr="00F4661D">
        <w:t xml:space="preserve">If </w:t>
      </w:r>
      <m:oMath>
        <m:r>
          <w:rPr>
            <w:rFonts w:ascii="Cambria Math" w:hAnsi="Cambria Math"/>
          </w:rPr>
          <m:t>X</m:t>
        </m:r>
      </m:oMath>
      <w:r w:rsidR="00161628">
        <w:rPr>
          <w:rFonts w:eastAsiaTheme="minorEastAsia"/>
        </w:rPr>
        <w:t xml:space="preserve"> </w:t>
      </w:r>
      <w:r w:rsidRPr="00F4661D">
        <w:t xml:space="preserve">patients experience the outcome of interest out of </w:t>
      </w:r>
      <m:oMath>
        <m:r>
          <w:rPr>
            <w:rFonts w:ascii="Cambria Math" w:hAnsi="Cambria Math"/>
          </w:rPr>
          <m:t>n</m:t>
        </m:r>
      </m:oMath>
      <w:r w:rsidR="00161628">
        <w:rPr>
          <w:rFonts w:eastAsiaTheme="minorEastAsia"/>
        </w:rPr>
        <w:t xml:space="preserve"> </w:t>
      </w:r>
      <w:r w:rsidRPr="00F4661D">
        <w:t>patients, the observed sample proportion i</w:t>
      </w:r>
      <w:r>
        <w:t>s:</w:t>
      </w:r>
    </w:p>
    <w:p w14:paraId="72D96ECE" w14:textId="4784669F" w:rsidR="00F04ED2" w:rsidRPr="00F04ED2" w:rsidRDefault="00000000" w:rsidP="00F4661D">
      <w:pPr>
        <w:spacing w:line="276" w:lineRule="auto"/>
      </w:pPr>
      <m:oMathPara>
        <m:oMath>
          <m:acc>
            <m:accPr>
              <m:ctrlPr>
                <w:rPr>
                  <w:rFonts w:ascii="Cambria Math" w:hAnsi="Cambria Math"/>
                </w:rPr>
              </m:ctrlPr>
            </m:accPr>
            <m:e>
              <m:r>
                <w:rPr>
                  <w:rFonts w:ascii="Cambria Math" w:hAnsi="Cambria Math"/>
                </w:rPr>
                <m:t>p</m:t>
              </m:r>
            </m:e>
          </m:acc>
          <m:r>
            <w:rPr>
              <w:rFonts w:ascii="Cambria Math" w:hAnsi="Cambria Math"/>
            </w:rPr>
            <m:t>=</m:t>
          </m:r>
          <m:f>
            <m:fPr>
              <m:ctrlPr>
                <w:rPr>
                  <w:rFonts w:ascii="Cambria Math" w:hAnsi="Cambria Math"/>
                </w:rPr>
              </m:ctrlPr>
            </m:fPr>
            <m:num>
              <m:r>
                <w:rPr>
                  <w:rFonts w:ascii="Cambria Math" w:hAnsi="Cambria Math"/>
                </w:rPr>
                <m:t>X</m:t>
              </m:r>
            </m:num>
            <m:den>
              <m:r>
                <w:rPr>
                  <w:rFonts w:ascii="Cambria Math" w:hAnsi="Cambria Math"/>
                </w:rPr>
                <m:t>n</m:t>
              </m:r>
            </m:den>
          </m:f>
          <m:r>
            <w:rPr>
              <w:rFonts w:ascii="Cambria Math" w:hAnsi="Cambria Math"/>
            </w:rPr>
            <m:t>,  X∼</m:t>
          </m:r>
          <m:r>
            <m:rPr>
              <m:nor/>
            </m:rPr>
            <m:t>Binomial</m:t>
          </m:r>
          <m:r>
            <w:rPr>
              <w:rFonts w:ascii="Cambria Math" w:hAnsi="Cambria Math"/>
            </w:rPr>
            <m:t>(n,p)</m:t>
          </m:r>
          <m:r>
            <m:rPr>
              <m:sty m:val="p"/>
            </m:rPr>
            <w:br/>
          </m:r>
        </m:oMath>
      </m:oMathPara>
    </w:p>
    <w:p w14:paraId="7772DE10" w14:textId="018455C1" w:rsidR="00F04ED2" w:rsidRPr="00F04ED2" w:rsidRDefault="00F4661D" w:rsidP="00F04ED2">
      <w:pPr>
        <w:spacing w:line="276" w:lineRule="auto"/>
      </w:pPr>
      <w:r w:rsidRPr="00F4661D">
        <w:t xml:space="preserve">where </w:t>
      </w:r>
      <m:oMath>
        <m:r>
          <w:rPr>
            <w:rFonts w:ascii="Cambria Math" w:hAnsi="Cambria Math"/>
          </w:rPr>
          <m:t>p</m:t>
        </m:r>
      </m:oMath>
      <w:r>
        <w:rPr>
          <w:rFonts w:eastAsiaTheme="minorEastAsia"/>
        </w:rPr>
        <w:t xml:space="preserve"> </w:t>
      </w:r>
      <w:r w:rsidRPr="00F4661D">
        <w:t>is the true underlying event probability. In this setting the confidence interval is not merely a descriptive summary</w:t>
      </w:r>
      <w:r w:rsidR="00216609">
        <w:t>,</w:t>
      </w:r>
      <w:r w:rsidRPr="00F4661D">
        <w:t xml:space="preserve"> it forms part of the formal decision rule, and different methods applied to the same data can produce different conclusions, particularly at small sample sizes or extreme proportions</w:t>
      </w:r>
      <w:r w:rsidR="00DF40C8">
        <w:fldChar w:fldCharType="begin"/>
      </w:r>
      <w:r w:rsidR="00DF40C8">
        <w:instrText xml:space="preserve"> ADDIN ZOTERO_ITEM CSL_CITATION {"citationID":"PUNXQq1g","properties":{"unsorted":false,"formattedCitation":"(17,18)","plainCitation":"(17,18)","noteIndex":0},"citationItems":[{"id":43,"uris":["http://zotero.org/users/local/ebPldVBC/items/H9KC5ZVH"],"itemData":{"id":43,"type":"article-journal","abstract":"[We revisit the problem of interval estimation of a binomial proportion. The erratic behavior of the coverage probability of the standard Wald confidence interval has previously been remarked on in the literature (Blyth and Still, Agresti and Coull, Santner and others). We begin by showing that the chaotic coverage properties of the Wald interval are far more persistent than is appreciated. Furthermore, common textbook prescriptions regarding its safety are misleading and defective in several respects and cannot be trusted. This leads us to consideration of alternative intervals. A number of natural alternatives are presented, each with its motivation and context. Each interval is examined for its coverage probability and its length. Based on this analysis, we recommend the Wilson interval or the equal-tailed Jeffreys prior interval for small n and the interval suggested in Agresti and Coull for larger n. We also provide an additional frequentist justification for use of the Jeffreys interval.]","archive":"JSTOR","container-title":"Statistical Science","ISSN":"08834237, 21688745","issue":"2","page":"101-117","publisher":"Institute of Mathematical Statistics","title":"Interval Estimation for a Binomial Proportion","volume":"16","author":[{"family":"Brown","given":"Lawrence D."},{"family":"Cai","given":"T. Tony"},{"family":"DasGupta","given":"Anirban"}],"issued":{"date-parts":[["2001"]]}}},{"id":46,"uris":["http://zotero.org/users/local/ebPldVBC/items/RBXEHUWE"],"itemData":{"id":46,"type":"book","ISBN":"1-118-71094-0","publisher":"John Wiley &amp; Sons","title":"Categorical data analysis","author":[{"family":"Agresti","given":"Alan"}],"issued":{"date-parts":[["2013"]]}}}],"schema":"https://github.com/citation-style-language/schema/raw/master/csl-citation.json"} </w:instrText>
      </w:r>
      <w:r w:rsidR="00DF40C8">
        <w:fldChar w:fldCharType="separate"/>
      </w:r>
      <w:r w:rsidR="00DF40C8" w:rsidRPr="00DF40C8">
        <w:rPr>
          <w:rFonts w:ascii="Aptos" w:hAnsi="Aptos"/>
        </w:rPr>
        <w:t>(17,18)</w:t>
      </w:r>
      <w:r w:rsidR="00DF40C8">
        <w:fldChar w:fldCharType="end"/>
      </w:r>
      <w:r w:rsidR="00F04ED2" w:rsidRPr="00F04ED2">
        <w:t>.</w:t>
      </w:r>
    </w:p>
    <w:p w14:paraId="0CBE0187" w14:textId="01BD9411" w:rsidR="00F04ED2" w:rsidRDefault="00F4661D" w:rsidP="00F04ED2">
      <w:pPr>
        <w:spacing w:line="276" w:lineRule="auto"/>
      </w:pPr>
      <w:r w:rsidRPr="00F4661D">
        <w:t xml:space="preserve">Six methods are compared in this study. The </w:t>
      </w:r>
      <w:r w:rsidRPr="00D37C48">
        <w:t>Wald interval</w:t>
      </w:r>
      <w:r w:rsidRPr="00F4661D">
        <w:t xml:space="preserve"> is the simplest, based on a normal approximation to the sampling distribution of </w:t>
      </w:r>
      <m:oMath>
        <m:acc>
          <m:accPr>
            <m:ctrlPr>
              <w:rPr>
                <w:rFonts w:ascii="Cambria Math" w:hAnsi="Cambria Math"/>
              </w:rPr>
            </m:ctrlPr>
          </m:accPr>
          <m:e>
            <m:r>
              <w:rPr>
                <w:rFonts w:ascii="Cambria Math" w:hAnsi="Cambria Math"/>
              </w:rPr>
              <m:t>p</m:t>
            </m:r>
          </m:e>
        </m:acc>
        <m:r>
          <w:rPr>
            <w:rFonts w:ascii="Cambria Math" w:hAnsi="Cambria Math"/>
            <w:i/>
          </w:rPr>
          <w:fldChar w:fldCharType="begin"/>
        </m:r>
        <m:r>
          <m:rPr>
            <m:sty m:val="p"/>
          </m:rPr>
          <w:rPr>
            <w:rFonts w:ascii="Cambria Math" w:hAnsi="Cambria Math"/>
          </w:rPr>
          <m:t xml:space="preserve"> ADDIN ZOTERO_ITEM CSL_CITATION {"citationID":"cseJaeL9","properties":{"unsorted":false,"formattedCitation":"(17,18)","plainCitation":"(17,18)","noteIndex":0},"citationItems":[{"id":43,"uris":["http://zotero.org/users/local/ebPldVBC/items/H9KC5ZVH"],"itemData":{"id":43,"type":"article-journal","abstract":"[We revisit the problem of interval estimation of a binomial proportion. The erratic behavior of the coverage probability of the standard Wald confidence interval has previously been remarked on in the literature (Blyth and Still, Agresti and Coull, Santner and others). We begin by showing that the chaotic coverage properties of the Wald interval are far more persistent than is appreciated. Furthermore, common textbook prescriptions regarding its safety are misleading and defective in several respects and cannot be trusted. This leads us to consideration of alternative intervals. A number of natural alternatives are presented, each with its motivation and context. Each interval is examined for its coverage probability and its length. Based on this analysis, we recommend the Wilson interval or the equal-tailed Jeffreys prior interval for small n and the interval suggested in Agresti and Coull for larger n. We also provide an additional frequentist justification for use of the Jeffreys interval.]","archive":"JSTOR","container-title":"Statistical Science","ISSN":"08834237, 21688745","issue":"2","page":"101-117","publisher":"Institute of Mathematical Statistics","title":"Interval Estimation for a Binomial Proportion","volume":"16","author":[{"family":"Brown","given":"Lawrence D."},{"family":"Cai","given":"T. Tony"},{"family":"DasGupta","given":"Anirban"}],"issued":{"date-parts":[["2001"]]}}},{"id":46,"uris":["http://zotero.org/users/local/ebPldVBC/items/RBXEHUWE"],"itemData":{"id":46,"type":"book","ISBN":"1-118-71094-0","publisher":"John Wiley &amp; Sons","title":"Categorical data analysis","author":[{"family":"Agresti","given":"Alan"}],"issued":{"date-parts":[["2013"]]}}}],"schema":"https://github.com/citation-style-language/schema/raw/master/csl-citation.json"} </m:t>
        </m:r>
        <m:r>
          <w:rPr>
            <w:rFonts w:ascii="Cambria Math" w:hAnsi="Cambria Math"/>
            <w:i/>
          </w:rPr>
          <w:fldChar w:fldCharType="separate"/>
        </m:r>
        <m:r>
          <m:rPr>
            <m:sty m:val="p"/>
          </m:rPr>
          <w:rPr>
            <w:rFonts w:ascii="Cambria Math" w:hAnsi="Cambria Math"/>
          </w:rPr>
          <m:t>(17,18)</m:t>
        </m:r>
        <m:r>
          <w:rPr>
            <w:rFonts w:ascii="Cambria Math" w:hAnsi="Cambria Math"/>
            <w:i/>
          </w:rPr>
          <w:fldChar w:fldCharType="end"/>
        </m:r>
      </m:oMath>
      <w:r w:rsidR="00F04ED2" w:rsidRPr="00F04ED2">
        <w:t>:</w:t>
      </w:r>
    </w:p>
    <w:p w14:paraId="2209F18F" w14:textId="77777777" w:rsidR="00F04ED2" w:rsidRPr="00F04ED2" w:rsidRDefault="00F04ED2" w:rsidP="00F04ED2">
      <w:pPr>
        <w:spacing w:line="276" w:lineRule="auto"/>
        <w:ind w:firstLine="360"/>
      </w:pPr>
    </w:p>
    <w:p w14:paraId="704D594E" w14:textId="216C4E6E" w:rsidR="00F04ED2" w:rsidRPr="00F04ED2" w:rsidRDefault="00000000" w:rsidP="00F04ED2">
      <w:pPr>
        <w:spacing w:line="276" w:lineRule="auto"/>
        <w:ind w:firstLine="360"/>
      </w:pPr>
      <m:oMathPara>
        <m:oMath>
          <m:acc>
            <m:accPr>
              <m:ctrlPr>
                <w:rPr>
                  <w:rFonts w:ascii="Cambria Math" w:hAnsi="Cambria Math"/>
                </w:rPr>
              </m:ctrlPr>
            </m:accPr>
            <m:e>
              <m:r>
                <w:rPr>
                  <w:rFonts w:ascii="Cambria Math" w:hAnsi="Cambria Math"/>
                </w:rPr>
                <m:t>p</m:t>
              </m:r>
            </m:e>
          </m:acc>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1-α</m:t>
              </m:r>
              <m:r>
                <m:rPr>
                  <m:sty m:val="p"/>
                </m:rPr>
                <w:rPr>
                  <w:rFonts w:ascii="Cambria Math" w:hAnsi="Cambria Math"/>
                </w:rPr>
                <m:t>/</m:t>
              </m:r>
              <m:r>
                <w:rPr>
                  <w:rFonts w:ascii="Cambria Math" w:hAnsi="Cambria Math"/>
                </w:rPr>
                <m:t>2</m:t>
              </m:r>
            </m:sub>
          </m:sSub>
          <m:rad>
            <m:radPr>
              <m:degHide m:val="1"/>
              <m:ctrlPr>
                <w:rPr>
                  <w:rFonts w:ascii="Cambria Math" w:hAnsi="Cambria Math"/>
                </w:rPr>
              </m:ctrlPr>
            </m:radPr>
            <m:deg/>
            <m:e>
              <m:f>
                <m:fPr>
                  <m:ctrlPr>
                    <w:rPr>
                      <w:rFonts w:ascii="Cambria Math" w:hAnsi="Cambria Math"/>
                    </w:rPr>
                  </m:ctrlPr>
                </m:fPr>
                <m:num>
                  <m:acc>
                    <m:accPr>
                      <m:ctrlPr>
                        <w:rPr>
                          <w:rFonts w:ascii="Cambria Math" w:hAnsi="Cambria Math"/>
                        </w:rPr>
                      </m:ctrlPr>
                    </m:accPr>
                    <m:e>
                      <m:r>
                        <w:rPr>
                          <w:rFonts w:ascii="Cambria Math" w:hAnsi="Cambria Math"/>
                        </w:rPr>
                        <m:t>p</m:t>
                      </m:r>
                    </m:e>
                  </m:acc>
                  <m:r>
                    <w:rPr>
                      <w:rFonts w:ascii="Cambria Math" w:hAnsi="Cambria Math"/>
                    </w:rPr>
                    <m:t>(1-</m:t>
                  </m:r>
                  <m:acc>
                    <m:accPr>
                      <m:ctrlPr>
                        <w:rPr>
                          <w:rFonts w:ascii="Cambria Math" w:hAnsi="Cambria Math"/>
                        </w:rPr>
                      </m:ctrlPr>
                    </m:accPr>
                    <m:e>
                      <m:r>
                        <w:rPr>
                          <w:rFonts w:ascii="Cambria Math" w:hAnsi="Cambria Math"/>
                        </w:rPr>
                        <m:t>p</m:t>
                      </m:r>
                    </m:e>
                  </m:acc>
                  <m:r>
                    <w:rPr>
                      <w:rFonts w:ascii="Cambria Math" w:hAnsi="Cambria Math"/>
                    </w:rPr>
                    <m:t>)</m:t>
                  </m:r>
                </m:num>
                <m:den>
                  <m:r>
                    <w:rPr>
                      <w:rFonts w:ascii="Cambria Math" w:hAnsi="Cambria Math"/>
                    </w:rPr>
                    <m:t>n</m:t>
                  </m:r>
                </m:den>
              </m:f>
            </m:e>
          </m:rad>
          <m:r>
            <m:rPr>
              <m:sty m:val="p"/>
            </m:rPr>
            <w:br/>
          </m:r>
        </m:oMath>
      </m:oMathPara>
    </w:p>
    <w:p w14:paraId="6267E731" w14:textId="392ED098" w:rsidR="00F04ED2" w:rsidRPr="00F04ED2" w:rsidRDefault="00F4661D" w:rsidP="00F04ED2">
      <w:pPr>
        <w:spacing w:line="276" w:lineRule="auto"/>
      </w:pPr>
      <w:r w:rsidRPr="00F4661D">
        <w:t xml:space="preserve">It is included primarily as a reference, as it is known to perform poorly near the boundaries of 0 and 1 and can produce limits outside </w:t>
      </w:r>
      <m:oMath>
        <m:d>
          <m:dPr>
            <m:begChr m:val="["/>
            <m:sepChr m:val=","/>
            <m:endChr m:val="]"/>
            <m:ctrlPr>
              <w:rPr>
                <w:rFonts w:ascii="Cambria Math" w:hAnsi="Cambria Math"/>
              </w:rPr>
            </m:ctrlPr>
          </m:dPr>
          <m:e>
            <m:r>
              <w:rPr>
                <w:rFonts w:ascii="Cambria Math" w:hAnsi="Cambria Math"/>
              </w:rPr>
              <m:t>0</m:t>
            </m:r>
          </m:e>
          <m:e>
            <m:r>
              <w:rPr>
                <w:rFonts w:ascii="Cambria Math" w:hAnsi="Cambria Math"/>
              </w:rPr>
              <m:t>1</m:t>
            </m:r>
          </m:e>
        </m:d>
        <m:r>
          <w:rPr>
            <w:rFonts w:ascii="Cambria Math" w:hAnsi="Cambria Math"/>
            <w:i/>
          </w:rPr>
          <w:fldChar w:fldCharType="begin"/>
        </m:r>
        <m:r>
          <w:rPr>
            <w:rFonts w:ascii="Cambria Math" w:hAnsi="Cambria Math"/>
          </w:rPr>
          <m:t xml:space="preserve"> ADDIN ZOTERO_ITEM CSL_CITATION {"citationID":"Hm0lERJZ","properties":{"unsorted":false,"formattedCitation":"(17)","plainCitation":"(17)","noteIndex":0},"citationItems":[{"id":43,"uris":["http://zotero.org/users/local/ebPldVBC/items/H9KC5ZVH"],"itemData":{"id":43,"type":"article-journal","abstract":"[We revisit the problem of interval estimation of a binomial proportion. The erratic behavior of the coverage probability of the standard Wald confidence interval has previously been remarked on in the literature (Blyth and Still, Agresti and Coull, Santner and others). We begin by showing that the chaotic coverage properties of the Wald interval are far more persistent than is appreciated. Furthermore, common textbook prescriptions regarding its safety are misleading and defective in several respects and cannot be trusted. This leads us to consideration of alternative intervals. A number of natural alternatives are presented, each with its motivation and context. Each interval is examined for its coverage probability and its length. Based on this analysis, we recommend the Wilson interval or the equal-tailed Jeffreys prior interval for small n and the interval suggested in Agresti and Coull for larger n. We also provide an additional frequentist justification for use of the Jeffreys interval.]","archive":"JSTOR","container-title":"Statistical Science","ISSN":"08834237, 21688745","issue":"2","page":"101-117","publisher":"Institute of Mathematical Statistics","title":"Interval Estimation for a Binomial Proportion","volume":"16","author":[{"family":"Brown","given":"Lawrence D."},{"family":"Cai","given":"T. Tony"},{"family":"DasGupta","given":"Anirban"}],"issued":{"date-parts":[["2001"]]}}}],"schema":"https://github.com/citation-style-language/schema/raw/master/csl-citation.json"} </m:t>
        </m:r>
        <m:r>
          <w:rPr>
            <w:rFonts w:ascii="Cambria Math" w:hAnsi="Cambria Math"/>
            <w:i/>
          </w:rPr>
          <w:fldChar w:fldCharType="separate"/>
        </m:r>
        <m:r>
          <m:rPr>
            <m:sty m:val="p"/>
          </m:rPr>
          <w:rPr>
            <w:rFonts w:ascii="Cambria Math" w:hAnsi="Cambria Math"/>
          </w:rPr>
          <m:t>(17)</m:t>
        </m:r>
        <m:r>
          <w:rPr>
            <w:rFonts w:ascii="Cambria Math" w:hAnsi="Cambria Math"/>
            <w:i/>
          </w:rPr>
          <w:fldChar w:fldCharType="end"/>
        </m:r>
      </m:oMath>
      <w:r w:rsidR="00F04ED2" w:rsidRPr="00F04ED2">
        <w:t xml:space="preserve">. </w:t>
      </w:r>
    </w:p>
    <w:p w14:paraId="471D2555" w14:textId="04F84EA8" w:rsidR="00F04ED2" w:rsidRDefault="00F4661D" w:rsidP="00F04ED2">
      <w:pPr>
        <w:spacing w:line="276" w:lineRule="auto"/>
      </w:pPr>
      <w:r w:rsidRPr="00305DE4">
        <w:t>The Wilson Score interval improves</w:t>
      </w:r>
      <w:r w:rsidRPr="00F4661D">
        <w:t xml:space="preserve"> on the Wald interval by inverting the score test rather than approximating the sampling distribution directly</w:t>
      </w:r>
      <w:r w:rsidR="00DF40C8">
        <w:fldChar w:fldCharType="begin"/>
      </w:r>
      <w:r w:rsidR="00DF40C8">
        <w:instrText xml:space="preserve"> ADDIN ZOTERO_ITEM CSL_CITATION {"citationID":"UvBBkILV","properties":{"unsorted":false,"formattedCitation":"(17)","plainCitation":"(17)","noteIndex":0},"citationItems":[{"id":43,"uris":["http://zotero.org/users/local/ebPldVBC/items/H9KC5ZVH"],"itemData":{"id":43,"type":"article-journal","abstract":"[We revisit the problem of interval estimation of a binomial proportion. The erratic behavior of the coverage probability of the standard Wald confidence interval has previously been remarked on in the literature (Blyth and Still, Agresti and Coull, Santner and others). We begin by showing that the chaotic coverage properties of the Wald interval are far more persistent than is appreciated. Furthermore, common textbook prescriptions regarding its safety are misleading and defective in several respects and cannot be trusted. This leads us to consideration of alternative intervals. A number of natural alternatives are presented, each with its motivation and context. Each interval is examined for its coverage probability and its length. Based on this analysis, we recommend the Wilson interval or the equal-tailed Jeffreys prior interval for small n and the interval suggested in Agresti and Coull for larger n. We also provide an additional frequentist justification for use of the Jeffreys interval.]","archive":"JSTOR","container-title":"Statistical Science","ISSN":"08834237, 21688745","issue":"2","page":"101-117","publisher":"Institute of Mathematical Statistics","title":"Interval Estimation for a Binomial Proportion","volume":"16","author":[{"family":"Brown","given":"Lawrence D."},{"family":"Cai","given":"T. Tony"},{"family":"DasGupta","given":"Anirban"}],"issued":{"date-parts":[["2001"]]}}}],"schema":"https://github.com/citation-style-language/schema/raw/master/csl-citation.json"} </w:instrText>
      </w:r>
      <w:r w:rsidR="00DF40C8">
        <w:fldChar w:fldCharType="separate"/>
      </w:r>
      <w:r w:rsidR="00DF40C8" w:rsidRPr="00DF40C8">
        <w:rPr>
          <w:rFonts w:ascii="Aptos" w:hAnsi="Aptos"/>
        </w:rPr>
        <w:t>(17)</w:t>
      </w:r>
      <w:r w:rsidR="00DF40C8">
        <w:fldChar w:fldCharType="end"/>
      </w:r>
      <w:r>
        <w:t>:</w:t>
      </w:r>
    </w:p>
    <w:p w14:paraId="6C09A4E2" w14:textId="77777777" w:rsidR="00F04ED2" w:rsidRPr="00F04ED2" w:rsidRDefault="00F04ED2" w:rsidP="00F04ED2">
      <w:pPr>
        <w:spacing w:line="276" w:lineRule="auto"/>
        <w:ind w:firstLine="360"/>
      </w:pPr>
    </w:p>
    <w:p w14:paraId="442E0240" w14:textId="3F253AD4" w:rsidR="00F04ED2" w:rsidRPr="00F04ED2" w:rsidRDefault="00000000" w:rsidP="00F04ED2">
      <w:pPr>
        <w:spacing w:line="276" w:lineRule="auto"/>
        <w:ind w:firstLine="360"/>
      </w:pPr>
      <m:oMathPara>
        <m:oMath>
          <m:f>
            <m:fPr>
              <m:ctrlPr>
                <w:rPr>
                  <w:rFonts w:ascii="Cambria Math" w:hAnsi="Cambria Math"/>
                </w:rPr>
              </m:ctrlPr>
            </m:fPr>
            <m:num>
              <m:acc>
                <m:accPr>
                  <m:ctrlPr>
                    <w:rPr>
                      <w:rFonts w:ascii="Cambria Math" w:hAnsi="Cambria Math"/>
                    </w:rPr>
                  </m:ctrlPr>
                </m:accPr>
                <m:e>
                  <m:r>
                    <w:rPr>
                      <w:rFonts w:ascii="Cambria Math" w:hAnsi="Cambria Math"/>
                    </w:rPr>
                    <m:t>p</m:t>
                  </m:r>
                </m:e>
              </m:acc>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z</m:t>
                      </m:r>
                    </m:e>
                    <m:sup>
                      <m:r>
                        <w:rPr>
                          <w:rFonts w:ascii="Cambria Math" w:hAnsi="Cambria Math"/>
                        </w:rPr>
                        <m:t>2</m:t>
                      </m:r>
                    </m:sup>
                  </m:sSup>
                </m:num>
                <m:den>
                  <m:r>
                    <w:rPr>
                      <w:rFonts w:ascii="Cambria Math" w:hAnsi="Cambria Math"/>
                    </w:rPr>
                    <m:t>2n</m:t>
                  </m:r>
                </m:den>
              </m:f>
              <m:r>
                <w:rPr>
                  <w:rFonts w:ascii="Cambria Math" w:hAnsi="Cambria Math"/>
                </w:rPr>
                <m:t>±z</m:t>
              </m:r>
              <m:rad>
                <m:radPr>
                  <m:degHide m:val="1"/>
                  <m:ctrlPr>
                    <w:rPr>
                      <w:rFonts w:ascii="Cambria Math" w:hAnsi="Cambria Math"/>
                    </w:rPr>
                  </m:ctrlPr>
                </m:radPr>
                <m:deg/>
                <m:e>
                  <m:f>
                    <m:fPr>
                      <m:ctrlPr>
                        <w:rPr>
                          <w:rFonts w:ascii="Cambria Math" w:hAnsi="Cambria Math"/>
                        </w:rPr>
                      </m:ctrlPr>
                    </m:fPr>
                    <m:num>
                      <m:acc>
                        <m:accPr>
                          <m:ctrlPr>
                            <w:rPr>
                              <w:rFonts w:ascii="Cambria Math" w:hAnsi="Cambria Math"/>
                            </w:rPr>
                          </m:ctrlPr>
                        </m:accPr>
                        <m:e>
                          <m:r>
                            <w:rPr>
                              <w:rFonts w:ascii="Cambria Math" w:hAnsi="Cambria Math"/>
                            </w:rPr>
                            <m:t>p</m:t>
                          </m:r>
                        </m:e>
                      </m:acc>
                      <m:r>
                        <w:rPr>
                          <w:rFonts w:ascii="Cambria Math" w:hAnsi="Cambria Math"/>
                        </w:rPr>
                        <m:t>(1-</m:t>
                      </m:r>
                      <m:acc>
                        <m:accPr>
                          <m:ctrlPr>
                            <w:rPr>
                              <w:rFonts w:ascii="Cambria Math" w:hAnsi="Cambria Math"/>
                            </w:rPr>
                          </m:ctrlPr>
                        </m:accPr>
                        <m:e>
                          <m:r>
                            <w:rPr>
                              <w:rFonts w:ascii="Cambria Math" w:hAnsi="Cambria Math"/>
                            </w:rPr>
                            <m:t>p</m:t>
                          </m:r>
                        </m:e>
                      </m:acc>
                      <m:r>
                        <w:rPr>
                          <w:rFonts w:ascii="Cambria Math" w:hAnsi="Cambria Math"/>
                        </w:rPr>
                        <m:t>)</m:t>
                      </m:r>
                    </m:num>
                    <m:den>
                      <m:r>
                        <w:rPr>
                          <w:rFonts w:ascii="Cambria Math" w:hAnsi="Cambria Math"/>
                        </w:rPr>
                        <m:t>n</m:t>
                      </m:r>
                    </m:den>
                  </m:f>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z</m:t>
                          </m:r>
                        </m:e>
                        <m:sup>
                          <m:r>
                            <w:rPr>
                              <w:rFonts w:ascii="Cambria Math" w:hAnsi="Cambria Math"/>
                            </w:rPr>
                            <m:t>2</m:t>
                          </m:r>
                        </m:sup>
                      </m:sSup>
                    </m:num>
                    <m:den>
                      <m:r>
                        <w:rPr>
                          <w:rFonts w:ascii="Cambria Math" w:hAnsi="Cambria Math"/>
                        </w:rPr>
                        <m:t>4</m:t>
                      </m:r>
                      <m:sSup>
                        <m:sSupPr>
                          <m:ctrlPr>
                            <w:rPr>
                              <w:rFonts w:ascii="Cambria Math" w:hAnsi="Cambria Math"/>
                            </w:rPr>
                          </m:ctrlPr>
                        </m:sSupPr>
                        <m:e>
                          <m:r>
                            <w:rPr>
                              <w:rFonts w:ascii="Cambria Math" w:hAnsi="Cambria Math"/>
                            </w:rPr>
                            <m:t>n</m:t>
                          </m:r>
                        </m:e>
                        <m:sup>
                          <m:r>
                            <w:rPr>
                              <w:rFonts w:ascii="Cambria Math" w:hAnsi="Cambria Math"/>
                            </w:rPr>
                            <m:t>2</m:t>
                          </m:r>
                        </m:sup>
                      </m:sSup>
                    </m:den>
                  </m:f>
                </m:e>
              </m:rad>
            </m:num>
            <m:den>
              <m:r>
                <w:rPr>
                  <w:rFonts w:ascii="Cambria Math" w:hAnsi="Cambria Math"/>
                </w:rPr>
                <m:t>1+</m:t>
              </m:r>
              <m:f>
                <m:fPr>
                  <m:ctrlPr>
                    <w:rPr>
                      <w:rFonts w:ascii="Cambria Math" w:hAnsi="Cambria Math"/>
                    </w:rPr>
                  </m:ctrlPr>
                </m:fPr>
                <m:num>
                  <m:sSup>
                    <m:sSupPr>
                      <m:ctrlPr>
                        <w:rPr>
                          <w:rFonts w:ascii="Cambria Math" w:hAnsi="Cambria Math"/>
                        </w:rPr>
                      </m:ctrlPr>
                    </m:sSupPr>
                    <m:e>
                      <m:r>
                        <w:rPr>
                          <w:rFonts w:ascii="Cambria Math" w:hAnsi="Cambria Math"/>
                        </w:rPr>
                        <m:t>z</m:t>
                      </m:r>
                    </m:e>
                    <m:sup>
                      <m:r>
                        <w:rPr>
                          <w:rFonts w:ascii="Cambria Math" w:hAnsi="Cambria Math"/>
                        </w:rPr>
                        <m:t>2</m:t>
                      </m:r>
                    </m:sup>
                  </m:sSup>
                </m:num>
                <m:den>
                  <m:r>
                    <w:rPr>
                      <w:rFonts w:ascii="Cambria Math" w:hAnsi="Cambria Math"/>
                    </w:rPr>
                    <m:t>n</m:t>
                  </m:r>
                </m:den>
              </m:f>
            </m:den>
          </m:f>
          <m:r>
            <m:rPr>
              <m:sty m:val="p"/>
            </m:rPr>
            <w:br/>
          </m:r>
        </m:oMath>
      </m:oMathPara>
    </w:p>
    <w:p w14:paraId="341918F5" w14:textId="56D9A4BC" w:rsidR="00F04ED2" w:rsidRPr="00F04ED2" w:rsidRDefault="00F4661D" w:rsidP="00F04ED2">
      <w:pPr>
        <w:spacing w:line="276" w:lineRule="auto"/>
      </w:pPr>
      <w:r w:rsidRPr="00F4661D">
        <w:t xml:space="preserve">where </w:t>
      </w:r>
      <m:oMath>
        <m:r>
          <w:rPr>
            <w:rFonts w:ascii="Cambria Math" w:hAnsi="Cambria Math"/>
          </w:rPr>
          <m:t>z=</m:t>
        </m:r>
        <m:sSub>
          <m:sSubPr>
            <m:ctrlPr>
              <w:rPr>
                <w:rFonts w:ascii="Cambria Math" w:hAnsi="Cambria Math"/>
              </w:rPr>
            </m:ctrlPr>
          </m:sSubPr>
          <m:e>
            <m:r>
              <w:rPr>
                <w:rFonts w:ascii="Cambria Math" w:hAnsi="Cambria Math"/>
              </w:rPr>
              <m:t>z</m:t>
            </m:r>
          </m:e>
          <m:sub>
            <m:r>
              <w:rPr>
                <w:rFonts w:ascii="Cambria Math" w:hAnsi="Cambria Math"/>
              </w:rPr>
              <m:t>1-α</m:t>
            </m:r>
            <m:r>
              <m:rPr>
                <m:sty m:val="p"/>
              </m:rPr>
              <w:rPr>
                <w:rFonts w:ascii="Cambria Math" w:hAnsi="Cambria Math"/>
              </w:rPr>
              <m:t>/</m:t>
            </m:r>
            <m:r>
              <w:rPr>
                <w:rFonts w:ascii="Cambria Math" w:hAnsi="Cambria Math"/>
              </w:rPr>
              <m:t>2</m:t>
            </m:r>
          </m:sub>
        </m:sSub>
      </m:oMath>
      <w:r w:rsidRPr="00F4661D">
        <w:t>. It generally achieves better coverage behaviour than the Wald interval, especially near the boundaries</w:t>
      </w:r>
      <w:r w:rsidR="00DF40C8">
        <w:fldChar w:fldCharType="begin"/>
      </w:r>
      <w:r w:rsidR="00DF40C8">
        <w:instrText xml:space="preserve"> ADDIN ZOTERO_ITEM CSL_CITATION {"citationID":"6DrAI2PW","properties":{"unsorted":false,"formattedCitation":"(17)","plainCitation":"(17)","noteIndex":0},"citationItems":[{"id":43,"uris":["http://zotero.org/users/local/ebPldVBC/items/H9KC5ZVH"],"itemData":{"id":43,"type":"article-journal","abstract":"[We revisit the problem of interval estimation of a binomial proportion. The erratic behavior of the coverage probability of the standard Wald confidence interval has previously been remarked on in the literature (Blyth and Still, Agresti and Coull, Santner and others). We begin by showing that the chaotic coverage properties of the Wald interval are far more persistent than is appreciated. Furthermore, common textbook prescriptions regarding its safety are misleading and defective in several respects and cannot be trusted. This leads us to consideration of alternative intervals. A number of natural alternatives are presented, each with its motivation and context. Each interval is examined for its coverage probability and its length. Based on this analysis, we recommend the Wilson interval or the equal-tailed Jeffreys prior interval for small n and the interval suggested in Agresti and Coull for larger n. We also provide an additional frequentist justification for use of the Jeffreys interval.]","archive":"JSTOR","container-title":"Statistical Science","ISSN":"08834237, 21688745","issue":"2","page":"101-117","publisher":"Institute of Mathematical Statistics","title":"Interval Estimation for a Binomial Proportion","volume":"16","author":[{"family":"Brown","given":"Lawrence D."},{"family":"Cai","given":"T. Tony"},{"family":"DasGupta","given":"Anirban"}],"issued":{"date-parts":[["2001"]]}}}],"schema":"https://github.com/citation-style-language/schema/raw/master/csl-citation.json"} </w:instrText>
      </w:r>
      <w:r w:rsidR="00DF40C8">
        <w:fldChar w:fldCharType="separate"/>
      </w:r>
      <w:r w:rsidR="00DF40C8" w:rsidRPr="00DF40C8">
        <w:rPr>
          <w:rFonts w:ascii="Aptos" w:hAnsi="Aptos"/>
        </w:rPr>
        <w:t>(17)</w:t>
      </w:r>
      <w:r w:rsidR="00DF40C8">
        <w:fldChar w:fldCharType="end"/>
      </w:r>
      <w:r w:rsidR="00F04ED2" w:rsidRPr="00F04ED2">
        <w:t xml:space="preserve">. </w:t>
      </w:r>
    </w:p>
    <w:p w14:paraId="41DF4253" w14:textId="471E02D1" w:rsidR="00F04ED2" w:rsidRPr="00F04ED2" w:rsidRDefault="00F4661D" w:rsidP="00F04ED2">
      <w:pPr>
        <w:spacing w:line="276" w:lineRule="auto"/>
      </w:pPr>
      <w:r w:rsidRPr="00F4661D">
        <w:t xml:space="preserve">The </w:t>
      </w:r>
      <w:r w:rsidRPr="00305DE4">
        <w:t>Agresti-Coull interval</w:t>
      </w:r>
      <w:r w:rsidRPr="00F4661D">
        <w:t xml:space="preserve"> is closely related to the Wilson interval but constructs the interval around an adjusted proportion</w:t>
      </w:r>
      <w:r w:rsidR="001939C2">
        <w:fldChar w:fldCharType="begin"/>
      </w:r>
      <w:r w:rsidR="001939C2">
        <w:instrText xml:space="preserve"> ADDIN ZOTERO_ITEM CSL_CITATION {"citationID":"UB0MsPon","properties":{"unsorted":false,"formattedCitation":"(17,19)","plainCitation":"(17,19)","noteIndex":0},"citationItems":[{"id":43,"uris":["http://zotero.org/users/local/ebPldVBC/items/H9KC5ZVH"],"itemData":{"id":43,"type":"article-journal","abstract":"[We revisit the problem of interval estimation of a binomial proportion. The erratic behavior of the coverage probability of the standard Wald confidence interval has previously been remarked on in the literature (Blyth and Still, Agresti and Coull, Santner and others). We begin by showing that the chaotic coverage properties of the Wald interval are far more persistent than is appreciated. Furthermore, common textbook prescriptions regarding its safety are misleading and defective in several respects and cannot be trusted. This leads us to consideration of alternative intervals. A number of natural alternatives are presented, each with its motivation and context. Each interval is examined for its coverage probability and its length. Based on this analysis, we recommend the Wilson interval or the equal-tailed Jeffreys prior interval for small n and the interval suggested in Agresti and Coull for larger n. We also provide an additional frequentist justification for use of the Jeffreys interval.]","archive":"JSTOR","container-title":"Statistical Science","ISSN":"08834237, 21688745","issue":"2","page":"101-117","publisher":"Institute of Mathematical Statistics","title":"Interval Estimation for a Binomial Proportion","volume":"16","author":[{"family":"Brown","given":"Lawrence D."},{"family":"Cai","given":"T. Tony"},{"family":"DasGupta","given":"Anirban"}],"issued":{"date-parts":[["2001"]]}}},{"id":47,"uris":["http://zotero.org/users/local/ebPldVBC/items/9R42W4LB"],"itemData":{"id":47,"type":"article-journal","container-title":"The American Statistician","ISSN":"0003-1305","issue":"2","journalAbbreviation":"The American Statistician","page":"119-126","publisher":"Taylor &amp; Francis","title":"Approximate is better than “exact” for interval estimation of binomial proportions","volume":"52","author":[{"family":"Agresti","given":"Alan"},{"family":"Coull","given":"Brent A"}],"issued":{"date-parts":[["1998"]]}}}],"schema":"https://github.com/citation-style-language/schema/raw/master/csl-citation.json"} </w:instrText>
      </w:r>
      <w:r w:rsidR="001939C2">
        <w:fldChar w:fldCharType="separate"/>
      </w:r>
      <w:r w:rsidR="001939C2" w:rsidRPr="001939C2">
        <w:rPr>
          <w:rFonts w:ascii="Aptos" w:hAnsi="Aptos"/>
        </w:rPr>
        <w:t>(17,19)</w:t>
      </w:r>
      <w:r w:rsidR="001939C2">
        <w:fldChar w:fldCharType="end"/>
      </w:r>
      <w:r w:rsidR="00F04ED2" w:rsidRPr="00F04ED2">
        <w:t>:</w:t>
      </w:r>
    </w:p>
    <w:p w14:paraId="7E2639FA" w14:textId="55F791E2" w:rsidR="00F04ED2" w:rsidRPr="00F04ED2" w:rsidRDefault="00000000" w:rsidP="00F4661D">
      <w:pPr>
        <w:spacing w:line="276" w:lineRule="auto"/>
        <w:ind w:firstLine="360"/>
      </w:pPr>
      <m:oMathPara>
        <m:oMath>
          <m:acc>
            <m:accPr>
              <m:chr m:val="̃"/>
              <m:ctrlPr>
                <w:rPr>
                  <w:rFonts w:ascii="Cambria Math" w:hAnsi="Cambria Math"/>
                </w:rPr>
              </m:ctrlPr>
            </m:accPr>
            <m:e>
              <m:r>
                <w:rPr>
                  <w:rFonts w:ascii="Cambria Math" w:hAnsi="Cambria Math"/>
                </w:rPr>
                <m:t>p</m:t>
              </m:r>
            </m:e>
          </m:acc>
          <m:r>
            <w:rPr>
              <w:rFonts w:ascii="Cambria Math" w:hAnsi="Cambria Math"/>
            </w:rPr>
            <m:t>=</m:t>
          </m:r>
          <m:f>
            <m:fPr>
              <m:ctrlPr>
                <w:rPr>
                  <w:rFonts w:ascii="Cambria Math" w:hAnsi="Cambria Math"/>
                </w:rPr>
              </m:ctrlPr>
            </m:fPr>
            <m:num>
              <m:r>
                <w:rPr>
                  <w:rFonts w:ascii="Cambria Math" w:hAnsi="Cambria Math"/>
                </w:rPr>
                <m:t>X+</m:t>
              </m:r>
              <m:sSup>
                <m:sSupPr>
                  <m:ctrlPr>
                    <w:rPr>
                      <w:rFonts w:ascii="Cambria Math" w:hAnsi="Cambria Math"/>
                    </w:rPr>
                  </m:ctrlPr>
                </m:sSupPr>
                <m:e>
                  <m:r>
                    <w:rPr>
                      <w:rFonts w:ascii="Cambria Math" w:hAnsi="Cambria Math"/>
                    </w:rPr>
                    <m:t>z</m:t>
                  </m:r>
                </m:e>
                <m:sup>
                  <m:r>
                    <w:rPr>
                      <w:rFonts w:ascii="Cambria Math" w:hAnsi="Cambria Math"/>
                    </w:rPr>
                    <m:t>2</m:t>
                  </m:r>
                </m:sup>
              </m:sSup>
              <m:r>
                <m:rPr>
                  <m:sty m:val="p"/>
                </m:rPr>
                <w:rPr>
                  <w:rFonts w:ascii="Cambria Math" w:hAnsi="Cambria Math"/>
                </w:rPr>
                <m:t>/</m:t>
              </m:r>
              <m:r>
                <w:rPr>
                  <w:rFonts w:ascii="Cambria Math" w:hAnsi="Cambria Math"/>
                </w:rPr>
                <m:t>2</m:t>
              </m:r>
            </m:num>
            <m:den>
              <m:r>
                <w:rPr>
                  <w:rFonts w:ascii="Cambria Math" w:hAnsi="Cambria Math"/>
                </w:rPr>
                <m:t>n+</m:t>
              </m:r>
              <m:sSup>
                <m:sSupPr>
                  <m:ctrlPr>
                    <w:rPr>
                      <w:rFonts w:ascii="Cambria Math" w:hAnsi="Cambria Math"/>
                    </w:rPr>
                  </m:ctrlPr>
                </m:sSupPr>
                <m:e>
                  <m:r>
                    <w:rPr>
                      <w:rFonts w:ascii="Cambria Math" w:hAnsi="Cambria Math"/>
                    </w:rPr>
                    <m:t>z</m:t>
                  </m:r>
                </m:e>
                <m:sup>
                  <m:r>
                    <w:rPr>
                      <w:rFonts w:ascii="Cambria Math" w:hAnsi="Cambria Math"/>
                    </w:rPr>
                    <m:t>2</m:t>
                  </m:r>
                </m:sup>
              </m:sSup>
            </m:den>
          </m:f>
          <m:r>
            <m:rPr>
              <m:sty m:val="p"/>
            </m:rPr>
            <w:br/>
          </m:r>
        </m:oMath>
      </m:oMathPara>
    </w:p>
    <w:p w14:paraId="1B8B262E" w14:textId="0F56941F" w:rsidR="00F04ED2" w:rsidRPr="00F04ED2" w:rsidRDefault="00000000" w:rsidP="00F04ED2">
      <w:pPr>
        <w:spacing w:line="276" w:lineRule="auto"/>
        <w:ind w:firstLine="360"/>
      </w:pPr>
      <m:oMathPara>
        <m:oMath>
          <m:acc>
            <m:accPr>
              <m:chr m:val="̃"/>
              <m:ctrlPr>
                <w:rPr>
                  <w:rFonts w:ascii="Cambria Math" w:hAnsi="Cambria Math"/>
                </w:rPr>
              </m:ctrlPr>
            </m:accPr>
            <m:e>
              <m:r>
                <w:rPr>
                  <w:rFonts w:ascii="Cambria Math" w:hAnsi="Cambria Math"/>
                </w:rPr>
                <m:t>p</m:t>
              </m:r>
            </m:e>
          </m:acc>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1-α</m:t>
              </m:r>
              <m:r>
                <m:rPr>
                  <m:sty m:val="p"/>
                </m:rPr>
                <w:rPr>
                  <w:rFonts w:ascii="Cambria Math" w:hAnsi="Cambria Math"/>
                </w:rPr>
                <m:t>/</m:t>
              </m:r>
              <m:r>
                <w:rPr>
                  <w:rFonts w:ascii="Cambria Math" w:hAnsi="Cambria Math"/>
                </w:rPr>
                <m:t>2</m:t>
              </m:r>
            </m:sub>
          </m:sSub>
          <m:rad>
            <m:radPr>
              <m:degHide m:val="1"/>
              <m:ctrlPr>
                <w:rPr>
                  <w:rFonts w:ascii="Cambria Math" w:hAnsi="Cambria Math"/>
                </w:rPr>
              </m:ctrlPr>
            </m:radPr>
            <m:deg/>
            <m:e>
              <m:f>
                <m:fPr>
                  <m:ctrlPr>
                    <w:rPr>
                      <w:rFonts w:ascii="Cambria Math" w:hAnsi="Cambria Math"/>
                    </w:rPr>
                  </m:ctrlPr>
                </m:fPr>
                <m:num>
                  <m:acc>
                    <m:accPr>
                      <m:chr m:val="̃"/>
                      <m:ctrlPr>
                        <w:rPr>
                          <w:rFonts w:ascii="Cambria Math" w:hAnsi="Cambria Math"/>
                        </w:rPr>
                      </m:ctrlPr>
                    </m:accPr>
                    <m:e>
                      <m:r>
                        <w:rPr>
                          <w:rFonts w:ascii="Cambria Math" w:hAnsi="Cambria Math"/>
                        </w:rPr>
                        <m:t>p</m:t>
                      </m:r>
                    </m:e>
                  </m:acc>
                  <m:r>
                    <w:rPr>
                      <w:rFonts w:ascii="Cambria Math" w:hAnsi="Cambria Math"/>
                    </w:rPr>
                    <m:t>(1-</m:t>
                  </m:r>
                  <m:acc>
                    <m:accPr>
                      <m:chr m:val="̃"/>
                      <m:ctrlPr>
                        <w:rPr>
                          <w:rFonts w:ascii="Cambria Math" w:hAnsi="Cambria Math"/>
                        </w:rPr>
                      </m:ctrlPr>
                    </m:accPr>
                    <m:e>
                      <m:r>
                        <w:rPr>
                          <w:rFonts w:ascii="Cambria Math" w:hAnsi="Cambria Math"/>
                        </w:rPr>
                        <m:t>p</m:t>
                      </m:r>
                    </m:e>
                  </m:acc>
                  <m:r>
                    <w:rPr>
                      <w:rFonts w:ascii="Cambria Math" w:hAnsi="Cambria Math"/>
                    </w:rPr>
                    <m:t>)</m:t>
                  </m:r>
                </m:num>
                <m:den>
                  <m:r>
                    <w:rPr>
                      <w:rFonts w:ascii="Cambria Math" w:hAnsi="Cambria Math"/>
                    </w:rPr>
                    <m:t>n+</m:t>
                  </m:r>
                  <m:sSup>
                    <m:sSupPr>
                      <m:ctrlPr>
                        <w:rPr>
                          <w:rFonts w:ascii="Cambria Math" w:hAnsi="Cambria Math"/>
                        </w:rPr>
                      </m:ctrlPr>
                    </m:sSupPr>
                    <m:e>
                      <m:r>
                        <w:rPr>
                          <w:rFonts w:ascii="Cambria Math" w:hAnsi="Cambria Math"/>
                        </w:rPr>
                        <m:t>z</m:t>
                      </m:r>
                    </m:e>
                    <m:sup>
                      <m:r>
                        <w:rPr>
                          <w:rFonts w:ascii="Cambria Math" w:hAnsi="Cambria Math"/>
                        </w:rPr>
                        <m:t>2</m:t>
                      </m:r>
                    </m:sup>
                  </m:sSup>
                </m:den>
              </m:f>
            </m:e>
          </m:rad>
          <m:r>
            <m:rPr>
              <m:sty m:val="p"/>
            </m:rPr>
            <w:br/>
          </m:r>
        </m:oMath>
      </m:oMathPara>
    </w:p>
    <w:p w14:paraId="44447E04" w14:textId="7E0D58B5" w:rsidR="00F04ED2" w:rsidRPr="00F04ED2" w:rsidRDefault="00F4661D" w:rsidP="00F04ED2">
      <w:pPr>
        <w:spacing w:line="276" w:lineRule="auto"/>
      </w:pPr>
      <w:r w:rsidRPr="00F4661D">
        <w:lastRenderedPageBreak/>
        <w:t>For a 95% interval this is approximately equivalent to adding two successes and two failures before applying the Wald formula, pulling extreme proportions away from the boundaries and improving stability</w:t>
      </w:r>
      <w:r w:rsidR="001939C2">
        <w:fldChar w:fldCharType="begin"/>
      </w:r>
      <w:r w:rsidR="001939C2">
        <w:instrText xml:space="preserve"> ADDIN ZOTERO_ITEM CSL_CITATION {"citationID":"0KYdKeUK","properties":{"unsorted":false,"formattedCitation":"(17,19)","plainCitation":"(17,19)","noteIndex":0},"citationItems":[{"id":43,"uris":["http://zotero.org/users/local/ebPldVBC/items/H9KC5ZVH"],"itemData":{"id":43,"type":"article-journal","abstract":"[We revisit the problem of interval estimation of a binomial proportion. The erratic behavior of the coverage probability of the standard Wald confidence interval has previously been remarked on in the literature (Blyth and Still, Agresti and Coull, Santner and others). We begin by showing that the chaotic coverage properties of the Wald interval are far more persistent than is appreciated. Furthermore, common textbook prescriptions regarding its safety are misleading and defective in several respects and cannot be trusted. This leads us to consideration of alternative intervals. A number of natural alternatives are presented, each with its motivation and context. Each interval is examined for its coverage probability and its length. Based on this analysis, we recommend the Wilson interval or the equal-tailed Jeffreys prior interval for small n and the interval suggested in Agresti and Coull for larger n. We also provide an additional frequentist justification for use of the Jeffreys interval.]","archive":"JSTOR","container-title":"Statistical Science","ISSN":"08834237, 21688745","issue":"2","page":"101-117","publisher":"Institute of Mathematical Statistics","title":"Interval Estimation for a Binomial Proportion","volume":"16","author":[{"family":"Brown","given":"Lawrence D."},{"family":"Cai","given":"T. Tony"},{"family":"DasGupta","given":"Anirban"}],"issued":{"date-parts":[["2001"]]}}},{"id":47,"uris":["http://zotero.org/users/local/ebPldVBC/items/9R42W4LB"],"itemData":{"id":47,"type":"article-journal","container-title":"The American Statistician","ISSN":"0003-1305","issue":"2","journalAbbreviation":"The American Statistician","page":"119-126","publisher":"Taylor &amp; Francis","title":"Approximate is better than “exact” for interval estimation of binomial proportions","volume":"52","author":[{"family":"Agresti","given":"Alan"},{"family":"Coull","given":"Brent A"}],"issued":{"date-parts":[["1998"]]}}}],"schema":"https://github.com/citation-style-language/schema/raw/master/csl-citation.json"} </w:instrText>
      </w:r>
      <w:r w:rsidR="001939C2">
        <w:fldChar w:fldCharType="separate"/>
      </w:r>
      <w:r w:rsidR="001939C2" w:rsidRPr="001939C2">
        <w:rPr>
          <w:rFonts w:ascii="Aptos" w:hAnsi="Aptos"/>
        </w:rPr>
        <w:t>(17,19)</w:t>
      </w:r>
      <w:r w:rsidR="001939C2">
        <w:fldChar w:fldCharType="end"/>
      </w:r>
      <w:r w:rsidR="00F04ED2" w:rsidRPr="00F04ED2">
        <w:t>.</w:t>
      </w:r>
    </w:p>
    <w:p w14:paraId="12A327FD" w14:textId="2E4C687C" w:rsidR="00F04ED2" w:rsidRPr="00F04ED2" w:rsidRDefault="00F4661D" w:rsidP="00F04ED2">
      <w:pPr>
        <w:spacing w:line="276" w:lineRule="auto"/>
      </w:pPr>
      <w:r w:rsidRPr="00305DE4">
        <w:t>The Clopper-Pearson interval i</w:t>
      </w:r>
      <w:r w:rsidRPr="00F4661D">
        <w:t>s based directly on the binomial distribution rather than a normal approximation, with bounds obtained from beta distribution quantiles</w:t>
      </w:r>
      <w:r w:rsidR="001939C2">
        <w:fldChar w:fldCharType="begin"/>
      </w:r>
      <w:r w:rsidR="001939C2">
        <w:instrText xml:space="preserve"> ADDIN ZOTERO_ITEM CSL_CITATION {"citationID":"t4ZzRWOF","properties":{"unsorted":false,"formattedCitation":"(20)","plainCitation":"(20)","noteIndex":0},"citationItems":[{"id":48,"uris":["http://zotero.org/users/local/ebPldVBC/items/V46RDXEH"],"itemData":{"id":48,"type":"article-journal","container-title":"Biometrika","ISSN":"0006-3444","issue":"4","journalAbbreviation":"Biometrika","page":"404-413","publisher":"JSTOR","title":"The use of confidence or fiducial limits illustrated in the case of the binomial","volume":"26","author":[{"family":"Clopper","given":"Charles J"},{"family":"Pearson","given":"Egon S"}],"issued":{"date-parts":[["1934"]]}}}],"schema":"https://github.com/citation-style-language/schema/raw/master/csl-citation.json"} </w:instrText>
      </w:r>
      <w:r w:rsidR="001939C2">
        <w:fldChar w:fldCharType="separate"/>
      </w:r>
      <w:r w:rsidR="001939C2" w:rsidRPr="001939C2">
        <w:rPr>
          <w:rFonts w:ascii="Aptos" w:hAnsi="Aptos"/>
        </w:rPr>
        <w:t>(20)</w:t>
      </w:r>
      <w:r w:rsidR="001939C2">
        <w:fldChar w:fldCharType="end"/>
      </w:r>
      <w:r>
        <w:t>:</w:t>
      </w:r>
    </w:p>
    <w:p w14:paraId="1841C1CC" w14:textId="52317B41" w:rsidR="00F04ED2" w:rsidRPr="00F04ED2" w:rsidRDefault="00F04ED2" w:rsidP="00F04ED2">
      <w:pPr>
        <w:spacing w:line="276" w:lineRule="auto"/>
        <w:ind w:firstLine="360"/>
      </w:pPr>
      <m:oMathPara>
        <m:oMath>
          <m:r>
            <w:rPr>
              <w:rFonts w:ascii="Cambria Math" w:hAnsi="Cambria Math"/>
            </w:rPr>
            <m:t>L=</m:t>
          </m:r>
          <m:sSup>
            <m:sSupPr>
              <m:ctrlPr>
                <w:rPr>
                  <w:rFonts w:ascii="Cambria Math" w:hAnsi="Cambria Math"/>
                </w:rPr>
              </m:ctrlPr>
            </m:sSupPr>
            <m:e>
              <m:r>
                <w:rPr>
                  <w:rFonts w:ascii="Cambria Math" w:hAnsi="Cambria Math"/>
                </w:rPr>
                <m:t>B</m:t>
              </m:r>
            </m:e>
            <m:sup>
              <m:r>
                <w:rPr>
                  <w:rFonts w:ascii="Cambria Math" w:hAnsi="Cambria Math"/>
                </w:rPr>
                <m:t>-1</m:t>
              </m:r>
            </m:sup>
          </m:sSup>
          <m:d>
            <m:dPr>
              <m:ctrlPr>
                <w:rPr>
                  <w:rFonts w:ascii="Cambria Math" w:hAnsi="Cambria Math"/>
                </w:rPr>
              </m:ctrlPr>
            </m:dPr>
            <m:e>
              <m:f>
                <m:fPr>
                  <m:ctrlPr>
                    <w:rPr>
                      <w:rFonts w:ascii="Cambria Math" w:hAnsi="Cambria Math"/>
                    </w:rPr>
                  </m:ctrlPr>
                </m:fPr>
                <m:num>
                  <m:r>
                    <w:rPr>
                      <w:rFonts w:ascii="Cambria Math" w:hAnsi="Cambria Math"/>
                    </w:rPr>
                    <m:t>α</m:t>
                  </m:r>
                </m:num>
                <m:den>
                  <m:r>
                    <w:rPr>
                      <w:rFonts w:ascii="Cambria Math" w:hAnsi="Cambria Math"/>
                    </w:rPr>
                    <m:t>2</m:t>
                  </m:r>
                </m:den>
              </m:f>
              <m:r>
                <w:rPr>
                  <w:rFonts w:ascii="Cambria Math" w:hAnsi="Cambria Math"/>
                </w:rPr>
                <m:t>;X,n-X+1</m:t>
              </m:r>
            </m:e>
          </m:d>
          <m:r>
            <w:rPr>
              <w:rFonts w:ascii="Cambria Math" w:hAnsi="Cambria Math"/>
            </w:rPr>
            <m:t>,  U=</m:t>
          </m:r>
          <m:sSup>
            <m:sSupPr>
              <m:ctrlPr>
                <w:rPr>
                  <w:rFonts w:ascii="Cambria Math" w:hAnsi="Cambria Math"/>
                </w:rPr>
              </m:ctrlPr>
            </m:sSupPr>
            <m:e>
              <m:r>
                <w:rPr>
                  <w:rFonts w:ascii="Cambria Math" w:hAnsi="Cambria Math"/>
                </w:rPr>
                <m:t>B</m:t>
              </m:r>
            </m:e>
            <m:sup>
              <m:r>
                <w:rPr>
                  <w:rFonts w:ascii="Cambria Math" w:hAnsi="Cambria Math"/>
                </w:rPr>
                <m:t>-1</m:t>
              </m:r>
            </m:sup>
          </m:sSup>
          <m:d>
            <m:dPr>
              <m:ctrlPr>
                <w:rPr>
                  <w:rFonts w:ascii="Cambria Math" w:hAnsi="Cambria Math"/>
                </w:rPr>
              </m:ctrlPr>
            </m:dPr>
            <m:e>
              <m:r>
                <w:rPr>
                  <w:rFonts w:ascii="Cambria Math" w:hAnsi="Cambria Math"/>
                </w:rPr>
                <m:t>1-</m:t>
              </m:r>
              <m:f>
                <m:fPr>
                  <m:ctrlPr>
                    <w:rPr>
                      <w:rFonts w:ascii="Cambria Math" w:hAnsi="Cambria Math"/>
                    </w:rPr>
                  </m:ctrlPr>
                </m:fPr>
                <m:num>
                  <m:r>
                    <w:rPr>
                      <w:rFonts w:ascii="Cambria Math" w:hAnsi="Cambria Math"/>
                    </w:rPr>
                    <m:t>α</m:t>
                  </m:r>
                </m:num>
                <m:den>
                  <m:r>
                    <w:rPr>
                      <w:rFonts w:ascii="Cambria Math" w:hAnsi="Cambria Math"/>
                    </w:rPr>
                    <m:t>2</m:t>
                  </m:r>
                </m:den>
              </m:f>
              <m:r>
                <w:rPr>
                  <w:rFonts w:ascii="Cambria Math" w:hAnsi="Cambria Math"/>
                </w:rPr>
                <m:t>;X+1,n-X</m:t>
              </m:r>
            </m:e>
          </m:d>
          <m:r>
            <m:rPr>
              <m:sty m:val="p"/>
            </m:rPr>
            <w:br/>
          </m:r>
        </m:oMath>
      </m:oMathPara>
    </w:p>
    <w:p w14:paraId="2DB45B05" w14:textId="36E8F210" w:rsidR="00F04ED2" w:rsidRPr="00F04ED2" w:rsidRDefault="00F4661D" w:rsidP="00F04ED2">
      <w:pPr>
        <w:spacing w:line="276" w:lineRule="auto"/>
      </w:pPr>
      <w:r w:rsidRPr="00F4661D">
        <w:t>It is conservative by construction, meaning true coverage typically exceeds the nominal level</w:t>
      </w:r>
      <w:r w:rsidR="001939C2">
        <w:fldChar w:fldCharType="begin"/>
      </w:r>
      <w:r w:rsidR="001939C2">
        <w:instrText xml:space="preserve"> ADDIN ZOTERO_ITEM CSL_CITATION {"citationID":"UYitibOv","properties":{"unsorted":false,"formattedCitation":"(11,17)","plainCitation":"(11,17)","noteIndex":0},"citationItems":[{"id":33,"uris":["http://zotero.org/users/local/ebPldVBC/items/U9Y8QLXH"],"itemData":{"id":33,"type":"webpage","abstract":"Medical Devices - Clinical investigations and performance studies","language":"en","title":"Medical Devices - Clinical investigations and performance studies - European Commission","URL":"https://health.ec.europa.eu/medical-devices-clinical-investigations-and-performance-studies_en","accessed":{"date-parts":[["2026",6,4]]},"issued":{"date-parts":[["2026",4,21]]}}},{"id":43,"uris":["http://zotero.org/users/local/ebPldVBC/items/H9KC5ZVH"],"itemData":{"id":43,"type":"article-journal","abstract":"[We revisit the problem of interval estimation of a binomial proportion. The erratic behavior of the coverage probability of the standard Wald confidence interval has previously been remarked on in the literature (Blyth and Still, Agresti and Coull, Santner and others). We begin by showing that the chaotic coverage properties of the Wald interval are far more persistent than is appreciated. Furthermore, common textbook prescriptions regarding its safety are misleading and defective in several respects and cannot be trusted. This leads us to consideration of alternative intervals. A number of natural alternatives are presented, each with its motivation and context. Each interval is examined for its coverage probability and its length. Based on this analysis, we recommend the Wilson interval or the equal-tailed Jeffreys prior interval for small n and the interval suggested in Agresti and Coull for larger n. We also provide an additional frequentist justification for use of the Jeffreys interval.]","archive":"JSTOR","container-title":"Statistical Science","ISSN":"08834237, 21688745","issue":"2","page":"101-117","publisher":"Institute of Mathematical Statistics","title":"Interval Estimation for a Binomial Proportion","volume":"16","author":[{"family":"Brown","given":"Lawrence D."},{"family":"Cai","given":"T. Tony"},{"family":"DasGupta","given":"Anirban"}],"issued":{"date-parts":[["2001"]]}}}],"schema":"https://github.com/citation-style-language/schema/raw/master/csl-citation.json"} </w:instrText>
      </w:r>
      <w:r w:rsidR="001939C2">
        <w:fldChar w:fldCharType="separate"/>
      </w:r>
      <w:r w:rsidR="001939C2" w:rsidRPr="001939C2">
        <w:rPr>
          <w:rFonts w:ascii="Aptos" w:hAnsi="Aptos"/>
        </w:rPr>
        <w:t>(11,17)</w:t>
      </w:r>
      <w:r w:rsidR="001939C2">
        <w:fldChar w:fldCharType="end"/>
      </w:r>
      <w:r w:rsidR="00F04ED2" w:rsidRPr="00F04ED2">
        <w:t>.</w:t>
      </w:r>
      <w:r w:rsidR="00CF7A62">
        <w:t xml:space="preserve"> </w:t>
      </w:r>
      <w:r w:rsidR="00CF7A62" w:rsidRPr="00CF7A62">
        <w:t>This conservatism is consistent with FDA guidance on the use of exact methods in single-arm medical device studies, where the absence of a concurrent control makes protection of the Type I error rate especially important and conservative interval methods provide a natural safeguard against inflated false positive rates</w:t>
      </w:r>
      <w:r w:rsidR="00CF7A62">
        <w:fldChar w:fldCharType="begin"/>
      </w:r>
      <w:r w:rsidR="003A69E1">
        <w:instrText xml:space="preserve"> ADDIN ZOTERO_ITEM CSL_CITATION {"citationID":"qYKVk9ml","properties":{"unsorted":false,"formattedCitation":"(7,15,21)","plainCitation":"(7,15,21)","noteIndex":0},"citationItems":[{"id":32,"uris":["http://zotero.org/users/local/ebPldVBC/items/7QTQGWQJ"],"itemData":{"id":32,"type":"article-journal","abstract":"Performance goals are numerical target values pertaining to effectiveness or safety endpoints in single-arm medical device clinical studies. Typically,  performance goals are determined at the planning stage of the investigational  study under consideration based on summarized outcome information from existing  relevant clinical trials. In recent years, there is a growing interest in  leveraging real-world evidence in medical product development. In this article,  we introduce a new method for proposing performance goals by leveraging  real-world evidence. The method applies entropy balancing to address possible  patient dissimilarities between the study's target patient population and  existing real-world patients, and can take into account operation differences  between clinical studies and real-world clinical practice. An illustrative  example is provided to demonstrate how to implement the proposed method for  performance goal determination while leveraging real-world evidence.","container-title":"Statistics in medicine","DOI":"10.1002/sim.9199","ISSN":"1097-0258 0277-6715","issue":"29","journalAbbreviation":"Stat Med","language":"eng","license":"© 2021 John Wiley &amp; Sons Ltd.","page":"6577-6589","PMID":"34561895","publisher-place":"England","title":"Leveraging real-world evidence for determining performance goals for medical device studies.","volume":"40","author":[{"family":"Wang","given":"Chenguang"},{"family":"Rosner","given":"Gary L."},{"family":"Bao","given":"Tingting"},{"family":"Lu","given":"Nelson"},{"family":"Chen","given":"Wei-Chen"},{"family":"Li","given":"Heng"},{"family":"Tiwari","given":"Ram"},{"family":"Xu","given":"Yunling"},{"family":"Yue","given":"Lilly Q."}],"issued":{"date-parts":[["2021",12,20]]}}},{"id":42,"uris":["http://zotero.org/users/local/ebPldVBC/items/N4FDNJKC"],"itemData":{"id":42,"type":"report","genre":"Guidance for Industry","language":"en","publisher":"U.S. Food and Drug Administration","source":"Zotero","title":"Non-Inferiority Clinical Trials to Establish Effectiveness","URL":"https://www.fda.gov/media/78504/download","author":[{"literal":"U.S. Food and Drug Administration"}],"accessed":{"date-parts":[["2026",1,5]]},"issued":{"date-parts":[["2016"]]}}},{"id":55,"uris":["http://zotero.org/users/local/ebPldVBC/items/2KZMAXCB"],"itemData":{"id":55,"type":"webpage","abstract":"multi-media educational resource, featuring learning modules that address medical device and radiation emitting product","container-title":"FDA","language":"en","publisher":"FDA","title":"CDRH Learn","URL":"https://www.fda.gov/training-and-continuing-education/cdrh-learn","author":[{"family":"Health","given":"Center for Devices and Radiological"}],"accessed":{"date-parts":[["2026",6,10]]},"issued":{"date-parts":[["2026",5,28]]}}}],"schema":"https://github.com/citation-style-language/schema/raw/master/csl-citation.json"} </w:instrText>
      </w:r>
      <w:r w:rsidR="00CF7A62">
        <w:fldChar w:fldCharType="separate"/>
      </w:r>
      <w:r w:rsidR="00CF7A62" w:rsidRPr="00CF7A62">
        <w:rPr>
          <w:rFonts w:ascii="Aptos" w:hAnsi="Aptos"/>
        </w:rPr>
        <w:t>(7,15,21)</w:t>
      </w:r>
      <w:r w:rsidR="00CF7A62">
        <w:fldChar w:fldCharType="end"/>
      </w:r>
      <w:r w:rsidR="00CF7A62" w:rsidRPr="00CF7A62">
        <w:t>. However, this conservatism comes at a practical cost</w:t>
      </w:r>
      <w:r w:rsidR="00CF7A62">
        <w:t>:</w:t>
      </w:r>
      <w:r w:rsidR="00CF7A62" w:rsidRPr="00CF7A62">
        <w:t xml:space="preserve"> wider intervals and larger sample size requirements relative to methods that sit closer to the nominal coverage leve</w:t>
      </w:r>
      <w:r w:rsidR="00CF7A62">
        <w:t>l</w:t>
      </w:r>
      <w:r w:rsidR="00CF7A62">
        <w:fldChar w:fldCharType="begin"/>
      </w:r>
      <w:r w:rsidR="00FA228E">
        <w:instrText xml:space="preserve"> ADDIN ZOTERO_ITEM CSL_CITATION {"citationID":"cOxuvC8j","properties":{"unsorted":false,"formattedCitation":"(17,19,22)","plainCitation":"(17,19,22)","noteIndex":0},"citationItems":[{"id":43,"uris":["http://zotero.org/users/local/ebPldVBC/items/H9KC5ZVH"],"itemData":{"id":43,"type":"article-journal","abstract":"[We revisit the problem of interval estimation of a binomial proportion. The erratic behavior of the coverage probability of the standard Wald confidence interval has previously been remarked on in the literature (Blyth and Still, Agresti and Coull, Santner and others). We begin by showing that the chaotic coverage properties of the Wald interval are far more persistent than is appreciated. Furthermore, common textbook prescriptions regarding its safety are misleading and defective in several respects and cannot be trusted. This leads us to consideration of alternative intervals. A number of natural alternatives are presented, each with its motivation and context. Each interval is examined for its coverage probability and its length. Based on this analysis, we recommend the Wilson interval or the equal-tailed Jeffreys prior interval for small n and the interval suggested in Agresti and Coull for larger n. We also provide an additional frequentist justification for use of the Jeffreys interval.]","archive":"JSTOR","container-title":"Statistical Science","ISSN":"08834237, 21688745","issue":"2","page":"101-117","publisher":"Institute of Mathematical Statistics","title":"Interval Estimation for a Binomial Proportion","volume":"16","author":[{"family":"Brown","given":"Lawrence D."},{"family":"Cai","given":"T. Tony"},{"family":"DasGupta","given":"Anirban"}],"issued":{"date-parts":[["2001"]]}}},{"id":47,"uris":["http://zotero.org/users/local/ebPldVBC/items/9R42W4LB"],"itemData":{"id":47,"type":"article-journal","container-title":"The American Statistician","ISSN":"0003-1305","issue":"2","journalAbbreviation":"The American Statistician","page":"119-126","publisher":"Taylor &amp; Francis","title":"Approximate is better than “exact” for interval estimation of binomial proportions","volume":"52","author":[{"family":"Agresti","given":"Alan"},{"family":"Coull","given":"Brent A"}],"issued":{"date-parts":[["1998"]]}}},{"id":54,"uris":["http://zotero.org/users/local/ebPldVBC/items/BPNCJX2D"],"itemData":{"id":54,"type":"article-journal","container-title":"REVSTAT-Statistical Journal","ISSN":"2183-0371","issue":"2","journalAbbreviation":"REVSTAT-Statistical Journal","page":"165-197","title":"Interval estimators for a binomial proportion: Comparison of twenty methods","volume":"6","author":[{"family":"Pires","given":"Ana M"},{"family":"Amado","given":"Conceiçao"}],"issued":{"date-parts":[["2008"]]}}}],"schema":"https://github.com/citation-style-language/schema/raw/master/csl-citation.json"} </w:instrText>
      </w:r>
      <w:r w:rsidR="00CF7A62">
        <w:fldChar w:fldCharType="separate"/>
      </w:r>
      <w:r w:rsidR="00FA228E" w:rsidRPr="00FA228E">
        <w:rPr>
          <w:rFonts w:ascii="Aptos" w:hAnsi="Aptos"/>
        </w:rPr>
        <w:t>(17,19,22)</w:t>
      </w:r>
      <w:r w:rsidR="00CF7A62">
        <w:fldChar w:fldCharType="end"/>
      </w:r>
      <w:r w:rsidR="00CF7A62" w:rsidRPr="00CF7A62">
        <w:t xml:space="preserve">. </w:t>
      </w:r>
    </w:p>
    <w:p w14:paraId="7B149339" w14:textId="70B9DE42" w:rsidR="00F04ED2" w:rsidRPr="00F04ED2" w:rsidRDefault="00F4661D" w:rsidP="00F04ED2">
      <w:pPr>
        <w:spacing w:line="276" w:lineRule="auto"/>
      </w:pPr>
      <w:r w:rsidRPr="00F4661D">
        <w:t xml:space="preserve">The </w:t>
      </w:r>
      <w:r w:rsidRPr="00305DE4">
        <w:t>Wilson Score interval with continuity correction, implemented</w:t>
      </w:r>
      <w:r w:rsidRPr="00F4661D">
        <w:t xml:space="preserve"> in R via </w:t>
      </w:r>
      <w:proofErr w:type="spellStart"/>
      <w:r w:rsidRPr="00F4661D">
        <w:t>prop.test</w:t>
      </w:r>
      <w:proofErr w:type="spellEnd"/>
      <w:r w:rsidRPr="00F4661D">
        <w:t>(), adjusts for the discreteness of the binomial distribution and is the default output of that function</w:t>
      </w:r>
      <w:r w:rsidR="001939C2">
        <w:fldChar w:fldCharType="begin"/>
      </w:r>
      <w:r w:rsidR="001939C2">
        <w:instrText xml:space="preserve"> ADDIN ZOTERO_ITEM CSL_CITATION {"citationID":"zl7JxZcW","properties":{"unsorted":false,"formattedCitation":"(18)","plainCitation":"(18)","noteIndex":0},"citationItems":[{"id":46,"uris":["http://zotero.org/users/local/ebPldVBC/items/RBXEHUWE"],"itemData":{"id":46,"type":"book","ISBN":"1-118-71094-0","publisher":"John Wiley &amp; Sons","title":"Categorical data analysis","author":[{"family":"Agresti","given":"Alan"}],"issued":{"date-parts":[["2013"]]}}}],"schema":"https://github.com/citation-style-language/schema/raw/master/csl-citation.json"} </w:instrText>
      </w:r>
      <w:r w:rsidR="001939C2">
        <w:fldChar w:fldCharType="separate"/>
      </w:r>
      <w:r w:rsidR="001939C2" w:rsidRPr="001939C2">
        <w:rPr>
          <w:rFonts w:ascii="Aptos" w:hAnsi="Aptos"/>
        </w:rPr>
        <w:t>(18)</w:t>
      </w:r>
      <w:r w:rsidR="001939C2">
        <w:fldChar w:fldCharType="end"/>
      </w:r>
      <w:r w:rsidR="00F04ED2" w:rsidRPr="00F04ED2">
        <w:t xml:space="preserve">. </w:t>
      </w:r>
      <w:r w:rsidRPr="00F4661D">
        <w:t>It is included because its widespread availability in standard R workflows means it is commonly used in practice, often without deliberate consideration of its properties</w:t>
      </w:r>
      <w:r w:rsidR="001939C2">
        <w:fldChar w:fldCharType="begin"/>
      </w:r>
      <w:r w:rsidR="001939C2">
        <w:instrText xml:space="preserve"> ADDIN ZOTERO_ITEM CSL_CITATION {"citationID":"xJdNYYT7","properties":{"unsorted":false,"formattedCitation":"(17)","plainCitation":"(17)","noteIndex":0},"citationItems":[{"id":43,"uris":["http://zotero.org/users/local/ebPldVBC/items/H9KC5ZVH"],"itemData":{"id":43,"type":"article-journal","abstract":"[We revisit the problem of interval estimation of a binomial proportion. The erratic behavior of the coverage probability of the standard Wald confidence interval has previously been remarked on in the literature (Blyth and Still, Agresti and Coull, Santner and others). We begin by showing that the chaotic coverage properties of the Wald interval are far more persistent than is appreciated. Furthermore, common textbook prescriptions regarding its safety are misleading and defective in several respects and cannot be trusted. This leads us to consideration of alternative intervals. A number of natural alternatives are presented, each with its motivation and context. Each interval is examined for its coverage probability and its length. Based on this analysis, we recommend the Wilson interval or the equal-tailed Jeffreys prior interval for small n and the interval suggested in Agresti and Coull for larger n. We also provide an additional frequentist justification for use of the Jeffreys interval.]","archive":"JSTOR","container-title":"Statistical Science","ISSN":"08834237, 21688745","issue":"2","page":"101-117","publisher":"Institute of Mathematical Statistics","title":"Interval Estimation for a Binomial Proportion","volume":"16","author":[{"family":"Brown","given":"Lawrence D."},{"family":"Cai","given":"T. Tony"},{"family":"DasGupta","given":"Anirban"}],"issued":{"date-parts":[["2001"]]}}}],"schema":"https://github.com/citation-style-language/schema/raw/master/csl-citation.json"} </w:instrText>
      </w:r>
      <w:r w:rsidR="001939C2">
        <w:fldChar w:fldCharType="separate"/>
      </w:r>
      <w:r w:rsidR="001939C2" w:rsidRPr="001939C2">
        <w:rPr>
          <w:rFonts w:ascii="Aptos" w:hAnsi="Aptos"/>
        </w:rPr>
        <w:t>(17)</w:t>
      </w:r>
      <w:r w:rsidR="001939C2">
        <w:fldChar w:fldCharType="end"/>
      </w:r>
      <w:r w:rsidR="00F04ED2" w:rsidRPr="00F04ED2">
        <w:t xml:space="preserve">. </w:t>
      </w:r>
    </w:p>
    <w:p w14:paraId="5F60EBB0" w14:textId="78D6500D" w:rsidR="00F04ED2" w:rsidRPr="00F04ED2" w:rsidRDefault="00F4661D" w:rsidP="00F04ED2">
      <w:pPr>
        <w:spacing w:line="276" w:lineRule="auto"/>
      </w:pPr>
      <w:r w:rsidRPr="00305DE4">
        <w:t>The Jeffreys interval</w:t>
      </w:r>
      <w:r w:rsidRPr="00F4661D">
        <w:t xml:space="preserve"> is Bayesian in construction, derived from the Jeffreys prior for a binomial proportion</w:t>
      </w:r>
      <w:r w:rsidR="001939C2">
        <w:fldChar w:fldCharType="begin"/>
      </w:r>
      <w:r w:rsidR="00FA228E">
        <w:instrText xml:space="preserve"> ADDIN ZOTERO_ITEM CSL_CITATION {"citationID":"SvUmCQpt","properties":{"unsorted":false,"formattedCitation":"(17,23)","plainCitation":"(17,23)","noteIndex":0},"citationItems":[{"id":43,"uris":["http://zotero.org/users/local/ebPldVBC/items/H9KC5ZVH"],"itemData":{"id":43,"type":"article-journal","abstract":"[We revisit the problem of interval estimation of a binomial proportion. The erratic behavior of the coverage probability of the standard Wald confidence interval has previously been remarked on in the literature (Blyth and Still, Agresti and Coull, Santner and others). We begin by showing that the chaotic coverage properties of the Wald interval are far more persistent than is appreciated. Furthermore, common textbook prescriptions regarding its safety are misleading and defective in several respects and cannot be trusted. This leads us to consideration of alternative intervals. A number of natural alternatives are presented, each with its motivation and context. Each interval is examined for its coverage probability and its length. Based on this analysis, we recommend the Wilson interval or the equal-tailed Jeffreys prior interval for small n and the interval suggested in Agresti and Coull for larger n. We also provide an additional frequentist justification for use of the Jeffreys interval.]","archive":"JSTOR","container-title":"Statistical Science","ISSN":"08834237, 21688745","issue":"2","page":"101-117","publisher":"Institute of Mathematical Statistics","title":"Interval Estimation for a Binomial Proportion","volume":"16","author":[{"family":"Brown","given":"Lawrence D."},{"family":"Cai","given":"T. Tony"},{"family":"DasGupta","given":"Anirban"}],"issued":{"date-parts":[["2001"]]}}},{"id":49,"uris":["http://zotero.org/users/local/ebPldVBC/items/WDIC986I"],"itemData":{"id":49,"type":"article-journal","title":"Harold Jeffreys’s theory of probability revisited","author":[{"family":"Robert","given":"Christian P"},{"family":"Chopin","given":"Nicolas"},{"family":"Rousseau","given":"Judith"}],"issued":{"date-parts":[["2009"]]}}}],"schema":"https://github.com/citation-style-language/schema/raw/master/csl-citation.json"} </w:instrText>
      </w:r>
      <w:r w:rsidR="001939C2">
        <w:fldChar w:fldCharType="separate"/>
      </w:r>
      <w:r w:rsidR="00FA228E" w:rsidRPr="00FA228E">
        <w:rPr>
          <w:rFonts w:ascii="Aptos" w:hAnsi="Aptos"/>
        </w:rPr>
        <w:t>(17,23)</w:t>
      </w:r>
      <w:r w:rsidR="001939C2">
        <w:fldChar w:fldCharType="end"/>
      </w:r>
      <w:r w:rsidR="00F04ED2" w:rsidRPr="00F04ED2">
        <w:t>:</w:t>
      </w:r>
    </w:p>
    <w:p w14:paraId="243EB40D" w14:textId="2EF09C83" w:rsidR="00F04ED2" w:rsidRPr="00F04ED2" w:rsidRDefault="00F04ED2" w:rsidP="00F04ED2">
      <w:pPr>
        <w:spacing w:line="276" w:lineRule="auto"/>
        <w:ind w:firstLine="360"/>
      </w:pPr>
      <m:oMathPara>
        <m:oMath>
          <m:r>
            <w:rPr>
              <w:rFonts w:ascii="Cambria Math" w:hAnsi="Cambria Math"/>
            </w:rPr>
            <m:t>p∼</m:t>
          </m:r>
          <m:r>
            <m:rPr>
              <m:nor/>
            </m:rPr>
            <m:t>Beta</m:t>
          </m:r>
          <m:d>
            <m:dPr>
              <m:sepChr m:val=","/>
              <m:ctrlPr>
                <w:rPr>
                  <w:rFonts w:ascii="Cambria Math" w:hAnsi="Cambria Math"/>
                </w:rPr>
              </m:ctrlPr>
            </m:dPr>
            <m:e>
              <m:f>
                <m:fPr>
                  <m:ctrlPr>
                    <w:rPr>
                      <w:rFonts w:ascii="Cambria Math" w:hAnsi="Cambria Math"/>
                    </w:rPr>
                  </m:ctrlPr>
                </m:fPr>
                <m:num>
                  <m:r>
                    <w:rPr>
                      <w:rFonts w:ascii="Cambria Math" w:hAnsi="Cambria Math"/>
                    </w:rPr>
                    <m:t>1</m:t>
                  </m:r>
                </m:num>
                <m:den>
                  <m:r>
                    <w:rPr>
                      <w:rFonts w:ascii="Cambria Math" w:hAnsi="Cambria Math"/>
                    </w:rPr>
                    <m:t>2</m:t>
                  </m:r>
                </m:den>
              </m:f>
            </m:e>
            <m:e>
              <m:f>
                <m:fPr>
                  <m:ctrlPr>
                    <w:rPr>
                      <w:rFonts w:ascii="Cambria Math" w:hAnsi="Cambria Math"/>
                    </w:rPr>
                  </m:ctrlPr>
                </m:fPr>
                <m:num>
                  <m:r>
                    <w:rPr>
                      <w:rFonts w:ascii="Cambria Math" w:hAnsi="Cambria Math"/>
                    </w:rPr>
                    <m:t>1</m:t>
                  </m:r>
                </m:num>
                <m:den>
                  <m:r>
                    <w:rPr>
                      <w:rFonts w:ascii="Cambria Math" w:hAnsi="Cambria Math"/>
                    </w:rPr>
                    <m:t>2</m:t>
                  </m:r>
                </m:den>
              </m:f>
            </m:e>
          </m:d>
          <m:r>
            <m:rPr>
              <m:sty m:val="p"/>
            </m:rPr>
            <w:br/>
          </m:r>
        </m:oMath>
      </m:oMathPara>
    </w:p>
    <w:p w14:paraId="71AA5AB5" w14:textId="203BDB62" w:rsidR="00F4661D" w:rsidRDefault="00F4661D" w:rsidP="00216609">
      <w:pPr>
        <w:spacing w:line="276" w:lineRule="auto"/>
      </w:pPr>
      <w:r w:rsidRPr="00F4661D">
        <w:t xml:space="preserve">After observing </w:t>
      </w:r>
      <m:oMath>
        <m:r>
          <w:rPr>
            <w:rFonts w:ascii="Cambria Math" w:hAnsi="Cambria Math"/>
          </w:rPr>
          <m:t>X</m:t>
        </m:r>
      </m:oMath>
      <w:r w:rsidR="00216609">
        <w:rPr>
          <w:rFonts w:eastAsiaTheme="minorEastAsia"/>
        </w:rPr>
        <w:t xml:space="preserve"> </w:t>
      </w:r>
      <w:r w:rsidRPr="00F4661D">
        <w:t xml:space="preserve">events in </w:t>
      </w:r>
      <m:oMath>
        <m:r>
          <w:rPr>
            <w:rFonts w:ascii="Cambria Math" w:hAnsi="Cambria Math"/>
          </w:rPr>
          <m:t>n</m:t>
        </m:r>
      </m:oMath>
      <w:r w:rsidRPr="00F4661D">
        <w:t>patients, the posterior is</w:t>
      </w:r>
      <w:r>
        <w:t>:</w:t>
      </w:r>
    </w:p>
    <w:p w14:paraId="2D5CFC53" w14:textId="48048D37" w:rsidR="00F04ED2" w:rsidRPr="00F04ED2" w:rsidRDefault="00F04ED2" w:rsidP="00F04ED2">
      <w:pPr>
        <w:spacing w:line="276" w:lineRule="auto"/>
        <w:ind w:firstLine="360"/>
      </w:pPr>
      <m:oMathPara>
        <m:oMath>
          <m:r>
            <w:rPr>
              <w:rFonts w:ascii="Cambria Math" w:hAnsi="Cambria Math"/>
            </w:rPr>
            <m:t>p∣X∼</m:t>
          </m:r>
          <m:r>
            <m:rPr>
              <m:nor/>
            </m:rPr>
            <m:t>Beta</m:t>
          </m:r>
          <m:d>
            <m:dPr>
              <m:ctrlPr>
                <w:rPr>
                  <w:rFonts w:ascii="Cambria Math" w:hAnsi="Cambria Math"/>
                </w:rPr>
              </m:ctrlPr>
            </m:dPr>
            <m:e>
              <m:r>
                <w:rPr>
                  <w:rFonts w:ascii="Cambria Math" w:hAnsi="Cambria Math"/>
                </w:rPr>
                <m:t>X+</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,n-X+</m:t>
              </m:r>
              <m:f>
                <m:fPr>
                  <m:ctrlPr>
                    <w:rPr>
                      <w:rFonts w:ascii="Cambria Math" w:hAnsi="Cambria Math"/>
                    </w:rPr>
                  </m:ctrlPr>
                </m:fPr>
                <m:num>
                  <m:r>
                    <w:rPr>
                      <w:rFonts w:ascii="Cambria Math" w:hAnsi="Cambria Math"/>
                    </w:rPr>
                    <m:t>1</m:t>
                  </m:r>
                </m:num>
                <m:den>
                  <m:r>
                    <w:rPr>
                      <w:rFonts w:ascii="Cambria Math" w:hAnsi="Cambria Math"/>
                    </w:rPr>
                    <m:t>2</m:t>
                  </m:r>
                </m:den>
              </m:f>
            </m:e>
          </m:d>
          <m:r>
            <m:rPr>
              <m:sty m:val="p"/>
            </m:rPr>
            <w:br/>
          </m:r>
        </m:oMath>
      </m:oMathPara>
    </w:p>
    <w:p w14:paraId="6348B94B" w14:textId="60CEC165" w:rsidR="00F04ED2" w:rsidRPr="00F04ED2" w:rsidRDefault="00F4661D" w:rsidP="00F04ED2">
      <w:pPr>
        <w:spacing w:line="276" w:lineRule="auto"/>
      </w:pPr>
      <w:r>
        <w:t>T</w:t>
      </w:r>
      <w:r w:rsidRPr="00F4661D">
        <w:t>he interval is obtained from the posterior quantiles. Despite its Bayesian construction, the Jeffreys interval is frequently evaluated using frequentist coverage properties and performs competitively in simulation studies of binomial intervals</w:t>
      </w:r>
      <w:r w:rsidR="001939C2">
        <w:fldChar w:fldCharType="begin"/>
      </w:r>
      <w:r w:rsidR="001939C2">
        <w:instrText xml:space="preserve"> ADDIN ZOTERO_ITEM CSL_CITATION {"citationID":"k3r1elJw","properties":{"unsorted":false,"formattedCitation":"(17)","plainCitation":"(17)","noteIndex":0},"citationItems":[{"id":43,"uris":["http://zotero.org/users/local/ebPldVBC/items/H9KC5ZVH"],"itemData":{"id":43,"type":"article-journal","abstract":"[We revisit the problem of interval estimation of a binomial proportion. The erratic behavior of the coverage probability of the standard Wald confidence interval has previously been remarked on in the literature (Blyth and Still, Agresti and Coull, Santner and others). We begin by showing that the chaotic coverage properties of the Wald interval are far more persistent than is appreciated. Furthermore, common textbook prescriptions regarding its safety are misleading and defective in several respects and cannot be trusted. This leads us to consideration of alternative intervals. A number of natural alternatives are presented, each with its motivation and context. Each interval is examined for its coverage probability and its length. Based on this analysis, we recommend the Wilson interval or the equal-tailed Jeffreys prior interval for small n and the interval suggested in Agresti and Coull for larger n. We also provide an additional frequentist justification for use of the Jeffreys interval.]","archive":"JSTOR","container-title":"Statistical Science","ISSN":"08834237, 21688745","issue":"2","page":"101-117","publisher":"Institute of Mathematical Statistics","title":"Interval Estimation for a Binomial Proportion","volume":"16","author":[{"family":"Brown","given":"Lawrence D."},{"family":"Cai","given":"T. Tony"},{"family":"DasGupta","given":"Anirban"}],"issued":{"date-parts":[["2001"]]}}}],"schema":"https://github.com/citation-style-language/schema/raw/master/csl-citation.json"} </w:instrText>
      </w:r>
      <w:r w:rsidR="001939C2">
        <w:fldChar w:fldCharType="separate"/>
      </w:r>
      <w:r w:rsidR="001939C2" w:rsidRPr="001939C2">
        <w:rPr>
          <w:rFonts w:ascii="Aptos" w:hAnsi="Aptos"/>
        </w:rPr>
        <w:t>(17)</w:t>
      </w:r>
      <w:r w:rsidR="001939C2">
        <w:fldChar w:fldCharType="end"/>
      </w:r>
      <w:r w:rsidR="00F04ED2" w:rsidRPr="00F04ED2">
        <w:t>.</w:t>
      </w:r>
    </w:p>
    <w:p w14:paraId="77F95479" w14:textId="6AA27B66" w:rsidR="00F04ED2" w:rsidRPr="00F04ED2" w:rsidRDefault="00F4661D" w:rsidP="00F04ED2">
      <w:pPr>
        <w:spacing w:line="276" w:lineRule="auto"/>
      </w:pPr>
      <w:r w:rsidRPr="00F4661D">
        <w:t>The key performance measure used to compare these methods is coverage probability</w:t>
      </w:r>
      <w:r w:rsidR="00216609">
        <w:t xml:space="preserve">: </w:t>
      </w:r>
      <w:r w:rsidRPr="00F4661D">
        <w:t xml:space="preserve">the probability that the constructed interval contains the true value of </w:t>
      </w:r>
      <m:oMath>
        <m:r>
          <w:rPr>
            <w:rFonts w:ascii="Cambria Math" w:hAnsi="Cambria Math"/>
          </w:rPr>
          <m:t>p</m:t>
        </m:r>
      </m:oMath>
      <w:r w:rsidR="0096727E">
        <w:fldChar w:fldCharType="begin"/>
      </w:r>
      <w:r w:rsidR="0096727E">
        <w:instrText xml:space="preserve"> ADDIN ZOTERO_ITEM CSL_CITATION {"citationID":"kfBvuRyS","properties":{"unsorted":false,"formattedCitation":"(17)","plainCitation":"(17)","noteIndex":0},"citationItems":[{"id":43,"uris":["http://zotero.org/users/local/ebPldVBC/items/H9KC5ZVH"],"itemData":{"id":43,"type":"article-journal","abstract":"[We revisit the problem of interval estimation of a binomial proportion. The erratic behavior of the coverage probability of the standard Wald confidence interval has previously been remarked on in the literature (Blyth and Still, Agresti and Coull, Santner and others). We begin by showing that the chaotic coverage properties of the Wald interval are far more persistent than is appreciated. Furthermore, common textbook prescriptions regarding its safety are misleading and defective in several respects and cannot be trusted. This leads us to consideration of alternative intervals. A number of natural alternatives are presented, each with its motivation and context. Each interval is examined for its coverage probability and its length. Based on this analysis, we recommend the Wilson interval or the equal-tailed Jeffreys prior interval for small n and the interval suggested in Agresti and Coull for larger n. We also provide an additional frequentist justification for use of the Jeffreys interval.]","archive":"JSTOR","container-title":"Statistical Science","ISSN":"08834237, 21688745","issue":"2","page":"101-117","publisher":"Institute of Mathematical Statistics","title":"Interval Estimation for a Binomial Proportion","volume":"16","author":[{"family":"Brown","given":"Lawrence D."},{"family":"Cai","given":"T. Tony"},{"family":"DasGupta","given":"Anirban"}],"issued":{"date-parts":[["2001"]]}}}],"schema":"https://github.com/citation-style-language/schema/raw/master/csl-citation.json"} </w:instrText>
      </w:r>
      <w:r w:rsidR="0096727E">
        <w:fldChar w:fldCharType="separate"/>
      </w:r>
      <w:r w:rsidR="0096727E" w:rsidRPr="0096727E">
        <w:rPr>
          <w:rFonts w:ascii="Aptos" w:hAnsi="Aptos"/>
        </w:rPr>
        <w:t>(17)</w:t>
      </w:r>
      <w:r w:rsidR="0096727E">
        <w:fldChar w:fldCharType="end"/>
      </w:r>
      <w:r w:rsidR="00F04ED2" w:rsidRPr="00F04ED2">
        <w:t>:</w:t>
      </w:r>
    </w:p>
    <w:p w14:paraId="332AAB2E" w14:textId="1180EED0" w:rsidR="00F04ED2" w:rsidRPr="00F04ED2" w:rsidRDefault="00F04ED2" w:rsidP="00F04ED2">
      <w:pPr>
        <w:spacing w:line="276" w:lineRule="auto"/>
        <w:ind w:firstLine="360"/>
      </w:pPr>
      <m:oMathPara>
        <m:oMath>
          <m:r>
            <w:rPr>
              <w:rFonts w:ascii="Cambria Math" w:hAnsi="Cambria Math"/>
            </w:rPr>
            <m:t>CP(p)=</m:t>
          </m:r>
          <m:sSub>
            <m:sSubPr>
              <m:ctrlPr>
                <w:rPr>
                  <w:rFonts w:ascii="Cambria Math" w:hAnsi="Cambria Math"/>
                </w:rPr>
              </m:ctrlPr>
            </m:sSubPr>
            <m:e>
              <m:r>
                <w:rPr>
                  <w:rFonts w:ascii="Cambria Math" w:hAnsi="Cambria Math"/>
                </w:rPr>
                <m:t>P</m:t>
              </m:r>
            </m:e>
            <m:sub>
              <m:r>
                <w:rPr>
                  <w:rFonts w:ascii="Cambria Math" w:hAnsi="Cambria Math"/>
                </w:rPr>
                <m:t>p</m:t>
              </m:r>
            </m:sub>
          </m:sSub>
          <m:d>
            <m:dPr>
              <m:ctrlPr>
                <w:rPr>
                  <w:rFonts w:ascii="Cambria Math" w:hAnsi="Cambria Math"/>
                </w:rPr>
              </m:ctrlPr>
            </m:dPr>
            <m:e>
              <m:r>
                <w:rPr>
                  <w:rFonts w:ascii="Cambria Math" w:hAnsi="Cambria Math"/>
                </w:rPr>
                <m:t>L(X)≤p≤U(X)</m:t>
              </m:r>
            </m:e>
          </m:d>
          <m:r>
            <m:rPr>
              <m:sty m:val="p"/>
            </m:rPr>
            <w:br/>
          </m:r>
        </m:oMath>
      </m:oMathPara>
    </w:p>
    <w:p w14:paraId="2E5E1EB3" w14:textId="77DD9CFD" w:rsidR="004A3582" w:rsidRDefault="00F4661D" w:rsidP="00F4661D">
      <w:pPr>
        <w:spacing w:line="276" w:lineRule="auto"/>
      </w:pPr>
      <w:r w:rsidRPr="00F4661D">
        <w:t xml:space="preserve">Because binomial outcomes are discrete, coverage fluctuates across values of </w:t>
      </w:r>
      <m:oMath>
        <m:r>
          <w:rPr>
            <w:rFonts w:ascii="Cambria Math" w:hAnsi="Cambria Math"/>
          </w:rPr>
          <m:t>p</m:t>
        </m:r>
      </m:oMath>
      <w:r w:rsidRPr="00F4661D">
        <w:t xml:space="preserve">and </w:t>
      </w:r>
      <m:oMath>
        <m:r>
          <w:rPr>
            <w:rFonts w:ascii="Cambria Math" w:hAnsi="Cambria Math"/>
          </w:rPr>
          <m:t>n</m:t>
        </m:r>
      </m:oMath>
      <w:r w:rsidRPr="00F4661D">
        <w:t>rather than sitting exactly at the nominal level</w:t>
      </w:r>
      <m:oMath>
        <m:r>
          <w:rPr>
            <w:rFonts w:ascii="Cambria Math" w:hAnsi="Cambria Math"/>
            <w:i/>
          </w:rPr>
          <w:fldChar w:fldCharType="begin"/>
        </m:r>
        <m:r>
          <m:rPr>
            <m:sty m:val="p"/>
          </m:rPr>
          <w:rPr>
            <w:rFonts w:ascii="Cambria Math" w:hAnsi="Cambria Math"/>
          </w:rPr>
          <m:t xml:space="preserve"> ADDIN ZOTERO_ITEM CSL_CITATION {"citationID":"6VoIIpUd","properties":{"unsorted":false,"formattedCitation":"(17)","plainCitation":"(17)","noteIndex":0},"citationItems":[{"id":43,"uris":["http://zotero.org/users/local/ebPldVBC/items/H9KC5ZVH"],"itemData":{"id":43,"type":"article-journal","abstract":"[We revisit the problem of interval estimation of a binomial proportion. The erratic behavior of the coverage probability of the standard Wald confidence interval has previously been remarked on in the literature (Blyth and Still, Agresti and Coull, Santner and others). We begin by showing that the chaotic coverage properties of the Wald interval are far more persistent than is appreciated. Furthermore, common textbook prescriptions regarding its safety are misleading and defective in several respects and cannot be trusted. This leads us to consideration of alternative intervals. A number of natural alternatives are presented, each with its motivation and context. Each interval is examined for its coverage probability and its length. Based on this analysis, we recommend the Wilson interval or the equal-tailed Jeffreys prior interval for small n and the interval suggested in Agresti and Coull for larger n. We also provide an additional frequentist justification for use of the Jeffreys interval.]","archive":"JSTOR","container-title":"Statistical Science","ISSN":"08834237, 21688745","issue":"2","page":"101-117","publisher":"Institute of Mathematical Statistics","title":"Interval Estimation for a Binomial Proportion","volume":"16","author":[{"family":"Brown","given":"Lawrence D."},{"family":"Cai","given":"T. Tony"},{"family":"DasGupta","given":"Anirban"}],"issued":{"date-parts":[["2001"]]}}}],"schema":"https://github.com/citation-style-language/schema/raw/master/csl-citation.json"} </m:t>
        </m:r>
        <m:r>
          <w:rPr>
            <w:rFonts w:ascii="Cambria Math" w:hAnsi="Cambria Math"/>
            <w:i/>
          </w:rPr>
          <w:fldChar w:fldCharType="separate"/>
        </m:r>
        <m:r>
          <m:rPr>
            <m:sty m:val="p"/>
          </m:rPr>
          <w:rPr>
            <w:rFonts w:ascii="Cambria Math" w:hAnsi="Cambria Math"/>
          </w:rPr>
          <m:t>(17)</m:t>
        </m:r>
        <m:r>
          <w:rPr>
            <w:rFonts w:ascii="Cambria Math" w:hAnsi="Cambria Math"/>
            <w:i/>
          </w:rPr>
          <w:fldChar w:fldCharType="end"/>
        </m:r>
      </m:oMath>
      <w:r w:rsidR="00F04ED2" w:rsidRPr="00F04ED2">
        <w:t xml:space="preserve">. </w:t>
      </w:r>
      <w:r w:rsidRPr="00F4661D">
        <w:t xml:space="preserve">This is particularly relevant in a performance goal setting, where a method that performs acceptably on average may </w:t>
      </w:r>
      <w:proofErr w:type="gramStart"/>
      <w:r w:rsidR="00216609" w:rsidRPr="00F4661D">
        <w:t>still</w:t>
      </w:r>
      <w:proofErr w:type="gramEnd"/>
      <w:r w:rsidR="00216609" w:rsidRPr="00F4661D">
        <w:t xml:space="preserve"> </w:t>
      </w:r>
      <w:r w:rsidRPr="00F4661D">
        <w:t xml:space="preserve">undercover at the specific proportion values most relevant to the clinical decision. The simulation study in </w:t>
      </w:r>
      <w:r w:rsidRPr="00F4661D">
        <w:lastRenderedPageBreak/>
        <w:t xml:space="preserve">Section 4.1 evaluates these methods on this basis before they are applied to the </w:t>
      </w:r>
      <w:proofErr w:type="spellStart"/>
      <w:r w:rsidRPr="00F4661D">
        <w:t>BioMimics</w:t>
      </w:r>
      <w:proofErr w:type="spellEnd"/>
      <w:r w:rsidRPr="00F4661D">
        <w:t xml:space="preserve"> 3D sample size calculations in Section 4.2.</w:t>
      </w:r>
    </w:p>
    <w:p w14:paraId="20B33C6D" w14:textId="77777777" w:rsidR="00AD0385" w:rsidRDefault="00AD0385" w:rsidP="00F4661D">
      <w:pPr>
        <w:spacing w:line="276" w:lineRule="auto"/>
      </w:pPr>
    </w:p>
    <w:p w14:paraId="40111810" w14:textId="0BEC6564" w:rsidR="004F13B5" w:rsidRDefault="00FE2CFF" w:rsidP="004F13B5">
      <w:pPr>
        <w:pStyle w:val="Heading2"/>
      </w:pPr>
      <w:bookmarkStart w:id="17" w:name="_Toc232114698"/>
      <w:r>
        <w:t xml:space="preserve">2.4 </w:t>
      </w:r>
      <w:r w:rsidRPr="00FE2CFF">
        <w:t>Sample Size in Non-Inferiority Studies</w:t>
      </w:r>
      <w:bookmarkEnd w:id="17"/>
    </w:p>
    <w:p w14:paraId="2FD62C67" w14:textId="73E4265B" w:rsidR="00F04ED2" w:rsidRPr="00F04ED2" w:rsidRDefault="00F4661D" w:rsidP="00F04ED2">
      <w:r w:rsidRPr="00F4661D">
        <w:t>For a two-arm non-inferiority study with equal allocation and binary endpoints, an approximate sample size per group is given by</w:t>
      </w:r>
      <w:r w:rsidR="00F04ED2" w:rsidRPr="00F04ED2">
        <w:t>:</w:t>
      </w:r>
    </w:p>
    <w:p w14:paraId="46722D21" w14:textId="05EDB1AD" w:rsidR="00F04ED2" w:rsidRPr="00F04ED2" w:rsidRDefault="00F04ED2" w:rsidP="00F04ED2">
      <m:oMathPara>
        <m:oMath>
          <m:r>
            <w:rPr>
              <w:rFonts w:ascii="Cambria Math" w:hAnsi="Cambria Math"/>
            </w:rPr>
            <m:t>n=</m:t>
          </m:r>
          <m:f>
            <m:fPr>
              <m:ctrlPr>
                <w:rPr>
                  <w:rFonts w:ascii="Cambria Math" w:hAnsi="Cambria Math"/>
                </w:rPr>
              </m:ctrlPr>
            </m:fPr>
            <m:num>
              <m:sSup>
                <m:sSupPr>
                  <m:ctrlPr>
                    <w:rPr>
                      <w:rFonts w:ascii="Cambria Math" w:hAnsi="Cambria Math"/>
                    </w:rPr>
                  </m:ctrlPr>
                </m:sSupPr>
                <m:e>
                  <m:d>
                    <m:dPr>
                      <m:begChr m:val="["/>
                      <m:sepChr m:val="+"/>
                      <m:endChr m:val="]"/>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1-α</m:t>
                          </m:r>
                        </m:sub>
                      </m:sSub>
                      <m:rad>
                        <m:radPr>
                          <m:degHide m:val="1"/>
                          <m:ctrlPr>
                            <w:rPr>
                              <w:rFonts w:ascii="Cambria Math" w:hAnsi="Cambria Math"/>
                            </w:rPr>
                          </m:ctrlPr>
                        </m:radPr>
                        <m:deg/>
                        <m:e>
                          <m:r>
                            <w:rPr>
                              <w:rFonts w:ascii="Cambria Math" w:hAnsi="Cambria Math"/>
                            </w:rPr>
                            <m:t>2</m:t>
                          </m:r>
                          <m:acc>
                            <m:accPr>
                              <m:chr m:val="ˉ"/>
                              <m:ctrlPr>
                                <w:rPr>
                                  <w:rFonts w:ascii="Cambria Math" w:hAnsi="Cambria Math"/>
                                </w:rPr>
                              </m:ctrlPr>
                            </m:accPr>
                            <m:e>
                              <m:r>
                                <w:rPr>
                                  <w:rFonts w:ascii="Cambria Math" w:hAnsi="Cambria Math"/>
                                </w:rPr>
                                <m:t>p</m:t>
                              </m:r>
                            </m:e>
                          </m:acc>
                          <m:r>
                            <w:rPr>
                              <w:rFonts w:ascii="Cambria Math" w:hAnsi="Cambria Math"/>
                            </w:rPr>
                            <m:t>(1-</m:t>
                          </m:r>
                          <m:acc>
                            <m:accPr>
                              <m:chr m:val="ˉ"/>
                              <m:ctrlPr>
                                <w:rPr>
                                  <w:rFonts w:ascii="Cambria Math" w:hAnsi="Cambria Math"/>
                                </w:rPr>
                              </m:ctrlPr>
                            </m:accPr>
                            <m:e>
                              <m:r>
                                <w:rPr>
                                  <w:rFonts w:ascii="Cambria Math" w:hAnsi="Cambria Math"/>
                                </w:rPr>
                                <m:t>p</m:t>
                              </m:r>
                            </m:e>
                          </m:acc>
                          <m:r>
                            <w:rPr>
                              <w:rFonts w:ascii="Cambria Math" w:hAnsi="Cambria Math"/>
                            </w:rPr>
                            <m:t>)</m:t>
                          </m:r>
                        </m:e>
                      </m:rad>
                    </m:e>
                    <m:e>
                      <m:sSub>
                        <m:sSubPr>
                          <m:ctrlPr>
                            <w:rPr>
                              <w:rFonts w:ascii="Cambria Math" w:hAnsi="Cambria Math"/>
                            </w:rPr>
                          </m:ctrlPr>
                        </m:sSubPr>
                        <m:e>
                          <m:r>
                            <w:rPr>
                              <w:rFonts w:ascii="Cambria Math" w:hAnsi="Cambria Math"/>
                            </w:rPr>
                            <m:t>z</m:t>
                          </m:r>
                        </m:e>
                        <m:sub>
                          <m:r>
                            <w:rPr>
                              <w:rFonts w:ascii="Cambria Math" w:hAnsi="Cambria Math"/>
                            </w:rPr>
                            <m:t>1-β</m:t>
                          </m:r>
                        </m:sub>
                      </m:sSub>
                      <m:rad>
                        <m:radPr>
                          <m:degHide m:val="1"/>
                          <m:ctrlPr>
                            <w:rPr>
                              <w:rFonts w:ascii="Cambria Math" w:hAnsi="Cambria Math"/>
                            </w:rPr>
                          </m:ctrlPr>
                        </m:radPr>
                        <m:deg/>
                        <m:e>
                          <m:sSub>
                            <m:sSubPr>
                              <m:ctrlPr>
                                <w:rPr>
                                  <w:rFonts w:ascii="Cambria Math" w:hAnsi="Cambria Math"/>
                                </w:rPr>
                              </m:ctrlPr>
                            </m:sSubPr>
                            <m:e>
                              <m:r>
                                <w:rPr>
                                  <w:rFonts w:ascii="Cambria Math" w:hAnsi="Cambria Math"/>
                                </w:rPr>
                                <m:t>p</m:t>
                              </m:r>
                            </m:e>
                            <m:sub>
                              <m:r>
                                <w:rPr>
                                  <w:rFonts w:ascii="Cambria Math" w:hAnsi="Cambria Math"/>
                                </w:rPr>
                                <m:t>T</m:t>
                              </m:r>
                            </m:sub>
                          </m:sSub>
                          <m:r>
                            <w:rPr>
                              <w:rFonts w:ascii="Cambria Math" w:hAnsi="Cambria Math"/>
                            </w:rPr>
                            <m:t>(1-</m:t>
                          </m:r>
                          <m:sSub>
                            <m:sSubPr>
                              <m:ctrlPr>
                                <w:rPr>
                                  <w:rFonts w:ascii="Cambria Math" w:hAnsi="Cambria Math"/>
                                </w:rPr>
                              </m:ctrlPr>
                            </m:sSubPr>
                            <m:e>
                              <m:r>
                                <w:rPr>
                                  <w:rFonts w:ascii="Cambria Math" w:hAnsi="Cambria Math"/>
                                </w:rPr>
                                <m:t>p</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C</m:t>
                              </m:r>
                            </m:sub>
                          </m:sSub>
                          <m:r>
                            <w:rPr>
                              <w:rFonts w:ascii="Cambria Math" w:hAnsi="Cambria Math"/>
                            </w:rPr>
                            <m:t>(1-</m:t>
                          </m:r>
                          <m:sSub>
                            <m:sSubPr>
                              <m:ctrlPr>
                                <w:rPr>
                                  <w:rFonts w:ascii="Cambria Math" w:hAnsi="Cambria Math"/>
                                </w:rPr>
                              </m:ctrlPr>
                            </m:sSubPr>
                            <m:e>
                              <m:r>
                                <w:rPr>
                                  <w:rFonts w:ascii="Cambria Math" w:hAnsi="Cambria Math"/>
                                </w:rPr>
                                <m:t>p</m:t>
                              </m:r>
                            </m:e>
                            <m:sub>
                              <m:r>
                                <w:rPr>
                                  <w:rFonts w:ascii="Cambria Math" w:hAnsi="Cambria Math"/>
                                </w:rPr>
                                <m:t>C</m:t>
                              </m:r>
                            </m:sub>
                          </m:sSub>
                          <m:r>
                            <w:rPr>
                              <w:rFonts w:ascii="Cambria Math" w:hAnsi="Cambria Math"/>
                            </w:rPr>
                            <m:t>)</m:t>
                          </m:r>
                        </m:e>
                      </m:rad>
                    </m:e>
                  </m:d>
                </m:e>
                <m:sup>
                  <m:r>
                    <w:rPr>
                      <w:rFonts w:ascii="Cambria Math" w:hAnsi="Cambria Math"/>
                    </w:rPr>
                    <m:t>2</m:t>
                  </m:r>
                </m:sup>
              </m:sSup>
            </m:num>
            <m:den>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C</m:t>
                          </m:r>
                        </m:sub>
                      </m:sSub>
                      <m:r>
                        <w:rPr>
                          <w:rFonts w:ascii="Cambria Math" w:hAnsi="Cambria Math"/>
                        </w:rPr>
                        <m:t>+</m:t>
                      </m:r>
                      <m:sSub>
                        <m:sSubPr>
                          <m:ctrlPr>
                            <w:rPr>
                              <w:rFonts w:ascii="Cambria Math" w:hAnsi="Cambria Math"/>
                            </w:rPr>
                          </m:ctrlPr>
                        </m:sSubPr>
                        <m:e>
                          <m:r>
                            <m:rPr>
                              <m:sty m:val="p"/>
                            </m:rPr>
                            <w:rPr>
                              <w:rFonts w:ascii="Cambria Math" w:hAnsi="Cambria Math"/>
                            </w:rPr>
                            <m:t>Δ</m:t>
                          </m:r>
                        </m:e>
                        <m:sub>
                          <m:r>
                            <w:rPr>
                              <w:rFonts w:ascii="Cambria Math" w:hAnsi="Cambria Math"/>
                            </w:rPr>
                            <m:t>NI</m:t>
                          </m:r>
                        </m:sub>
                      </m:sSub>
                    </m:e>
                  </m:d>
                </m:e>
                <m:sup>
                  <m:r>
                    <w:rPr>
                      <w:rFonts w:ascii="Cambria Math" w:hAnsi="Cambria Math"/>
                    </w:rPr>
                    <m:t>2</m:t>
                  </m:r>
                </m:sup>
              </m:sSup>
            </m:den>
          </m:f>
          <m:r>
            <m:rPr>
              <m:sty m:val="p"/>
            </m:rPr>
            <w:br/>
          </m:r>
        </m:oMath>
      </m:oMathPara>
    </w:p>
    <w:p w14:paraId="253A304B" w14:textId="22F661EF" w:rsidR="00F04ED2" w:rsidRPr="00F04ED2" w:rsidRDefault="004C750A" w:rsidP="00F04ED2">
      <w:r w:rsidRPr="004C750A">
        <w:t xml:space="preserve">where </w:t>
      </w:r>
      <m:oMath>
        <m:r>
          <w:rPr>
            <w:rFonts w:ascii="Cambria Math" w:hAnsi="Cambria Math"/>
          </w:rPr>
          <m:t>n</m:t>
        </m:r>
      </m:oMath>
      <w:r w:rsidR="00216609">
        <w:rPr>
          <w:rFonts w:eastAsiaTheme="minorEastAsia"/>
        </w:rPr>
        <w:t xml:space="preserve"> </w:t>
      </w:r>
      <w:r w:rsidRPr="004C750A">
        <w:t xml:space="preserve">is the required number of patients per group, </w:t>
      </w:r>
      <m:oMath>
        <m:acc>
          <m:accPr>
            <m:chr m:val="ˉ"/>
            <m:ctrlPr>
              <w:rPr>
                <w:rFonts w:ascii="Cambria Math" w:hAnsi="Cambria Math"/>
              </w:rPr>
            </m:ctrlPr>
          </m:accPr>
          <m:e>
            <m:r>
              <w:rPr>
                <w:rFonts w:ascii="Cambria Math" w:hAnsi="Cambria Math"/>
              </w:rPr>
              <m:t>p</m:t>
            </m:r>
          </m:e>
        </m:acc>
      </m:oMath>
      <w:r w:rsidR="00216609">
        <w:rPr>
          <w:rFonts w:eastAsiaTheme="minorEastAsia"/>
        </w:rPr>
        <w:t xml:space="preserve"> </w:t>
      </w:r>
      <w:r w:rsidRPr="004C750A">
        <w:t xml:space="preserve">is the average of the assumed success probabilities, </w:t>
      </w:r>
      <m:oMath>
        <m:sSub>
          <m:sSubPr>
            <m:ctrlPr>
              <w:rPr>
                <w:rFonts w:ascii="Cambria Math" w:hAnsi="Cambria Math"/>
              </w:rPr>
            </m:ctrlPr>
          </m:sSubPr>
          <m:e>
            <m:r>
              <w:rPr>
                <w:rFonts w:ascii="Cambria Math" w:hAnsi="Cambria Math"/>
              </w:rPr>
              <m:t>z</m:t>
            </m:r>
          </m:e>
          <m:sub>
            <m:r>
              <w:rPr>
                <w:rFonts w:ascii="Cambria Math" w:hAnsi="Cambria Math"/>
              </w:rPr>
              <m:t>1-α</m:t>
            </m:r>
          </m:sub>
        </m:sSub>
      </m:oMath>
      <w:r w:rsidRPr="004C750A">
        <w:t xml:space="preserve">is the critical value for the one-sided type I error rate, and </w:t>
      </w:r>
      <m:oMath>
        <m:sSub>
          <m:sSubPr>
            <m:ctrlPr>
              <w:rPr>
                <w:rFonts w:ascii="Cambria Math" w:hAnsi="Cambria Math"/>
              </w:rPr>
            </m:ctrlPr>
          </m:sSubPr>
          <m:e>
            <m:r>
              <w:rPr>
                <w:rFonts w:ascii="Cambria Math" w:hAnsi="Cambria Math"/>
              </w:rPr>
              <m:t>z</m:t>
            </m:r>
          </m:e>
          <m:sub>
            <m:r>
              <w:rPr>
                <w:rFonts w:ascii="Cambria Math" w:hAnsi="Cambria Math"/>
              </w:rPr>
              <m:t>1-β</m:t>
            </m:r>
          </m:sub>
        </m:sSub>
      </m:oMath>
      <w:r w:rsidRPr="004C750A">
        <w:t>is the critical value corresponding to the desired power</w:t>
      </w:r>
      <w:r w:rsidR="0096727E">
        <w:fldChar w:fldCharType="begin"/>
      </w:r>
      <w:r w:rsidR="00FA228E">
        <w:instrText xml:space="preserve"> ADDIN ZOTERO_ITEM CSL_CITATION {"citationID":"hYMbfZPm","properties":{"unsorted":false,"formattedCitation":"(13,24)","plainCitation":"(13,24)","noteIndex":0},"citationItems":[{"id":38,"uris":["http://zotero.org/users/local/ebPldVBC/items/4KW5E62I"],"itemData":{"id":38,"type":"book","ISBN":"1-315-18308-0","publisher":"chapman and hall/CRC","title":"Sample size calculations in clinical research","author":[{"family":"Chow","given":"Shein-Chung"},{"family":"Shao","given":"Jun"},{"family":"Wang","given":"Hansheng"},{"family":"Lokhnygina","given":"Yuliya"}],"issued":{"date-parts":[["2017"]]}}},{"id":50,"uris":["http://zotero.org/users/local/ebPldVBC/items/LY97CCPP"],"itemData":{"id":50,"type":"article-journal","container-title":"Statistics in medicine","ISSN":"0277-6715","issue":"12","journalAbbreviation":"Statistics in medicine","page":"1921-1986","publisher":"Wiley Online Library","title":"Sample sizes for clinical trials with normal data","volume":"23","author":[{"family":"Julious","given":"Steven A"}],"issued":{"date-parts":[["2004"]]}}}],"schema":"https://github.com/citation-style-language/schema/raw/master/csl-citation.json"} </w:instrText>
      </w:r>
      <w:r w:rsidR="0096727E">
        <w:fldChar w:fldCharType="separate"/>
      </w:r>
      <w:r w:rsidR="00FA228E" w:rsidRPr="00FA228E">
        <w:rPr>
          <w:rFonts w:ascii="Aptos" w:hAnsi="Aptos"/>
        </w:rPr>
        <w:t>(13,24)</w:t>
      </w:r>
      <w:r w:rsidR="0096727E">
        <w:fldChar w:fldCharType="end"/>
      </w:r>
      <w:r w:rsidR="00F04ED2" w:rsidRPr="00F04ED2">
        <w:t>.</w:t>
      </w:r>
    </w:p>
    <w:p w14:paraId="445B76E7" w14:textId="002957FC" w:rsidR="00F04ED2" w:rsidRPr="00F04ED2" w:rsidRDefault="004C750A" w:rsidP="00F04ED2">
      <w:r w:rsidRPr="00F04ED2">
        <w:t>This formula highlights the importance of the distance between the expected treatment effect and the non-inferiority threshold</w:t>
      </w:r>
      <w:r>
        <w:t xml:space="preserve"> </w:t>
      </w:r>
      <w:r w:rsidR="0096727E">
        <w:fldChar w:fldCharType="begin"/>
      </w:r>
      <w:r w:rsidR="0096727E">
        <w:instrText xml:space="preserve"> ADDIN ZOTERO_ITEM CSL_CITATION {"citationID":"dYYF2dLL","properties":{"unsorted":false,"formattedCitation":"(1,13)","plainCitation":"(1,13)","noteIndex":0},"citationItems":[{"id":5,"uris":["http://zotero.org/users/local/ebPldVBC/items/GSP4TB2M"],"itemData":{"id":5,"type":"article-journal","abstract":"Non-inferiority trials test whether a new product is not unacceptably worse than a product already in use. This paper introduces concepts related to non-inferiority, and discusses the regulatory views of both the European Medicines Agency and the United States Food and Drug Administration.","container-title":"Trials","DOI":"10.1186/1745-6215-12-106","ISSN":"1745-6215","issue":"1","journalAbbreviation":"Trials","page":"106","title":"Through the looking glass: understanding non-inferiority","volume":"12","author":[{"family":"Schumi","given":"Jennifer"},{"family":"Wittes","given":"Janet T."}],"issued":{"date-parts":[["2011",5,3]]}}},{"id":38,"uris":["http://zotero.org/users/local/ebPldVBC/items/4KW5E62I"],"itemData":{"id":38,"type":"book","ISBN":"1-315-18308-0","publisher":"chapman and hall/CRC","title":"Sample size calculations in clinical research","author":[{"family":"Chow","given":"Shein-Chung"},{"family":"Shao","given":"Jun"},{"family":"Wang","given":"Hansheng"},{"family":"Lokhnygina","given":"Yuliya"}],"issued":{"date-parts":[["2017"]]}}}],"schema":"https://github.com/citation-style-language/schema/raw/master/csl-citation.json"} </w:instrText>
      </w:r>
      <w:r w:rsidR="0096727E">
        <w:fldChar w:fldCharType="separate"/>
      </w:r>
      <w:r w:rsidR="0096727E" w:rsidRPr="0096727E">
        <w:rPr>
          <w:rFonts w:ascii="Aptos" w:hAnsi="Aptos"/>
        </w:rPr>
        <w:t>(1,13)</w:t>
      </w:r>
      <w:r w:rsidR="0096727E">
        <w:fldChar w:fldCharType="end"/>
      </w:r>
      <w:r w:rsidR="00F04ED2" w:rsidRPr="00F04ED2">
        <w:t>:</w:t>
      </w:r>
    </w:p>
    <w:p w14:paraId="03ED449A" w14:textId="2C8E562C" w:rsidR="00F04ED2" w:rsidRPr="00F04ED2" w:rsidRDefault="00000000" w:rsidP="00F04ED2">
      <m:oMathPara>
        <m:oMath>
          <m:sSub>
            <m:sSubPr>
              <m:ctrlPr>
                <w:rPr>
                  <w:rFonts w:ascii="Cambria Math" w:hAnsi="Cambria Math"/>
                </w:rPr>
              </m:ctrlPr>
            </m:sSubPr>
            <m:e>
              <m:r>
                <w:rPr>
                  <w:rFonts w:ascii="Cambria Math" w:hAnsi="Cambria Math"/>
                </w:rPr>
                <m:t>p</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C</m:t>
              </m:r>
            </m:sub>
          </m:sSub>
          <m:r>
            <w:rPr>
              <w:rFonts w:ascii="Cambria Math" w:hAnsi="Cambria Math"/>
            </w:rPr>
            <m:t>+</m:t>
          </m:r>
          <m:sSub>
            <m:sSubPr>
              <m:ctrlPr>
                <w:rPr>
                  <w:rFonts w:ascii="Cambria Math" w:hAnsi="Cambria Math"/>
                </w:rPr>
              </m:ctrlPr>
            </m:sSubPr>
            <m:e>
              <m:r>
                <m:rPr>
                  <m:sty m:val="p"/>
                </m:rPr>
                <w:rPr>
                  <w:rFonts w:ascii="Cambria Math" w:hAnsi="Cambria Math"/>
                </w:rPr>
                <m:t>Δ</m:t>
              </m:r>
            </m:e>
            <m:sub>
              <m:r>
                <w:rPr>
                  <w:rFonts w:ascii="Cambria Math" w:hAnsi="Cambria Math"/>
                </w:rPr>
                <m:t>NI</m:t>
              </m:r>
            </m:sub>
          </m:sSub>
          <m:r>
            <m:rPr>
              <m:sty m:val="p"/>
            </m:rPr>
            <w:br/>
          </m:r>
        </m:oMath>
      </m:oMathPara>
    </w:p>
    <w:p w14:paraId="406D82C4" w14:textId="0C585EEB" w:rsidR="00F04ED2" w:rsidRPr="00F04ED2" w:rsidRDefault="009566CD" w:rsidP="00F04ED2">
      <w:r w:rsidRPr="009566CD">
        <w:t>When this distance is large, the investigational treatment is expected to perform comfortably above the margin and a smaller sample size may be sufficient</w:t>
      </w:r>
      <w:r w:rsidR="0096727E">
        <w:fldChar w:fldCharType="begin"/>
      </w:r>
      <w:r w:rsidR="0096727E">
        <w:instrText xml:space="preserve"> ADDIN ZOTERO_ITEM CSL_CITATION {"citationID":"HFEM40Sh","properties":{"unsorted":false,"formattedCitation":"(13)","plainCitation":"(13)","noteIndex":0},"citationItems":[{"id":38,"uris":["http://zotero.org/users/local/ebPldVBC/items/4KW5E62I"],"itemData":{"id":38,"type":"book","ISBN":"1-315-18308-0","publisher":"chapman and hall/CRC","title":"Sample size calculations in clinical research","author":[{"family":"Chow","given":"Shein-Chung"},{"family":"Shao","given":"Jun"},{"family":"Wang","given":"Hansheng"},{"family":"Lokhnygina","given":"Yuliya"}],"issued":{"date-parts":[["2017"]]}}}],"schema":"https://github.com/citation-style-language/schema/raw/master/csl-citation.json"} </w:instrText>
      </w:r>
      <w:r w:rsidR="0096727E">
        <w:fldChar w:fldCharType="separate"/>
      </w:r>
      <w:r w:rsidR="0096727E" w:rsidRPr="0096727E">
        <w:rPr>
          <w:rFonts w:ascii="Aptos" w:hAnsi="Aptos"/>
        </w:rPr>
        <w:t>(13)</w:t>
      </w:r>
      <w:r w:rsidR="0096727E">
        <w:fldChar w:fldCharType="end"/>
      </w:r>
      <w:r w:rsidR="00F04ED2" w:rsidRPr="00F04ED2">
        <w:t xml:space="preserve">. </w:t>
      </w:r>
      <w:r w:rsidRPr="009566CD">
        <w:t xml:space="preserve">When it is small, more patients are needed to demonstrate non-inferiority with adequate power, and modest changes in the assumed proportions or margin can substantially affect the required </w:t>
      </w:r>
      <m:oMath>
        <m:r>
          <w:rPr>
            <w:rFonts w:ascii="Cambria Math" w:hAnsi="Cambria Math"/>
          </w:rPr>
          <m:t>n</m:t>
        </m:r>
      </m:oMath>
      <w:r w:rsidRPr="009566CD">
        <w:t xml:space="preserve"> </w:t>
      </w:r>
      <w:r w:rsidR="0096727E">
        <w:fldChar w:fldCharType="begin"/>
      </w:r>
      <w:r w:rsidR="00801ED7">
        <w:instrText xml:space="preserve"> ADDIN ZOTERO_ITEM CSL_CITATION {"citationID":"1NqeAeda","properties":{"unsorted":false,"formattedCitation":"(4,13)","plainCitation":"(4,13)","noteIndex":0},"citationItems":[{"id":3,"uris":["http://zotero.org/users/local/ebPldVBC/items/AHCE3TKG"],"itemData":{"id":3,"type":"article-journal","container-title":"BMJ","DOI":"10.1136/bmj-2023-078000","note":"_eprint: https://www.bmj.com/content/385/bmj-2023-078000.full.pdf","publisher":"BMJ Publishing Group Ltd","title":"Exploring different objectives in non-inferiority trials","URL":"https://www.bmj.com/content/385/bmj-2023-078000","volume":"385","author":[{"family":"Tweed","given":"Conor D"},{"family":"Quartagno","given":"Matteo"},{"family":"Clements","given":"Michelle N"},{"family":"Turner","given":"Rebecca M"},{"family":"Nunn","given":"Andrew J"},{"family":"Dunn","given":"David T"},{"family":"White","given":"Ian R"},{"family":"Copas","given":"Andrew J"}],"issued":{"date-parts":[["2024"]]}}},{"id":38,"uris":["http://zotero.org/users/local/ebPldVBC/items/4KW5E62I"],"itemData":{"id":38,"type":"book","ISBN":"1-315-18308-0","publisher":"chapman and hall/CRC","title":"Sample size calculations in clinical research","author":[{"family":"Chow","given":"Shein-Chung"},{"family":"Shao","given":"Jun"},{"family":"Wang","given":"Hansheng"},{"family":"Lokhnygina","given":"Yuliya"}],"issued":{"date-parts":[["2017"]]}}}],"schema":"https://github.com/citation-style-language/schema/raw/master/csl-citation.json"} </w:instrText>
      </w:r>
      <w:r w:rsidR="0096727E">
        <w:fldChar w:fldCharType="separate"/>
      </w:r>
      <w:r w:rsidR="00801ED7" w:rsidRPr="00801ED7">
        <w:rPr>
          <w:rFonts w:ascii="Aptos" w:hAnsi="Aptos"/>
        </w:rPr>
        <w:t>(4,13)</w:t>
      </w:r>
      <w:r w:rsidR="0096727E">
        <w:fldChar w:fldCharType="end"/>
      </w:r>
      <w:r w:rsidR="00F04ED2" w:rsidRPr="00F04ED2">
        <w:t>.</w:t>
      </w:r>
    </w:p>
    <w:p w14:paraId="2DF7B895" w14:textId="01BCCAB9" w:rsidR="00F04ED2" w:rsidRPr="00CB0239" w:rsidRDefault="009566CD" w:rsidP="00F04ED2">
      <w:r w:rsidRPr="009566CD">
        <w:t xml:space="preserve">In a single-arm performance goal study, the same principle applies but performance is compared against a fixed benchmark rather than an active control. The required sample size must provide a sufficiently high probability that the relevant confidence bound satisfies the performance goal, assuming the device performs at the expected true proportion </w:t>
      </w:r>
      <m:oMath>
        <m:sSub>
          <m:sSubPr>
            <m:ctrlPr>
              <w:rPr>
                <w:rFonts w:ascii="Cambria Math" w:hAnsi="Cambria Math"/>
              </w:rPr>
            </m:ctrlPr>
          </m:sSubPr>
          <m:e>
            <m:r>
              <w:rPr>
                <w:rFonts w:ascii="Cambria Math" w:hAnsi="Cambria Math"/>
              </w:rPr>
              <m:t>p</m:t>
            </m:r>
          </m:e>
          <m:sub>
            <m:r>
              <w:rPr>
                <w:rFonts w:ascii="Cambria Math" w:hAnsi="Cambria Math"/>
              </w:rPr>
              <m:t>1</m:t>
            </m:r>
          </m:sub>
        </m:sSub>
      </m:oMath>
      <w:r w:rsidRPr="009566CD">
        <w:t xml:space="preserve"> </w:t>
      </w:r>
      <w:r w:rsidR="00801ED7">
        <w:fldChar w:fldCharType="begin"/>
      </w:r>
      <w:r w:rsidR="00801ED7">
        <w:instrText xml:space="preserve"> ADDIN ZOTERO_ITEM CSL_CITATION {"citationID":"gzM2fSEC","properties":{"unsorted":false,"formattedCitation":"(7,8)","plainCitation":"(7,8)","noteIndex":0},"citationItems":[{"id":32,"uris":["http://zotero.org/users/local/ebPldVBC/items/7QTQGWQJ"],"itemData":{"id":32,"type":"article-journal","abstract":"Performance goals are numerical target values pertaining to effectiveness or safety endpoints in single-arm medical device clinical studies. Typically,  performance goals are determined at the planning stage of the investigational  study under consideration based on summarized outcome information from existing  relevant clinical trials. In recent years, there is a growing interest in  leveraging real-world evidence in medical product development. In this article,  we introduce a new method for proposing performance goals by leveraging  real-world evidence. The method applies entropy balancing to address possible  patient dissimilarities between the study's target patient population and  existing real-world patients, and can take into account operation differences  between clinical studies and real-world clinical practice. An illustrative  example is provided to demonstrate how to implement the proposed method for  performance goal determination while leveraging real-world evidence.","container-title":"Statistics in medicine","DOI":"10.1002/sim.9199","ISSN":"1097-0258 0277-6715","issue":"29","journalAbbreviation":"Stat Med","language":"eng","license":"© 2021 John Wiley &amp; Sons Ltd.","page":"6577-6589","PMID":"34561895","publisher-place":"England","title":"Leveraging real-world evidence for determining performance goals for medical device studies.","volume":"40","author":[{"family":"Wang","given":"Chenguang"},{"family":"Rosner","given":"Gary L."},{"family":"Bao","given":"Tingting"},{"family":"Lu","given":"Nelson"},{"family":"Chen","given":"Wei-Chen"},{"family":"Li","given":"Heng"},{"family":"Tiwari","given":"Ram"},{"family":"Xu","given":"Yunling"},{"family":"Yue","given":"Lilly Q."}],"issued":{"date-parts":[["2021",12,20]]}}},{"id":20,"uris":["http://zotero.org/users/local/ebPldVBC/items/4GQAW2H3"],"itemData":{"id":20,"type":"article-journal","abstract":"Although randomised controlled trials are considered the gold standard in clinical research, they are not always feasible due to limitations in the study  population, challenges in obtaining evidence, high costs and ethical  considerations. As a result, single-arm trial designs have emerged as one of the  methods to address these issues. Single-arm trials are commonly applied to study  advanced-stage cancer, rare diseases, emerging infectious diseases, new treatment  methods and medical devices. Single-arm trials have certain ethical advantages  over randomised controlled trials, such as providing equitable treatment,  respecting patient preferences, addressing rare diseases and timely management of  adverse events. While single-arm trials do not adhere to the principles of  randomisation and blinding in terms of scientific rigour, they still incorporate  principles of control, balance and replication, making the design scientifically  reasonable. Compared with randomised controlled trials, single-arm trials require  fewer sample sizes and have shorter trial durations, which can help save costs.  Compared with cohort studies, single-arm trials involve intervention measures and  reduce external interference, resulting in higher levels of evidence. However,  single-arm trials also have limitations. Without a parallel control group, there  may be biases in interpreting the results. In addition, single-arm trials cannot  meet the requirements of randomisation and blinding, thereby limiting their  evidence capacity compared with randomised controlled trials. Therefore,  researchers consider using single-arm trials as a trial design method only when  randomised controlled trials are not feasible.","container-title":"BMJ supportive &amp; palliative care","DOI":"10.1136/spcare-2024-004984","ISSN":"2045-4368 2045-435X","issue":"1","journalAbbreviation":"BMJ Support Palliat Care","language":"eng","license":"© Author(s) (or their employer(s)) 2025. Re-use permitted under CC BY-NC. No commercial re-use. See rights and permissions. Published by BMJ Group.","page":"46-54","PMID":"38834238","PMCID":"PMC11874317","publisher-place":"England","title":"Single-arm clinical trials: design, ethics, principles.","volume":"15","author":[{"family":"Wang","given":"Minyan"},{"family":"Ma","given":"Huan"},{"family":"Shi","given":"Yun"},{"family":"Ni","given":"Haojie"},{"family":"Qin","given":"Chu"},{"family":"Ji","given":"Conghua"}],"issued":{"date-parts":[["2024",12,25]]}}}],"schema":"https://github.com/citation-style-language/schema/raw/master/csl-citation.json"} </w:instrText>
      </w:r>
      <w:r w:rsidR="00801ED7">
        <w:fldChar w:fldCharType="separate"/>
      </w:r>
      <w:r w:rsidR="00801ED7" w:rsidRPr="00801ED7">
        <w:rPr>
          <w:rFonts w:ascii="Aptos" w:hAnsi="Aptos"/>
        </w:rPr>
        <w:t>(7,8)</w:t>
      </w:r>
      <w:r w:rsidR="00801ED7">
        <w:fldChar w:fldCharType="end"/>
      </w:r>
      <w:r w:rsidR="00F04ED2" w:rsidRPr="00F04ED2">
        <w:t>:</w:t>
      </w:r>
    </w:p>
    <w:p w14:paraId="37EA68E4" w14:textId="72F84911" w:rsidR="00F04ED2" w:rsidRPr="009566CD" w:rsidRDefault="00000000" w:rsidP="00F04ED2">
      <m:oMathPara>
        <m:oMath>
          <m:sSub>
            <m:sSubPr>
              <m:ctrlPr>
                <w:rPr>
                  <w:rFonts w:ascii="Cambria Math" w:hAnsi="Cambria Math"/>
                </w:rPr>
              </m:ctrlPr>
            </m:sSubPr>
            <m:e>
              <m:r>
                <w:rPr>
                  <w:rFonts w:ascii="Cambria Math" w:hAnsi="Cambria Math"/>
                </w:rPr>
                <m:t>P</m:t>
              </m:r>
            </m:e>
            <m:sub>
              <m:sSub>
                <m:sSubPr>
                  <m:ctrlPr>
                    <w:rPr>
                      <w:rFonts w:ascii="Cambria Math" w:hAnsi="Cambria Math"/>
                    </w:rPr>
                  </m:ctrlPr>
                </m:sSubPr>
                <m:e>
                  <m:r>
                    <w:rPr>
                      <w:rFonts w:ascii="Cambria Math" w:hAnsi="Cambria Math"/>
                    </w:rPr>
                    <m:t>p</m:t>
                  </m:r>
                </m:e>
                <m:sub>
                  <m:r>
                    <w:rPr>
                      <w:rFonts w:ascii="Cambria Math" w:hAnsi="Cambria Math"/>
                    </w:rPr>
                    <m:t>1</m:t>
                  </m:r>
                </m:sub>
              </m:sSub>
            </m:sub>
          </m:sSub>
          <m:d>
            <m:dPr>
              <m:ctrlPr>
                <w:rPr>
                  <w:rFonts w:ascii="Cambria Math" w:hAnsi="Cambria Math"/>
                </w:rPr>
              </m:ctrlPr>
            </m:dPr>
            <m:e>
              <m:sSub>
                <m:sSubPr>
                  <m:ctrlPr>
                    <w:rPr>
                      <w:rFonts w:ascii="Cambria Math" w:hAnsi="Cambria Math"/>
                    </w:rPr>
                  </m:ctrlPr>
                </m:sSubPr>
                <m:e>
                  <m:r>
                    <w:rPr>
                      <w:rFonts w:ascii="Cambria Math" w:hAnsi="Cambria Math"/>
                    </w:rPr>
                    <m:t>L</m:t>
                  </m:r>
                </m:e>
                <m:sub>
                  <m:r>
                    <w:rPr>
                      <w:rFonts w:ascii="Cambria Math" w:hAnsi="Cambria Math"/>
                    </w:rPr>
                    <m:t>1-α</m:t>
                  </m:r>
                </m:sub>
              </m:sSub>
              <m:r>
                <w:rPr>
                  <w:rFonts w:ascii="Cambria Math" w:hAnsi="Cambria Math"/>
                </w:rPr>
                <m:t>(X,n)&gt;</m:t>
              </m:r>
              <m:sSub>
                <m:sSubPr>
                  <m:ctrlPr>
                    <w:rPr>
                      <w:rFonts w:ascii="Cambria Math" w:hAnsi="Cambria Math"/>
                    </w:rPr>
                  </m:ctrlPr>
                </m:sSubPr>
                <m:e>
                  <m:r>
                    <w:rPr>
                      <w:rFonts w:ascii="Cambria Math" w:hAnsi="Cambria Math"/>
                    </w:rPr>
                    <m:t>p</m:t>
                  </m:r>
                </m:e>
                <m:sub>
                  <m:r>
                    <w:rPr>
                      <w:rFonts w:ascii="Cambria Math" w:hAnsi="Cambria Math"/>
                    </w:rPr>
                    <m:t>0</m:t>
                  </m:r>
                </m:sub>
              </m:sSub>
            </m:e>
          </m:d>
          <m:r>
            <w:rPr>
              <w:rFonts w:ascii="Cambria Math" w:hAnsi="Cambria Math"/>
            </w:rPr>
            <m:t>≥1-β</m:t>
          </m:r>
          <m:r>
            <m:rPr>
              <m:sty m:val="p"/>
            </m:rPr>
            <w:br/>
          </m:r>
        </m:oMath>
      </m:oMathPara>
    </w:p>
    <w:p w14:paraId="3FD00379" w14:textId="2A220BE8" w:rsidR="009566CD" w:rsidRPr="009566CD" w:rsidRDefault="009566CD" w:rsidP="00F04ED2">
      <w:pPr>
        <w:rPr>
          <w:rFonts w:eastAsiaTheme="minorEastAsia"/>
        </w:rPr>
      </w:pPr>
      <w:r>
        <w:t>w</w:t>
      </w:r>
      <w:r w:rsidRPr="009566CD">
        <w:t xml:space="preserve">here </w:t>
      </w:r>
      <m:oMath>
        <m:sSub>
          <m:sSubPr>
            <m:ctrlPr>
              <w:rPr>
                <w:rFonts w:ascii="Cambria Math" w:hAnsi="Cambria Math"/>
              </w:rPr>
            </m:ctrlPr>
          </m:sSubPr>
          <m:e>
            <m:r>
              <w:rPr>
                <w:rFonts w:ascii="Cambria Math" w:hAnsi="Cambria Math"/>
              </w:rPr>
              <m:t>L</m:t>
            </m:r>
          </m:e>
          <m:sub>
            <m:r>
              <w:rPr>
                <w:rFonts w:ascii="Cambria Math" w:hAnsi="Cambria Math"/>
              </w:rPr>
              <m:t>1-α</m:t>
            </m:r>
          </m:sub>
        </m:sSub>
        <m:r>
          <w:rPr>
            <w:rFonts w:ascii="Cambria Math" w:hAnsi="Cambria Math"/>
          </w:rPr>
          <m:t>(X,n)</m:t>
        </m:r>
      </m:oMath>
      <w:r w:rsidRPr="009566CD">
        <w:t xml:space="preserve">is the lower confidence bound calculated from </w:t>
      </w:r>
      <m:oMath>
        <m:r>
          <w:rPr>
            <w:rFonts w:ascii="Cambria Math" w:hAnsi="Cambria Math"/>
          </w:rPr>
          <m:t>X</m:t>
        </m:r>
      </m:oMath>
      <w:r w:rsidRPr="009566CD">
        <w:t xml:space="preserve">successes in </w:t>
      </w:r>
      <m:oMath>
        <m:r>
          <w:rPr>
            <w:rFonts w:ascii="Cambria Math" w:hAnsi="Cambria Math"/>
          </w:rPr>
          <m:t>n</m:t>
        </m:r>
      </m:oMath>
      <w:r w:rsidRPr="009566CD">
        <w:t xml:space="preserve">patients and </w:t>
      </w:r>
      <m:oMath>
        <m:sSub>
          <m:sSubPr>
            <m:ctrlPr>
              <w:rPr>
                <w:rFonts w:ascii="Cambria Math" w:hAnsi="Cambria Math"/>
              </w:rPr>
            </m:ctrlPr>
          </m:sSubPr>
          <m:e>
            <m:r>
              <w:rPr>
                <w:rFonts w:ascii="Cambria Math" w:hAnsi="Cambria Math"/>
              </w:rPr>
              <m:t>p</m:t>
            </m:r>
          </m:e>
          <m:sub>
            <m:r>
              <w:rPr>
                <w:rFonts w:ascii="Cambria Math" w:hAnsi="Cambria Math"/>
              </w:rPr>
              <m:t>0</m:t>
            </m:r>
          </m:sub>
        </m:sSub>
      </m:oMath>
      <w:r w:rsidRPr="009566CD">
        <w:t xml:space="preserve">is the performance goal. Since </w:t>
      </w:r>
      <m:oMath>
        <m:r>
          <w:rPr>
            <w:rFonts w:ascii="Cambria Math" w:hAnsi="Cambria Math"/>
          </w:rPr>
          <m:t>X∼</m:t>
        </m:r>
        <m:r>
          <m:rPr>
            <m:nor/>
          </m:rPr>
          <m:t>Binomial</m:t>
        </m:r>
        <m:r>
          <w:rPr>
            <w:rFonts w:ascii="Cambria Math" w:hAnsi="Cambria Math"/>
          </w:rPr>
          <m:t>(n,p)</m:t>
        </m:r>
      </m:oMath>
      <w:r w:rsidRPr="009566CD">
        <w:t xml:space="preserve">, the power for a candidate sample size can be evaluated exactly by summing over all values of </w:t>
      </w:r>
      <m:oMath>
        <m:r>
          <w:rPr>
            <w:rFonts w:ascii="Cambria Math" w:hAnsi="Cambria Math"/>
          </w:rPr>
          <m:t>X</m:t>
        </m:r>
      </m:oMath>
      <w:r w:rsidRPr="009566CD">
        <w:t xml:space="preserve">that satisfy the decision rule </w:t>
      </w:r>
      <w:r w:rsidR="00801ED7">
        <w:fldChar w:fldCharType="begin"/>
      </w:r>
      <w:r w:rsidR="00801ED7">
        <w:instrText xml:space="preserve"> ADDIN ZOTERO_ITEM CSL_CITATION {"citationID":"IK7z4jlW","properties":{"unsorted":false,"formattedCitation":"(13,17)","plainCitation":"(13,17)","noteIndex":0},"citationItems":[{"id":38,"uris":["http://zotero.org/users/local/ebPldVBC/items/4KW5E62I"],"itemData":{"id":38,"type":"book","ISBN":"1-315-18308-0","publisher":"chapman and hall/CRC","title":"Sample size calculations in clinical research","author":[{"family":"Chow","given":"Shein-Chung"},{"family":"Shao","given":"Jun"},{"family":"Wang","given":"Hansheng"},{"family":"Lokhnygina","given":"Yuliya"}],"issued":{"date-parts":[["2017"]]}}},{"id":43,"uris":["http://zotero.org/users/local/ebPldVBC/items/H9KC5ZVH"],"itemData":{"id":43,"type":"article-journal","abstract":"[We revisit the problem of interval estimation of a binomial proportion. The erratic behavior of the coverage probability of the standard Wald confidence interval has previously been remarked on in the literature (Blyth and Still, Agresti and Coull, Santner and others). We begin by showing that the chaotic coverage properties of the Wald interval are far more persistent than is appreciated. Furthermore, common textbook prescriptions regarding its safety are misleading and defective in several respects and cannot be trusted. This leads us to consideration of alternative intervals. A number of natural alternatives are presented, each with its motivation and context. Each interval is examined for its coverage probability and its length. Based on this analysis, we recommend the Wilson interval or the equal-tailed Jeffreys prior interval for small n and the interval suggested in Agresti and Coull for larger n. We also provide an additional frequentist justification for use of the Jeffreys interval.]","archive":"JSTOR","container-title":"Statistical Science","ISSN":"08834237, 21688745","issue":"2","page":"101-117","publisher":"Institute of Mathematical Statistics","title":"Interval Estimation for a Binomial Proportion","volume":"16","author":[{"family":"Brown","given":"Lawrence D."},{"family":"Cai","given":"T. Tony"},{"family":"DasGupta","given":"Anirban"}],"issued":{"date-parts":[["2001"]]}}}],"schema":"https://github.com/citation-style-language/schema/raw/master/csl-citation.json"} </w:instrText>
      </w:r>
      <w:r w:rsidR="00801ED7">
        <w:fldChar w:fldCharType="separate"/>
      </w:r>
      <w:r w:rsidR="00801ED7" w:rsidRPr="00801ED7">
        <w:rPr>
          <w:rFonts w:ascii="Aptos" w:hAnsi="Aptos"/>
        </w:rPr>
        <w:t>(13,17)</w:t>
      </w:r>
      <w:r w:rsidR="00801ED7">
        <w:fldChar w:fldCharType="end"/>
      </w:r>
      <w:r>
        <w:t>:</w:t>
      </w:r>
    </w:p>
    <w:p w14:paraId="0B4245AF" w14:textId="77777777" w:rsidR="00AD0385" w:rsidRPr="00AD0385" w:rsidRDefault="009566CD" w:rsidP="00F04ED2">
      <w:pPr>
        <w:rPr>
          <w:rFonts w:eastAsiaTheme="minorEastAsia"/>
        </w:rPr>
      </w:pPr>
      <m:oMathPara>
        <m:oMath>
          <m:r>
            <m:rPr>
              <m:sty m:val="p"/>
            </m:rPr>
            <w:rPr>
              <w:rFonts w:ascii="Cambria Math"/>
            </w:rPr>
            <m:t>Power(n)=x=0</m:t>
          </m:r>
          <m:r>
            <m:rPr>
              <m:sty m:val="p"/>
            </m:rPr>
            <w:rPr>
              <w:rFonts w:ascii="Cambria Math"/>
            </w:rPr>
            <m:t>∑</m:t>
          </m:r>
          <m:r>
            <m:rPr>
              <m:sty m:val="p"/>
            </m:rPr>
            <w:rPr>
              <w:rFonts w:ascii="Cambria Math"/>
            </w:rPr>
            <m:t>n</m:t>
          </m:r>
          <m:r>
            <m:rPr>
              <m:sty m:val="p"/>
            </m:rPr>
            <w:rPr>
              <w:rFonts w:ascii="Arial" w:hAnsi="Arial" w:cs="Arial"/>
            </w:rPr>
            <m:t>​</m:t>
          </m:r>
          <m:r>
            <m:rPr>
              <m:sty m:val="p"/>
            </m:rPr>
            <w:rPr>
              <w:rFonts w:ascii="Cambria Math"/>
            </w:rPr>
            <m:t>1{L1</m:t>
          </m:r>
          <m:r>
            <m:rPr>
              <m:sty m:val="p"/>
            </m:rPr>
            <w:rPr>
              <w:rFonts w:ascii="Cambria Math"/>
            </w:rPr>
            <m:t>-α</m:t>
          </m:r>
          <m:r>
            <m:rPr>
              <m:sty m:val="p"/>
            </m:rPr>
            <w:rPr>
              <w:rFonts w:ascii="Arial" w:hAnsi="Arial" w:cs="Arial"/>
            </w:rPr>
            <m:t>​</m:t>
          </m:r>
          <m:r>
            <m:rPr>
              <m:sty m:val="p"/>
            </m:rPr>
            <w:rPr>
              <w:rFonts w:ascii="Cambria Math"/>
            </w:rPr>
            <m:t>(x,n)&gt;p0</m:t>
          </m:r>
          <m:r>
            <m:rPr>
              <m:sty m:val="p"/>
            </m:rPr>
            <w:rPr>
              <w:rFonts w:ascii="Arial" w:hAnsi="Arial" w:cs="Arial"/>
            </w:rPr>
            <m:t>​</m:t>
          </m:r>
          <m:r>
            <m:rPr>
              <m:sty m:val="p"/>
            </m:rPr>
            <w:rPr>
              <w:rFonts w:ascii="Cambria Math"/>
            </w:rPr>
            <m:t>}(xn</m:t>
          </m:r>
          <m:r>
            <m:rPr>
              <m:sty m:val="p"/>
            </m:rPr>
            <w:rPr>
              <w:rFonts w:ascii="Arial" w:hAnsi="Arial" w:cs="Arial"/>
            </w:rPr>
            <m:t>​</m:t>
          </m:r>
          <m:r>
            <m:rPr>
              <m:sty m:val="p"/>
            </m:rPr>
            <w:rPr>
              <w:rFonts w:ascii="Cambria Math"/>
            </w:rPr>
            <m:t>)p1x</m:t>
          </m:r>
          <m:r>
            <m:rPr>
              <m:sty m:val="p"/>
            </m:rPr>
            <w:rPr>
              <w:rFonts w:ascii="Arial" w:hAnsi="Arial" w:cs="Arial"/>
            </w:rPr>
            <m:t>​</m:t>
          </m:r>
          <m:r>
            <m:rPr>
              <m:sty m:val="p"/>
            </m:rPr>
            <w:rPr>
              <w:rFonts w:ascii="Cambria Math"/>
            </w:rPr>
            <m:t>(1</m:t>
          </m:r>
          <m:r>
            <m:rPr>
              <m:sty m:val="p"/>
            </m:rPr>
            <w:rPr>
              <w:rFonts w:ascii="Cambria Math"/>
            </w:rPr>
            <m:t>-</m:t>
          </m:r>
          <m:r>
            <m:rPr>
              <m:sty m:val="p"/>
            </m:rPr>
            <w:rPr>
              <w:rFonts w:ascii="Cambria Math"/>
            </w:rPr>
            <m:t>p1</m:t>
          </m:r>
          <m:r>
            <m:rPr>
              <m:sty m:val="p"/>
            </m:rPr>
            <w:rPr>
              <w:rFonts w:ascii="Arial" w:hAnsi="Arial" w:cs="Arial"/>
            </w:rPr>
            <m:t>​</m:t>
          </m:r>
          <m:r>
            <m:rPr>
              <m:sty m:val="p"/>
            </m:rPr>
            <w:rPr>
              <w:rFonts w:ascii="Cambria Math"/>
            </w:rPr>
            <m:t>)n</m:t>
          </m:r>
          <m:r>
            <m:rPr>
              <m:sty m:val="p"/>
            </m:rPr>
            <w:rPr>
              <w:rFonts w:ascii="Cambria Math"/>
            </w:rPr>
            <m:t>-</m:t>
          </m:r>
          <m:r>
            <m:rPr>
              <m:sty m:val="p"/>
            </m:rPr>
            <w:rPr>
              <w:rFonts w:ascii="Cambria Math"/>
            </w:rPr>
            <m:t>x</m:t>
          </m:r>
        </m:oMath>
      </m:oMathPara>
    </w:p>
    <w:p w14:paraId="044A666D" w14:textId="1721EB08" w:rsidR="00F04ED2" w:rsidRPr="009566CD" w:rsidRDefault="00000000" w:rsidP="00F04ED2">
      <m:oMathPara>
        <m:oMathParaPr>
          <m:jc m:val="left"/>
        </m:oMathParaPr>
        <m:oMath>
          <m:r>
            <m:rPr>
              <m:sty m:val="p"/>
            </m:rPr>
            <w:br/>
          </m:r>
        </m:oMath>
      </m:oMathPara>
      <w:r w:rsidR="009566CD" w:rsidRPr="009566CD">
        <w:t xml:space="preserve">where </w:t>
      </w:r>
      <m:oMath>
        <m:r>
          <m:rPr>
            <m:sty m:val="b"/>
          </m:rPr>
          <w:rPr>
            <w:rFonts w:ascii="Cambria Math" w:hAnsi="Cambria Math"/>
          </w:rPr>
          <m:t>1</m:t>
        </m:r>
        <m:r>
          <w:rPr>
            <w:rFonts w:ascii="Cambria Math" w:hAnsi="Cambria Math"/>
          </w:rPr>
          <m:t>{⋅}</m:t>
        </m:r>
      </m:oMath>
      <w:r w:rsidR="009566CD" w:rsidRPr="009566CD">
        <w:t xml:space="preserve">is an indicator function equal to 1 when the confidence interval rule is satisfied and 0 otherwise. The required sample size is the smallest </w:t>
      </w:r>
      <m:oMath>
        <m:r>
          <w:rPr>
            <w:rFonts w:ascii="Cambria Math" w:hAnsi="Cambria Math"/>
          </w:rPr>
          <m:t>n</m:t>
        </m:r>
      </m:oMath>
      <w:r w:rsidR="009566CD" w:rsidRPr="009566CD">
        <w:t>achieving the target power:</w:t>
      </w:r>
    </w:p>
    <w:p w14:paraId="121B2316" w14:textId="376B58BC" w:rsidR="009566CD" w:rsidRDefault="009566CD" w:rsidP="00F04ED2">
      <m:oMathPara>
        <m:oMath>
          <m:r>
            <w:rPr>
              <w:rFonts w:ascii="Cambria Math" w:hAnsi="Cambria Math"/>
            </w:rPr>
            <m:t>n*=min{n:Power(n)≥1-β}</m:t>
          </m:r>
        </m:oMath>
      </m:oMathPara>
    </w:p>
    <w:p w14:paraId="2FAE2B95" w14:textId="77777777" w:rsidR="009566CD" w:rsidRPr="00F04ED2" w:rsidRDefault="009566CD" w:rsidP="00F04ED2"/>
    <w:p w14:paraId="354811E8" w14:textId="2CB24C53" w:rsidR="00F04ED2" w:rsidRDefault="009566CD" w:rsidP="00F04ED2">
      <w:r w:rsidRPr="009566CD">
        <w:t>This formulation directly aligns the sample size calculation with the planned primary analysis</w:t>
      </w:r>
      <w:r w:rsidR="00801ED7">
        <w:fldChar w:fldCharType="begin"/>
      </w:r>
      <w:r w:rsidR="003A69E1">
        <w:instrText xml:space="preserve"> ADDIN ZOTERO_ITEM CSL_CITATION {"citationID":"3qWmo4Ki","properties":{"unsorted":false,"formattedCitation":"(7,15)","plainCitation":"(7,15)","noteIndex":0},"citationItems":[{"id":32,"uris":["http://zotero.org/users/local/ebPldVBC/items/7QTQGWQJ"],"itemData":{"id":32,"type":"article-journal","abstract":"Performance goals are numerical target values pertaining to effectiveness or safety endpoints in single-arm medical device clinical studies. Typically,  performance goals are determined at the planning stage of the investigational  study under consideration based on summarized outcome information from existing  relevant clinical trials. In recent years, there is a growing interest in  leveraging real-world evidence in medical product development. In this article,  we introduce a new method for proposing performance goals by leveraging  real-world evidence. The method applies entropy balancing to address possible  patient dissimilarities between the study's target patient population and  existing real-world patients, and can take into account operation differences  between clinical studies and real-world clinical practice. An illustrative  example is provided to demonstrate how to implement the proposed method for  performance goal determination while leveraging real-world evidence.","container-title":"Statistics in medicine","DOI":"10.1002/sim.9199","ISSN":"1097-0258 0277-6715","issue":"29","journalAbbreviation":"Stat Med","language":"eng","license":"© 2021 John Wiley &amp; Sons Ltd.","page":"6577-6589","PMID":"34561895","publisher-place":"England","title":"Leveraging real-world evidence for determining performance goals for medical device studies.","volume":"40","author":[{"family":"Wang","given":"Chenguang"},{"family":"Rosner","given":"Gary L."},{"family":"Bao","given":"Tingting"},{"family":"Lu","given":"Nelson"},{"family":"Chen","given":"Wei-Chen"},{"family":"Li","given":"Heng"},{"family":"Tiwari","given":"Ram"},{"family":"Xu","given":"Yunling"},{"family":"Yue","given":"Lilly Q."}],"issued":{"date-parts":[["2021",12,20]]}}},{"id":42,"uris":["http://zotero.org/users/local/ebPldVBC/items/N4FDNJKC"],"itemData":{"id":42,"type":"report","genre":"Guidance for Industry","language":"en","publisher":"U.S. Food and Drug Administration","source":"Zotero","title":"Non-Inferiority Clinical Trials to Establish Effectiveness","URL":"https://www.fda.gov/media/78504/download","author":[{"literal":"U.S. Food and Drug Administration"}],"accessed":{"date-parts":[["2026",1,5]]},"issued":{"date-parts":[["2016"]]}}}],"schema":"https://github.com/citation-style-language/schema/raw/master/csl-citation.json"} </w:instrText>
      </w:r>
      <w:r w:rsidR="00801ED7">
        <w:fldChar w:fldCharType="separate"/>
      </w:r>
      <w:r w:rsidR="00801ED7" w:rsidRPr="00801ED7">
        <w:rPr>
          <w:rFonts w:ascii="Aptos" w:hAnsi="Aptos"/>
        </w:rPr>
        <w:t>(7,15)</w:t>
      </w:r>
      <w:r w:rsidR="00801ED7">
        <w:fldChar w:fldCharType="end"/>
      </w:r>
      <w:r w:rsidR="00F04ED2" w:rsidRPr="00F04ED2">
        <w:t xml:space="preserve">. </w:t>
      </w:r>
      <w:r w:rsidRPr="009566CD">
        <w:t xml:space="preserve">If the final decision will be based on a Wilson, Clopper-Pearson or Jeffreys </w:t>
      </w:r>
      <w:r w:rsidRPr="009566CD">
        <w:lastRenderedPageBreak/>
        <w:t>interval, the sample size calculation should use the same method</w:t>
      </w:r>
      <w:r w:rsidR="00216609">
        <w:t xml:space="preserve">, </w:t>
      </w:r>
      <w:r w:rsidRPr="009566CD">
        <w:t>otherwise the design and analysis are operating under different statistical rules</w:t>
      </w:r>
      <w:r w:rsidR="00801ED7">
        <w:fldChar w:fldCharType="begin"/>
      </w:r>
      <w:r w:rsidR="00801ED7">
        <w:instrText xml:space="preserve"> ADDIN ZOTERO_ITEM CSL_CITATION {"citationID":"bBCI11bS","properties":{"unsorted":false,"formattedCitation":"(7,17)","plainCitation":"(7,17)","noteIndex":0},"citationItems":[{"id":32,"uris":["http://zotero.org/users/local/ebPldVBC/items/7QTQGWQJ"],"itemData":{"id":32,"type":"article-journal","abstract":"Performance goals are numerical target values pertaining to effectiveness or safety endpoints in single-arm medical device clinical studies. Typically,  performance goals are determined at the planning stage of the investigational  study under consideration based on summarized outcome information from existing  relevant clinical trials. In recent years, there is a growing interest in  leveraging real-world evidence in medical product development. In this article,  we introduce a new method for proposing performance goals by leveraging  real-world evidence. The method applies entropy balancing to address possible  patient dissimilarities between the study's target patient population and  existing real-world patients, and can take into account operation differences  between clinical studies and real-world clinical practice. An illustrative  example is provided to demonstrate how to implement the proposed method for  performance goal determination while leveraging real-world evidence.","container-title":"Statistics in medicine","DOI":"10.1002/sim.9199","ISSN":"1097-0258 0277-6715","issue":"29","journalAbbreviation":"Stat Med","language":"eng","license":"© 2021 John Wiley &amp; Sons Ltd.","page":"6577-6589","PMID":"34561895","publisher-place":"England","title":"Leveraging real-world evidence for determining performance goals for medical device studies.","volume":"40","author":[{"family":"Wang","given":"Chenguang"},{"family":"Rosner","given":"Gary L."},{"family":"Bao","given":"Tingting"},{"family":"Lu","given":"Nelson"},{"family":"Chen","given":"Wei-Chen"},{"family":"Li","given":"Heng"},{"family":"Tiwari","given":"Ram"},{"family":"Xu","given":"Yunling"},{"family":"Yue","given":"Lilly Q."}],"issued":{"date-parts":[["2021",12,20]]}}},{"id":43,"uris":["http://zotero.org/users/local/ebPldVBC/items/H9KC5ZVH"],"itemData":{"id":43,"type":"article-journal","abstract":"[We revisit the problem of interval estimation of a binomial proportion. The erratic behavior of the coverage probability of the standard Wald confidence interval has previously been remarked on in the literature (Blyth and Still, Agresti and Coull, Santner and others). We begin by showing that the chaotic coverage properties of the Wald interval are far more persistent than is appreciated. Furthermore, common textbook prescriptions regarding its safety are misleading and defective in several respects and cannot be trusted. This leads us to consideration of alternative intervals. A number of natural alternatives are presented, each with its motivation and context. Each interval is examined for its coverage probability and its length. Based on this analysis, we recommend the Wilson interval or the equal-tailed Jeffreys prior interval for small n and the interval suggested in Agresti and Coull for larger n. We also provide an additional frequentist justification for use of the Jeffreys interval.]","archive":"JSTOR","container-title":"Statistical Science","ISSN":"08834237, 21688745","issue":"2","page":"101-117","publisher":"Institute of Mathematical Statistics","title":"Interval Estimation for a Binomial Proportion","volume":"16","author":[{"family":"Brown","given":"Lawrence D."},{"family":"Cai","given":"T. Tony"},{"family":"DasGupta","given":"Anirban"}],"issued":{"date-parts":[["2001"]]}}}],"schema":"https://github.com/citation-style-language/schema/raw/master/csl-citation.json"} </w:instrText>
      </w:r>
      <w:r w:rsidR="00801ED7">
        <w:fldChar w:fldCharType="separate"/>
      </w:r>
      <w:r w:rsidR="00801ED7" w:rsidRPr="00801ED7">
        <w:rPr>
          <w:rFonts w:ascii="Aptos" w:hAnsi="Aptos"/>
        </w:rPr>
        <w:t>(7,17)</w:t>
      </w:r>
      <w:r w:rsidR="00801ED7">
        <w:fldChar w:fldCharType="end"/>
      </w:r>
      <w:r w:rsidR="00F04ED2" w:rsidRPr="00F04ED2">
        <w:t>.</w:t>
      </w:r>
    </w:p>
    <w:p w14:paraId="0BBB76AA" w14:textId="31C41846" w:rsidR="002C3AD2" w:rsidRDefault="009566CD" w:rsidP="00F04ED2">
      <w:r w:rsidRPr="009566CD">
        <w:t xml:space="preserve">Power calculations for binomial endpoints follow a discrete, stepwise pattern because the decision criterion depends on an integer number of allowable events. As </w:t>
      </w:r>
      <m:oMath>
        <m:r>
          <w:rPr>
            <w:rFonts w:ascii="Cambria Math" w:hAnsi="Cambria Math"/>
          </w:rPr>
          <m:t>n</m:t>
        </m:r>
      </m:oMath>
      <w:r w:rsidR="00540A16">
        <w:rPr>
          <w:rFonts w:eastAsiaTheme="minorEastAsia"/>
        </w:rPr>
        <w:t xml:space="preserve"> </w:t>
      </w:r>
      <w:r w:rsidRPr="009566CD">
        <w:t>increases, the maximum allowable number of events remains fixed across certain ranges and increases only at specific thresholds</w:t>
      </w:r>
      <w:r w:rsidR="00801ED7">
        <w:fldChar w:fldCharType="begin"/>
      </w:r>
      <w:r w:rsidR="00801ED7">
        <w:instrText xml:space="preserve"> ADDIN ZOTERO_ITEM CSL_CITATION {"citationID":"jlxA6XO8","properties":{"unsorted":false,"formattedCitation":"(17)","plainCitation":"(17)","noteIndex":0},"citationItems":[{"id":43,"uris":["http://zotero.org/users/local/ebPldVBC/items/H9KC5ZVH"],"itemData":{"id":43,"type":"article-journal","abstract":"[We revisit the problem of interval estimation of a binomial proportion. The erratic behavior of the coverage probability of the standard Wald confidence interval has previously been remarked on in the literature (Blyth and Still, Agresti and Coull, Santner and others). We begin by showing that the chaotic coverage properties of the Wald interval are far more persistent than is appreciated. Furthermore, common textbook prescriptions regarding its safety are misleading and defective in several respects and cannot be trusted. This leads us to consideration of alternative intervals. A number of natural alternatives are presented, each with its motivation and context. Each interval is examined for its coverage probability and its length. Based on this analysis, we recommend the Wilson interval or the equal-tailed Jeffreys prior interval for small n and the interval suggested in Agresti and Coull for larger n. We also provide an additional frequentist justification for use of the Jeffreys interval.]","archive":"JSTOR","container-title":"Statistical Science","ISSN":"08834237, 21688745","issue":"2","page":"101-117","publisher":"Institute of Mathematical Statistics","title":"Interval Estimation for a Binomial Proportion","volume":"16","author":[{"family":"Brown","given":"Lawrence D."},{"family":"Cai","given":"T. Tony"},{"family":"DasGupta","given":"Anirban"}],"issued":{"date-parts":[["2001"]]}}}],"schema":"https://github.com/citation-style-language/schema/raw/master/csl-citation.json"} </w:instrText>
      </w:r>
      <w:r w:rsidR="00801ED7">
        <w:fldChar w:fldCharType="separate"/>
      </w:r>
      <w:r w:rsidR="00801ED7" w:rsidRPr="00801ED7">
        <w:rPr>
          <w:rFonts w:ascii="Aptos" w:hAnsi="Aptos"/>
        </w:rPr>
        <w:t>(17)</w:t>
      </w:r>
      <w:r w:rsidR="00801ED7">
        <w:fldChar w:fldCharType="end"/>
      </w:r>
      <w:r w:rsidR="00837021" w:rsidRPr="00837021">
        <w:t>.</w:t>
      </w:r>
      <w:r w:rsidR="00CB0239">
        <w:t xml:space="preserve"> </w:t>
      </w:r>
      <w:r w:rsidRPr="009566CD">
        <w:t xml:space="preserve">Within each range, power decreases gradually as </w:t>
      </w:r>
      <m:oMath>
        <m:r>
          <w:rPr>
            <w:rFonts w:ascii="Cambria Math" w:hAnsi="Cambria Math"/>
          </w:rPr>
          <m:t>n</m:t>
        </m:r>
      </m:oMath>
      <w:r w:rsidR="00216609">
        <w:rPr>
          <w:rFonts w:eastAsiaTheme="minorEastAsia"/>
        </w:rPr>
        <w:t xml:space="preserve"> </w:t>
      </w:r>
      <w:r w:rsidRPr="009566CD">
        <w:t>grows; it then jumps upward when an additional event becomes permissible. The result is a saw-tooth power curve that reflects the discrete nature of the binomial endpoint</w:t>
      </w:r>
      <w:r w:rsidR="00801ED7">
        <w:fldChar w:fldCharType="begin"/>
      </w:r>
      <w:r w:rsidR="00801ED7">
        <w:instrText xml:space="preserve"> ADDIN ZOTERO_ITEM CSL_CITATION {"citationID":"JjXgJFpf","properties":{"unsorted":false,"formattedCitation":"(13,17)","plainCitation":"(13,17)","noteIndex":0},"citationItems":[{"id":38,"uris":["http://zotero.org/users/local/ebPldVBC/items/4KW5E62I"],"itemData":{"id":38,"type":"book","ISBN":"1-315-18308-0","publisher":"chapman and hall/CRC","title":"Sample size calculations in clinical research","author":[{"family":"Chow","given":"Shein-Chung"},{"family":"Shao","given":"Jun"},{"family":"Wang","given":"Hansheng"},{"family":"Lokhnygina","given":"Yuliya"}],"issued":{"date-parts":[["2017"]]}}},{"id":43,"uris":["http://zotero.org/users/local/ebPldVBC/items/H9KC5ZVH"],"itemData":{"id":43,"type":"article-journal","abstract":"[We revisit the problem of interval estimation of a binomial proportion. The erratic behavior of the coverage probability of the standard Wald confidence interval has previously been remarked on in the literature (Blyth and Still, Agresti and Coull, Santner and others). We begin by showing that the chaotic coverage properties of the Wald interval are far more persistent than is appreciated. Furthermore, common textbook prescriptions regarding its safety are misleading and defective in several respects and cannot be trusted. This leads us to consideration of alternative intervals. A number of natural alternatives are presented, each with its motivation and context. Each interval is examined for its coverage probability and its length. Based on this analysis, we recommend the Wilson interval or the equal-tailed Jeffreys prior interval for small n and the interval suggested in Agresti and Coull for larger n. We also provide an additional frequentist justification for use of the Jeffreys interval.]","archive":"JSTOR","container-title":"Statistical Science","ISSN":"08834237, 21688745","issue":"2","page":"101-117","publisher":"Institute of Mathematical Statistics","title":"Interval Estimation for a Binomial Proportion","volume":"16","author":[{"family":"Brown","given":"Lawrence D."},{"family":"Cai","given":"T. Tony"},{"family":"DasGupta","given":"Anirban"}],"issued":{"date-parts":[["2001"]]}}}],"schema":"https://github.com/citation-style-language/schema/raw/master/csl-citation.json"} </w:instrText>
      </w:r>
      <w:r w:rsidR="00801ED7">
        <w:fldChar w:fldCharType="separate"/>
      </w:r>
      <w:r w:rsidR="00801ED7" w:rsidRPr="00801ED7">
        <w:rPr>
          <w:rFonts w:ascii="Aptos" w:hAnsi="Aptos"/>
        </w:rPr>
        <w:t>(13,17)</w:t>
      </w:r>
      <w:r w:rsidR="00801ED7">
        <w:fldChar w:fldCharType="end"/>
      </w:r>
      <w:r w:rsidR="00837021" w:rsidRPr="00837021">
        <w:t xml:space="preserve">. </w:t>
      </w:r>
    </w:p>
    <w:p w14:paraId="05570FBA" w14:textId="77777777" w:rsidR="002C3AD2" w:rsidRDefault="002C3AD2" w:rsidP="002C3AD2">
      <w:pPr>
        <w:keepNext/>
      </w:pPr>
      <w:r>
        <w:rPr>
          <w:noProof/>
        </w:rPr>
        <w:drawing>
          <wp:inline distT="0" distB="0" distL="0" distR="0" wp14:anchorId="615E33F6" wp14:editId="38086D2E">
            <wp:extent cx="5731510" cy="2635885"/>
            <wp:effectExtent l="0" t="0" r="2540" b="0"/>
            <wp:docPr id="127712658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126586" name="Picture 1277126586"/>
                    <pic:cNvPicPr/>
                  </pic:nvPicPr>
                  <pic:blipFill>
                    <a:blip r:embed="rId10">
                      <a:extLst>
                        <a:ext uri="{28A0092B-C50C-407E-A947-70E740481C1C}">
                          <a14:useLocalDpi xmlns:a14="http://schemas.microsoft.com/office/drawing/2010/main" val="0"/>
                        </a:ext>
                      </a:extLst>
                    </a:blip>
                    <a:stretch>
                      <a:fillRect/>
                    </a:stretch>
                  </pic:blipFill>
                  <pic:spPr>
                    <a:xfrm>
                      <a:off x="0" y="0"/>
                      <a:ext cx="5731510" cy="2635885"/>
                    </a:xfrm>
                    <a:prstGeom prst="rect">
                      <a:avLst/>
                    </a:prstGeom>
                  </pic:spPr>
                </pic:pic>
              </a:graphicData>
            </a:graphic>
          </wp:inline>
        </w:drawing>
      </w:r>
    </w:p>
    <w:p w14:paraId="421DE0C2" w14:textId="192C29F2" w:rsidR="002C3AD2" w:rsidRDefault="002C3AD2" w:rsidP="002C3AD2">
      <w:pPr>
        <w:pStyle w:val="Caption"/>
      </w:pPr>
      <w:bookmarkStart w:id="18" w:name="_Toc232114732"/>
      <w:r>
        <w:t xml:space="preserve">Figure </w:t>
      </w:r>
      <w:r>
        <w:fldChar w:fldCharType="begin"/>
      </w:r>
      <w:r>
        <w:instrText xml:space="preserve"> SEQ Figure \* ARABIC </w:instrText>
      </w:r>
      <w:r>
        <w:fldChar w:fldCharType="separate"/>
      </w:r>
      <w:r w:rsidR="007F77B6">
        <w:rPr>
          <w:noProof/>
        </w:rPr>
        <w:t>2</w:t>
      </w:r>
      <w:r>
        <w:fldChar w:fldCharType="end"/>
      </w:r>
      <w:r>
        <w:t xml:space="preserve"> </w:t>
      </w:r>
      <w:r w:rsidRPr="004428E8">
        <w:t>Example saw-tooth power curve illustrating the discrete stepwise behaviour of binomial power calculations for a single-arm binary endpoint. Power is plotted against sample size n. Within each range of n, power decreases gradually before jumping sharply</w:t>
      </w:r>
      <w:bookmarkEnd w:id="18"/>
    </w:p>
    <w:p w14:paraId="071BD1B4" w14:textId="18C61631" w:rsidR="00837021" w:rsidRDefault="009566CD" w:rsidP="00305DE4">
      <w:r w:rsidRPr="009566CD">
        <w:t xml:space="preserve">The required sample size can also be estimated through simulation. For each candidate </w:t>
      </w:r>
      <m:oMath>
        <m:r>
          <w:rPr>
            <w:rFonts w:ascii="Cambria Math" w:hAnsi="Cambria Math"/>
          </w:rPr>
          <m:t>n</m:t>
        </m:r>
      </m:oMath>
      <w:r w:rsidRPr="009566CD">
        <w:t xml:space="preserve">, a large number of trial datasets are generated under the assumed true proportion </w:t>
      </w:r>
      <m:oMath>
        <m:sSub>
          <m:sSubPr>
            <m:ctrlPr>
              <w:rPr>
                <w:rFonts w:ascii="Cambria Math" w:hAnsi="Cambria Math"/>
              </w:rPr>
            </m:ctrlPr>
          </m:sSubPr>
          <m:e>
            <m:r>
              <w:rPr>
                <w:rFonts w:ascii="Cambria Math" w:hAnsi="Cambria Math"/>
              </w:rPr>
              <m:t>p</m:t>
            </m:r>
          </m:e>
          <m:sub>
            <m:r>
              <w:rPr>
                <w:rFonts w:ascii="Cambria Math" w:hAnsi="Cambria Math"/>
              </w:rPr>
              <m:t>1</m:t>
            </m:r>
          </m:sub>
        </m:sSub>
      </m:oMath>
      <w:r w:rsidRPr="009566CD">
        <w:t>, the selected confidence interval method is applied to each, and power is estimated as the proportion of simulated trials in which the decision rule is satisfied</w:t>
      </w:r>
      <w:r w:rsidR="00801ED7">
        <w:fldChar w:fldCharType="begin"/>
      </w:r>
      <w:r w:rsidR="001235BB">
        <w:instrText xml:space="preserve"> ADDIN ZOTERO_ITEM CSL_CITATION {"citationID":"yYnHUH8z","properties":{"unsorted":false,"formattedCitation":"(5,13)","plainCitation":"(5,13)","noteIndex":0},"citationItems":[{"id":28,"uris":["http://zotero.org/users/local/ebPldVBC/items/R5QCUM6Y"],"itemData":{"id":28,"type":"report","genre":"Guideline","language":"en","publisher":"International Council for Harmonisation (ICH)","source":"Zotero","title":"Statistical Principles for Clinical Trials E9","URL":"https://www.ich.org/page/efficacy-guidelines","author":[{"family":"International Council for Harmonisation","given":""}],"accessed":{"date-parts":[["2026",5,12]]},"issued":{"date-parts":[["1998"]]}}},{"id":38,"uris":["http://zotero.org/users/local/ebPldVBC/items/4KW5E62I"],"itemData":{"id":38,"type":"book","ISBN":"1-315-18308-0","publisher":"chapman and hall/CRC","title":"Sample size calculations in clinical research","author":[{"family":"Chow","given":"Shein-Chung"},{"family":"Shao","given":"Jun"},{"family":"Wang","given":"Hansheng"},{"family":"Lokhnygina","given":"Yuliya"}],"issued":{"date-parts":[["2017"]]}}}],"schema":"https://github.com/citation-style-language/schema/raw/master/csl-citation.json"} </w:instrText>
      </w:r>
      <w:r w:rsidR="00801ED7">
        <w:fldChar w:fldCharType="separate"/>
      </w:r>
      <w:r w:rsidR="00801ED7" w:rsidRPr="00801ED7">
        <w:rPr>
          <w:rFonts w:ascii="Aptos" w:hAnsi="Aptos"/>
        </w:rPr>
        <w:t>(5,13)</w:t>
      </w:r>
      <w:r w:rsidR="00801ED7">
        <w:fldChar w:fldCharType="end"/>
      </w:r>
      <w:r w:rsidR="00837021" w:rsidRPr="00837021">
        <w:rPr>
          <w:rFonts w:eastAsiaTheme="minorEastAsia"/>
        </w:rPr>
        <w:t>.</w:t>
      </w:r>
      <w:r w:rsidR="00837021" w:rsidRPr="00837021">
        <w:t xml:space="preserve"> </w:t>
      </w:r>
      <w:r w:rsidRPr="009566CD">
        <w:t xml:space="preserve">The required sample size is the smallest </w:t>
      </w:r>
      <m:oMath>
        <m:r>
          <w:rPr>
            <w:rFonts w:ascii="Cambria Math" w:hAnsi="Cambria Math"/>
          </w:rPr>
          <m:t>n</m:t>
        </m:r>
      </m:oMath>
      <w:r w:rsidRPr="009566CD">
        <w:t>at which this simulated power meets the target</w:t>
      </w:r>
      <w:r w:rsidR="00801ED7">
        <w:fldChar w:fldCharType="begin"/>
      </w:r>
      <w:r w:rsidR="00801ED7">
        <w:instrText xml:space="preserve"> ADDIN ZOTERO_ITEM CSL_CITATION {"citationID":"EF0l9uOa","properties":{"unsorted":false,"formattedCitation":"(7,17)","plainCitation":"(7,17)","noteIndex":0},"citationItems":[{"id":32,"uris":["http://zotero.org/users/local/ebPldVBC/items/7QTQGWQJ"],"itemData":{"id":32,"type":"article-journal","abstract":"Performance goals are numerical target values pertaining to effectiveness or safety endpoints in single-arm medical device clinical studies. Typically,  performance goals are determined at the planning stage of the investigational  study under consideration based on summarized outcome information from existing  relevant clinical trials. In recent years, there is a growing interest in  leveraging real-world evidence in medical product development. In this article,  we introduce a new method for proposing performance goals by leveraging  real-world evidence. The method applies entropy balancing to address possible  patient dissimilarities between the study's target patient population and  existing real-world patients, and can take into account operation differences  between clinical studies and real-world clinical practice. An illustrative  example is provided to demonstrate how to implement the proposed method for  performance goal determination while leveraging real-world evidence.","container-title":"Statistics in medicine","DOI":"10.1002/sim.9199","ISSN":"1097-0258 0277-6715","issue":"29","journalAbbreviation":"Stat Med","language":"eng","license":"© 2021 John Wiley &amp; Sons Ltd.","page":"6577-6589","PMID":"34561895","publisher-place":"England","title":"Leveraging real-world evidence for determining performance goals for medical device studies.","volume":"40","author":[{"family":"Wang","given":"Chenguang"},{"family":"Rosner","given":"Gary L."},{"family":"Bao","given":"Tingting"},{"family":"Lu","given":"Nelson"},{"family":"Chen","given":"Wei-Chen"},{"family":"Li","given":"Heng"},{"family":"Tiwari","given":"Ram"},{"family":"Xu","given":"Yunling"},{"family":"Yue","given":"Lilly Q."}],"issued":{"date-parts":[["2021",12,20]]}}},{"id":43,"uris":["http://zotero.org/users/local/ebPldVBC/items/H9KC5ZVH"],"itemData":{"id":43,"type":"article-journal","abstract":"[We revisit the problem of interval estimation of a binomial proportion. The erratic behavior of the coverage probability of the standard Wald confidence interval has previously been remarked on in the literature (Blyth and Still, Agresti and Coull, Santner and others). We begin by showing that the chaotic coverage properties of the Wald interval are far more persistent than is appreciated. Furthermore, common textbook prescriptions regarding its safety are misleading and defective in several respects and cannot be trusted. This leads us to consideration of alternative intervals. A number of natural alternatives are presented, each with its motivation and context. Each interval is examined for its coverage probability and its length. Based on this analysis, we recommend the Wilson interval or the equal-tailed Jeffreys prior interval for small n and the interval suggested in Agresti and Coull for larger n. We also provide an additional frequentist justification for use of the Jeffreys interval.]","archive":"JSTOR","container-title":"Statistical Science","ISSN":"08834237, 21688745","issue":"2","page":"101-117","publisher":"Institute of Mathematical Statistics","title":"Interval Estimation for a Binomial Proportion","volume":"16","author":[{"family":"Brown","given":"Lawrence D."},{"family":"Cai","given":"T. Tony"},{"family":"DasGupta","given":"Anirban"}],"issued":{"date-parts":[["2001"]]}}}],"schema":"https://github.com/citation-style-language/schema/raw/master/csl-citation.json"} </w:instrText>
      </w:r>
      <w:r w:rsidR="00801ED7">
        <w:fldChar w:fldCharType="separate"/>
      </w:r>
      <w:r w:rsidR="00801ED7" w:rsidRPr="00801ED7">
        <w:rPr>
          <w:rFonts w:ascii="Aptos" w:hAnsi="Aptos"/>
        </w:rPr>
        <w:t>(7,17)</w:t>
      </w:r>
      <w:r w:rsidR="00801ED7">
        <w:fldChar w:fldCharType="end"/>
      </w:r>
      <w:r w:rsidR="00837021" w:rsidRPr="00837021">
        <w:t xml:space="preserve">. </w:t>
      </w:r>
      <w:r w:rsidR="00305DE4" w:rsidRPr="00305DE4">
        <w:t xml:space="preserve">The required sample size is the smallest </w:t>
      </w:r>
      <m:oMath>
        <m:r>
          <w:rPr>
            <w:rFonts w:ascii="Cambria Math" w:hAnsi="Cambria Math"/>
          </w:rPr>
          <m:t>n</m:t>
        </m:r>
      </m:oMath>
      <w:r w:rsidR="00305DE4" w:rsidRPr="00305DE4">
        <w:t>at which this simulated power meets the targe</w:t>
      </w:r>
      <w:r w:rsidR="00305DE4">
        <w:t>t</w:t>
      </w:r>
      <w:r w:rsidR="00801ED7">
        <w:fldChar w:fldCharType="begin"/>
      </w:r>
      <w:r w:rsidR="00801ED7">
        <w:instrText xml:space="preserve"> ADDIN ZOTERO_ITEM CSL_CITATION {"citationID":"NDnucOXn","properties":{"unsorted":false,"formattedCitation":"(13)","plainCitation":"(13)","noteIndex":0},"citationItems":[{"id":38,"uris":["http://zotero.org/users/local/ebPldVBC/items/4KW5E62I"],"itemData":{"id":38,"type":"book","ISBN":"1-315-18308-0","publisher":"chapman and hall/CRC","title":"Sample size calculations in clinical research","author":[{"family":"Chow","given":"Shein-Chung"},{"family":"Shao","given":"Jun"},{"family":"Wang","given":"Hansheng"},{"family":"Lokhnygina","given":"Yuliya"}],"issued":{"date-parts":[["2017"]]}}}],"schema":"https://github.com/citation-style-language/schema/raw/master/csl-citation.json"} </w:instrText>
      </w:r>
      <w:r w:rsidR="00801ED7">
        <w:fldChar w:fldCharType="separate"/>
      </w:r>
      <w:r w:rsidR="00801ED7" w:rsidRPr="00801ED7">
        <w:rPr>
          <w:rFonts w:ascii="Aptos" w:hAnsi="Aptos"/>
        </w:rPr>
        <w:t>(13)</w:t>
      </w:r>
      <w:r w:rsidR="00801ED7">
        <w:fldChar w:fldCharType="end"/>
      </w:r>
      <w:r w:rsidR="00837021" w:rsidRPr="00837021">
        <w:t xml:space="preserve">. </w:t>
      </w:r>
      <w:r w:rsidR="00305DE4" w:rsidRPr="00305DE4">
        <w:t>This approach is implemented in specialist software including PASS</w:t>
      </w:r>
      <w:r w:rsidR="00461BFA">
        <w:fldChar w:fldCharType="begin"/>
      </w:r>
      <w:r w:rsidR="00FA228E">
        <w:instrText xml:space="preserve"> ADDIN ZOTERO_ITEM CSL_CITATION {"citationID":"uwxnjHl3","properties":{"unsorted":false,"formattedCitation":"(25)","plainCitation":"(25)","noteIndex":0},"citationItems":[{"id":67,"uris":["http://zotero.org/users/local/ebPldVBC/items/RIG6EDP7"],"itemData":{"id":67,"type":"webpage","title":"PASS Sample Size Software Documentation | PASS Software Help","URL":"https://www.ncss.com/software/pass/pass-documentation/","accessed":{"date-parts":[["2026",6,11]]}}}],"schema":"https://github.com/citation-style-language/schema/raw/master/csl-citation.json"} </w:instrText>
      </w:r>
      <w:r w:rsidR="00461BFA">
        <w:fldChar w:fldCharType="separate"/>
      </w:r>
      <w:r w:rsidR="00FA228E" w:rsidRPr="00FA228E">
        <w:rPr>
          <w:rFonts w:ascii="Aptos" w:hAnsi="Aptos"/>
        </w:rPr>
        <w:t>(25)</w:t>
      </w:r>
      <w:r w:rsidR="00461BFA">
        <w:fldChar w:fldCharType="end"/>
      </w:r>
      <w:r w:rsidR="00305DE4" w:rsidRPr="00305DE4">
        <w:t xml:space="preserve">, </w:t>
      </w:r>
      <w:proofErr w:type="spellStart"/>
      <w:r w:rsidR="00305DE4" w:rsidRPr="00305DE4">
        <w:t>nQuery</w:t>
      </w:r>
      <w:proofErr w:type="spellEnd"/>
      <w:r w:rsidR="00461BFA">
        <w:fldChar w:fldCharType="begin"/>
      </w:r>
      <w:r w:rsidR="00FA228E">
        <w:instrText xml:space="preserve"> ADDIN ZOTERO_ITEM CSL_CITATION {"citationID":"RUOUuelu","properties":{"unsorted":false,"formattedCitation":"(26)","plainCitation":"(26)","noteIndex":0},"citationItems":[{"id":69,"uris":["http://zotero.org/users/local/ebPldVBC/items/GX8BDTER"],"itemData":{"id":69,"type":"article-journal","language":"en","source":"Zotero","title":"nQuery Advisor Version 5.0 User’s Guide","author":[{"family":"Elashoff","given":"Janet D"}]}}],"schema":"https://github.com/citation-style-language/schema/raw/master/csl-citation.json"} </w:instrText>
      </w:r>
      <w:r w:rsidR="00461BFA">
        <w:fldChar w:fldCharType="separate"/>
      </w:r>
      <w:r w:rsidR="00FA228E" w:rsidRPr="00FA228E">
        <w:rPr>
          <w:rFonts w:ascii="Aptos" w:hAnsi="Aptos"/>
        </w:rPr>
        <w:t>(26)</w:t>
      </w:r>
      <w:r w:rsidR="00461BFA">
        <w:fldChar w:fldCharType="end"/>
      </w:r>
      <w:r w:rsidR="00305DE4" w:rsidRPr="00305DE4">
        <w:t xml:space="preserve"> and </w:t>
      </w:r>
      <w:proofErr w:type="spellStart"/>
      <w:r w:rsidR="00305DE4" w:rsidRPr="00305DE4">
        <w:t>Cytel</w:t>
      </w:r>
      <w:proofErr w:type="spellEnd"/>
      <w:r w:rsidR="00305DE4" w:rsidRPr="00305DE4">
        <w:t xml:space="preserve"> East</w:t>
      </w:r>
      <w:r w:rsidR="00461BFA">
        <w:fldChar w:fldCharType="begin"/>
      </w:r>
      <w:r w:rsidR="00FA228E">
        <w:instrText xml:space="preserve"> ADDIN ZOTERO_ITEM CSL_CITATION {"citationID":"hwoKYqNn","properties":{"unsorted":false,"formattedCitation":"(27)","plainCitation":"(27)","noteIndex":0},"citationItems":[{"id":71,"uris":["http://zotero.org/users/local/ebPldVBC/items/Y7F73IM6"],"itemData":{"id":71,"type":"post-weblog","language":"en-US","title":"East Archives","URL":"https://dev-www.cytel.com/by-topic/east/","accessed":{"date-parts":[["2026",6,11]]}}}],"schema":"https://github.com/citation-style-language/schema/raw/master/csl-citation.json"} </w:instrText>
      </w:r>
      <w:r w:rsidR="00461BFA">
        <w:fldChar w:fldCharType="separate"/>
      </w:r>
      <w:r w:rsidR="00FA228E" w:rsidRPr="00FA228E">
        <w:rPr>
          <w:rFonts w:ascii="Aptos" w:hAnsi="Aptos"/>
        </w:rPr>
        <w:t>(27)</w:t>
      </w:r>
      <w:r w:rsidR="00461BFA">
        <w:fldChar w:fldCharType="end"/>
      </w:r>
      <w:r w:rsidR="00305DE4" w:rsidRPr="00305DE4">
        <w:t>, as well as several R packages</w:t>
      </w:r>
      <w:r w:rsidR="00461BFA">
        <w:fldChar w:fldCharType="begin"/>
      </w:r>
      <w:r w:rsidR="00FA228E">
        <w:instrText xml:space="preserve"> ADDIN ZOTERO_ITEM CSL_CITATION {"citationID":"iVU19hbS","properties":{"unsorted":false,"formattedCitation":"(28)","plainCitation":"(28)","noteIndex":0},"citationItems":[{"id":73,"uris":["http://zotero.org/users/local/ebPldVBC/items/I2N5PA7P"],"itemData":{"id":73,"type":"webpage","title":"binom.confint function - RDocumentation","URL":"https://www.rdocumentation.org/packages/binom/versions/1.1-1.1/topics/binom.confint","accessed":{"date-parts":[["2026",6,11]]}}}],"schema":"https://github.com/citation-style-language/schema/raw/master/csl-citation.json"} </w:instrText>
      </w:r>
      <w:r w:rsidR="00461BFA">
        <w:fldChar w:fldCharType="separate"/>
      </w:r>
      <w:r w:rsidR="00FA228E" w:rsidRPr="00FA228E">
        <w:rPr>
          <w:rFonts w:ascii="Aptos" w:hAnsi="Aptos"/>
        </w:rPr>
        <w:t>(28)</w:t>
      </w:r>
      <w:r w:rsidR="00461BFA">
        <w:fldChar w:fldCharType="end"/>
      </w:r>
      <w:r w:rsidR="00305DE4" w:rsidRPr="00305DE4">
        <w:t>, and is particularly useful because it mirrors the planned analysis directly</w:t>
      </w:r>
      <w:r w:rsidR="007E3290">
        <w:fldChar w:fldCharType="begin"/>
      </w:r>
      <w:r w:rsidR="007E3290">
        <w:instrText xml:space="preserve"> ADDIN ZOTERO_ITEM CSL_CITATION {"citationID":"61krVXJe","properties":{"unsorted":false,"formattedCitation":"(7,13)","plainCitation":"(7,13)","noteIndex":0},"citationItems":[{"id":32,"uris":["http://zotero.org/users/local/ebPldVBC/items/7QTQGWQJ"],"itemData":{"id":32,"type":"article-journal","abstract":"Performance goals are numerical target values pertaining to effectiveness or safety endpoints in single-arm medical device clinical studies. Typically,  performance goals are determined at the planning stage of the investigational  study under consideration based on summarized outcome information from existing  relevant clinical trials. In recent years, there is a growing interest in  leveraging real-world evidence in medical product development. In this article,  we introduce a new method for proposing performance goals by leveraging  real-world evidence. The method applies entropy balancing to address possible  patient dissimilarities between the study's target patient population and  existing real-world patients, and can take into account operation differences  between clinical studies and real-world clinical practice. An illustrative  example is provided to demonstrate how to implement the proposed method for  performance goal determination while leveraging real-world evidence.","container-title":"Statistics in medicine","DOI":"10.1002/sim.9199","ISSN":"1097-0258 0277-6715","issue":"29","journalAbbreviation":"Stat Med","language":"eng","license":"© 2021 John Wiley &amp; Sons Ltd.","page":"6577-6589","PMID":"34561895","publisher-place":"England","title":"Leveraging real-world evidence for determining performance goals for medical device studies.","volume":"40","author":[{"family":"Wang","given":"Chenguang"},{"family":"Rosner","given":"Gary L."},{"family":"Bao","given":"Tingting"},{"family":"Lu","given":"Nelson"},{"family":"Chen","given":"Wei-Chen"},{"family":"Li","given":"Heng"},{"family":"Tiwari","given":"Ram"},{"family":"Xu","given":"Yunling"},{"family":"Yue","given":"Lilly Q."}],"issued":{"date-parts":[["2021",12,20]]}}},{"id":38,"uris":["http://zotero.org/users/local/ebPldVBC/items/4KW5E62I"],"itemData":{"id":38,"type":"book","ISBN":"1-315-18308-0","publisher":"chapman and hall/CRC","title":"Sample size calculations in clinical research","author":[{"family":"Chow","given":"Shein-Chung"},{"family":"Shao","given":"Jun"},{"family":"Wang","given":"Hansheng"},{"family":"Lokhnygina","given":"Yuliya"}],"issued":{"date-parts":[["2017"]]}}}],"schema":"https://github.com/citation-style-language/schema/raw/master/csl-citation.json"} </w:instrText>
      </w:r>
      <w:r w:rsidR="007E3290">
        <w:fldChar w:fldCharType="separate"/>
      </w:r>
      <w:r w:rsidR="007E3290" w:rsidRPr="007E3290">
        <w:rPr>
          <w:rFonts w:ascii="Aptos" w:hAnsi="Aptos"/>
        </w:rPr>
        <w:t>(7,13)</w:t>
      </w:r>
      <w:r w:rsidR="007E3290">
        <w:fldChar w:fldCharType="end"/>
      </w:r>
    </w:p>
    <w:p w14:paraId="14F00788" w14:textId="77777777" w:rsidR="00EC4CBB" w:rsidRDefault="00EC4CBB" w:rsidP="00305DE4"/>
    <w:p w14:paraId="3C573386" w14:textId="505078F2" w:rsidR="00EC4CBB" w:rsidRDefault="00EC4CBB" w:rsidP="00EC4CBB">
      <w:pPr>
        <w:pStyle w:val="Heading2"/>
      </w:pPr>
      <w:bookmarkStart w:id="19" w:name="_Toc232114699"/>
      <w:r>
        <w:t xml:space="preserve">2.5 </w:t>
      </w:r>
      <w:r w:rsidRPr="00EC4CBB">
        <w:t>Incorporating Prior Evidence: Bayesian Historical Borrowing</w:t>
      </w:r>
      <w:bookmarkEnd w:id="19"/>
    </w:p>
    <w:p w14:paraId="1FD1CC39" w14:textId="79F66CCA" w:rsidR="00EC4CBB" w:rsidRPr="00EC4CBB" w:rsidRDefault="00EC4CBB" w:rsidP="00EC4CBB">
      <w:r w:rsidRPr="00EC4CBB">
        <w:t>The frequentist sample size framework described in Section 2.4 treats each trial as an isolated exercise, making no formal use of evidence accumulated from comparable prior studies. Bayesian historical borrowing offers an alternative by incorporating this prior evidence directly into the analysis through a prior distribution, which is then updated with current trial data to produce a posterior distribution</w:t>
      </w:r>
      <w:r w:rsidR="00461BFA">
        <w:fldChar w:fldCharType="begin"/>
      </w:r>
      <w:r w:rsidR="00FA228E">
        <w:instrText xml:space="preserve"> ADDIN ZOTERO_ITEM CSL_CITATION {"citationID":"xITCAV5E","properties":{"unsorted":false,"formattedCitation":"(23,29,30)","plainCitation":"(23,29,30)","noteIndex":0},"citationItems":[{"id":49,"uris":["http://zotero.org/users/local/ebPldVBC/items/WDIC986I"],"itemData":{"id":49,"type":"article-journal","title":"Harold Jeffreys’s theory of probability revisited","author":[{"family":"Robert","given":"Christian P"},{"family":"Chopin","given":"Nicolas"},{"family":"Rousseau","given":"Judith"}],"issued":{"date-parts":[["2009"]]}}},{"id":60,"uris":["http://zotero.org/users/local/ebPldVBC/items/3VI73HMX"],"itemData":{"id":60,"type":"article-journal","container-title":"Journal of biopharmaceutical statistics","ISSN":"1054-3406","issue":"5","journalAbbreviation":"Journal of biopharmaceutical statistics","page":"871-887","publisher":"Taylor &amp; Francis","title":"Bayesian statistics in medical devices: innovation sparked by the FDA","volume":"21","author":[{"family":"Campbell","given":"Gregory"}],"issued":{"date-parts":[["2011"]]}}},{"id":61,"uris":["http://zotero.org/users/local/ebPldVBC/items/3Q2SXPRP"],"itemData":{"id":61,"type":"article-journal","container-title":"Statistical Science","ISSN":"0883-4237","journalAbbreviation":"Statistical Science","page":"46-60","publisher":"JSTOR","title":"Power prior distributions for regression models","author":[{"family":"Ibrahim","given":"Joseph G"},{"family":"Chen","given":"Ming-Hui"}],"issued":{"date-parts":[["2000"]]}}}],"schema":"https://github.com/citation-style-language/schema/raw/master/csl-citation.json"} </w:instrText>
      </w:r>
      <w:r w:rsidR="00461BFA">
        <w:fldChar w:fldCharType="separate"/>
      </w:r>
      <w:r w:rsidR="00FA228E" w:rsidRPr="00FA228E">
        <w:rPr>
          <w:rFonts w:ascii="Aptos" w:hAnsi="Aptos"/>
        </w:rPr>
        <w:t>(23,29,30)</w:t>
      </w:r>
      <w:r w:rsidR="00461BFA">
        <w:fldChar w:fldCharType="end"/>
      </w:r>
      <w:r w:rsidRPr="00EC4CBB">
        <w:t>. In medical device studies, where single-arm designs are common and historical data from comparable devices are often available, this approach can meaningfully reduce the number of patients required in the current trial</w:t>
      </w:r>
      <w:r w:rsidR="00461BFA">
        <w:fldChar w:fldCharType="begin"/>
      </w:r>
      <w:r w:rsidR="00FA228E">
        <w:instrText xml:space="preserve"> ADDIN ZOTERO_ITEM CSL_CITATION {"citationID":"D6Xd8DE3","properties":{"unsorted":false,"formattedCitation":"(8,10,29)","plainCitation":"(8,10,29)","noteIndex":0},"citationItems":[{"id":20,"uris":["http://zotero.org/users/local/ebPldVBC/items/4GQAW2H3"],"itemData":{"id":20,"type":"article-journal","abstract":"Although randomised controlled trials are considered the gold standard in clinical research, they are not always feasible due to limitations in the study  population, challenges in obtaining evidence, high costs and ethical  considerations. As a result, single-arm trial designs have emerged as one of the  methods to address these issues. Single-arm trials are commonly applied to study  advanced-stage cancer, rare diseases, emerging infectious diseases, new treatment  methods and medical devices. Single-arm trials have certain ethical advantages  over randomised controlled trials, such as providing equitable treatment,  respecting patient preferences, addressing rare diseases and timely management of  adverse events. While single-arm trials do not adhere to the principles of  randomisation and blinding in terms of scientific rigour, they still incorporate  principles of control, balance and replication, making the design scientifically  reasonable. Compared with randomised controlled trials, single-arm trials require  fewer sample sizes and have shorter trial durations, which can help save costs.  Compared with cohort studies, single-arm trials involve intervention measures and  reduce external interference, resulting in higher levels of evidence. However,  single-arm trials also have limitations. Without a parallel control group, there  may be biases in interpreting the results. In addition, single-arm trials cannot  meet the requirements of randomisation and blinding, thereby limiting their  evidence capacity compared with randomised controlled trials. Therefore,  researchers consider using single-arm trials as a trial design method only when  randomised controlled trials are not feasible.","container-title":"BMJ supportive &amp; palliative care","DOI":"10.1136/spcare-2024-004984","ISSN":"2045-4368 2045-435X","issue":"1","journalAbbreviation":"BMJ Support Palliat Care","language":"eng","license":"© Author(s) (or their employer(s)) 2025. Re-use permitted under CC BY-NC. No commercial re-use. See rights and permissions. Published by BMJ Group.","page":"46-54","PMID":"38834238","PMCID":"PMC11874317","publisher-place":"England","title":"Single-arm clinical trials: design, ethics, principles.","volume":"15","author":[{"family":"Wang","given":"Minyan"},{"family":"Ma","given":"Huan"},{"family":"Shi","given":"Yun"},{"family":"Ni","given":"Haojie"},{"family":"Qin","given":"Chu"},{"family":"Ji","given":"Conghua"}],"issued":{"date-parts":[["2024",12,25]]}}},{"id":21,"uris":["http://zotero.org/users/local/ebPldVBC/items/SLWFMSIE"],"itemData":{"id":21,"type":"article-journal","abstract":"Although single-arm trials (SATs) can serve as a pivotal study design for evaluating drug efficacy in specific scenarios, they are accompanied by inherent limitations and challenges. This paper explores the challenges of validity, reliability, statistical power, and the use of external control in SATs from a statistical perspective. We reflect on the rationale for employing SATs to support efficacy assessments, and provide recommendations based on their limitations and potential biases. The objective is to offer guidance for the improved design and implementation of SATs in future research.","container-title":"BMC Medical Research Methodology","DOI":"10.1186/s12874-025-02660-9","ISSN":"1471-2288","issue":"1","journalAbbreviation":"BMC Medical Research Methodology","page":"233","title":"Estimating comparative effectiveness using Single-Arm trials: A challenge in the field of agnosticism","volume":"25","author":[{"family":"Cao","given":"Shang"},{"family":"Kan","given":"Hongwei"},{"family":"Lu","given":"Mingliang"},{"family":"Pan","given":"Jianhong"}],"issued":{"date-parts":[["2025",10,21]]}}},{"id":60,"uris":["http://zotero.org/users/local/ebPldVBC/items/3VI73HMX"],"itemData":{"id":60,"type":"article-journal","container-title":"Journal of biopharmaceutical statistics","ISSN":"1054-3406","issue":"5","journalAbbreviation":"Journal of biopharmaceutical statistics","page":"871-887","publisher":"Taylor &amp; Francis","title":"Bayesian statistics in medical devices: innovation sparked by the FDA","volume":"21","author":[{"family":"Campbell","given":"Gregory"}],"issued":{"date-parts":[["2011"]]}}}],"schema":"https://github.com/citation-style-language/schema/raw/master/csl-citation.json"} </w:instrText>
      </w:r>
      <w:r w:rsidR="00461BFA">
        <w:fldChar w:fldCharType="separate"/>
      </w:r>
      <w:r w:rsidR="00FA228E" w:rsidRPr="00FA228E">
        <w:rPr>
          <w:rFonts w:ascii="Aptos" w:hAnsi="Aptos"/>
        </w:rPr>
        <w:t>(8,10,29)</w:t>
      </w:r>
      <w:r w:rsidR="00461BFA">
        <w:fldChar w:fldCharType="end"/>
      </w:r>
      <w:r w:rsidRPr="00EC4CBB">
        <w:t>.</w:t>
      </w:r>
    </w:p>
    <w:p w14:paraId="4E947767" w14:textId="231A6884" w:rsidR="00EC4CBB" w:rsidRPr="00EC4CBB" w:rsidRDefault="00EC4CBB" w:rsidP="00EC4CBB">
      <w:r w:rsidRPr="00EC4CBB">
        <w:lastRenderedPageBreak/>
        <w:t>For a binary endpoint, a natural and tractable model uses the Beta-Binomial conjugate structure</w:t>
      </w:r>
      <w:r w:rsidR="00C34008">
        <w:fldChar w:fldCharType="begin"/>
      </w:r>
      <w:r w:rsidR="00FA228E">
        <w:instrText xml:space="preserve"> ADDIN ZOTERO_ITEM CSL_CITATION {"citationID":"6V98jeh9","properties":{"unsorted":false,"formattedCitation":"(18,23,31)","plainCitation":"(18,23,31)","noteIndex":0},"citationItems":[{"id":46,"uris":["http://zotero.org/users/local/ebPldVBC/items/RBXEHUWE"],"itemData":{"id":46,"type":"book","ISBN":"1-118-71094-0","publisher":"John Wiley &amp; Sons","title":"Categorical data analysis","author":[{"family":"Agresti","given":"Alan"}],"issued":{"date-parts":[["2013"]]}}},{"id":49,"uris":["http://zotero.org/users/local/ebPldVBC/items/WDIC986I"],"itemData":{"id":49,"type":"article-journal","title":"Harold Jeffreys’s theory of probability revisited","author":[{"family":"Robert","given":"Christian P"},{"family":"Chopin","given":"Nicolas"},{"family":"Rousseau","given":"Judith"}],"issued":{"date-parts":[["2009"]]}}},{"id":59,"uris":["http://zotero.org/users/local/ebPldVBC/items/CEGYXA59"],"itemData":{"id":59,"type":"article-journal","container-title":"Maryland: US Food and Drug Administration","journalAbbreviation":"Maryland: US Food and Drug Administration","title":"Guidance for the use of Bayesian statistics in medical device clinical trials","author":[{"literal":"US Food and Drug Administration"}],"issued":{"date-parts":[["2010"]]}}}],"schema":"https://github.com/citation-style-language/schema/raw/master/csl-citation.json"} </w:instrText>
      </w:r>
      <w:r w:rsidR="00C34008">
        <w:fldChar w:fldCharType="separate"/>
      </w:r>
      <w:r w:rsidR="00FA228E" w:rsidRPr="00FA228E">
        <w:rPr>
          <w:rFonts w:ascii="Aptos" w:hAnsi="Aptos"/>
        </w:rPr>
        <w:t>(18,23,31)</w:t>
      </w:r>
      <w:r w:rsidR="00C34008">
        <w:fldChar w:fldCharType="end"/>
      </w:r>
      <w:r w:rsidRPr="00EC4CBB">
        <w:t xml:space="preserve">. If historical data contribute </w:t>
      </w:r>
      <m:oMath>
        <m:sSub>
          <m:sSubPr>
            <m:ctrlPr>
              <w:rPr>
                <w:rFonts w:ascii="Cambria Math" w:hAnsi="Cambria Math"/>
              </w:rPr>
            </m:ctrlPr>
          </m:sSubPr>
          <m:e>
            <m:r>
              <w:rPr>
                <w:rFonts w:ascii="Cambria Math" w:hAnsi="Cambria Math"/>
              </w:rPr>
              <m:t>α</m:t>
            </m:r>
          </m:e>
          <m:sub>
            <m:r>
              <w:rPr>
                <w:rFonts w:ascii="Cambria Math" w:hAnsi="Cambria Math"/>
              </w:rPr>
              <m:t>0</m:t>
            </m:r>
          </m:sub>
        </m:sSub>
      </m:oMath>
      <w:r w:rsidR="00C34008">
        <w:rPr>
          <w:rFonts w:eastAsiaTheme="minorEastAsia"/>
        </w:rPr>
        <w:t xml:space="preserve"> </w:t>
      </w:r>
      <w:r w:rsidRPr="00EC4CBB">
        <w:t xml:space="preserve">observed events and </w:t>
      </w:r>
      <m:oMath>
        <m:sSub>
          <m:sSubPr>
            <m:ctrlPr>
              <w:rPr>
                <w:rFonts w:ascii="Cambria Math" w:hAnsi="Cambria Math"/>
              </w:rPr>
            </m:ctrlPr>
          </m:sSubPr>
          <m:e>
            <m:r>
              <w:rPr>
                <w:rFonts w:ascii="Cambria Math" w:hAnsi="Cambria Math"/>
              </w:rPr>
              <m:t>β</m:t>
            </m:r>
          </m:e>
          <m:sub>
            <m:r>
              <w:rPr>
                <w:rFonts w:ascii="Cambria Math" w:hAnsi="Cambria Math"/>
              </w:rPr>
              <m:t>0</m:t>
            </m:r>
          </m:sub>
        </m:sSub>
      </m:oMath>
      <w:r w:rsidR="00461BFA">
        <w:rPr>
          <w:rFonts w:eastAsiaTheme="minorEastAsia"/>
        </w:rPr>
        <w:t xml:space="preserve"> </w:t>
      </w:r>
      <w:r w:rsidRPr="00EC4CBB">
        <w:t>observed non-events, the prior distribution is</w:t>
      </w:r>
      <w:r w:rsidR="00C34008">
        <w:fldChar w:fldCharType="begin"/>
      </w:r>
      <w:r w:rsidR="00FA228E">
        <w:instrText xml:space="preserve"> ADDIN ZOTERO_ITEM CSL_CITATION {"citationID":"pOHem6ti","properties":{"unsorted":false,"formattedCitation":"(30)","plainCitation":"(30)","noteIndex":0},"citationItems":[{"id":61,"uris":["http://zotero.org/users/local/ebPldVBC/items/3Q2SXPRP"],"itemData":{"id":61,"type":"article-journal","container-title":"Statistical Science","ISSN":"0883-4237","journalAbbreviation":"Statistical Science","page":"46-60","publisher":"JSTOR","title":"Power prior distributions for regression models","author":[{"family":"Ibrahim","given":"Joseph G"},{"family":"Chen","given":"Ming-Hui"}],"issued":{"date-parts":[["2000"]]}}}],"schema":"https://github.com/citation-style-language/schema/raw/master/csl-citation.json"} </w:instrText>
      </w:r>
      <w:r w:rsidR="00C34008">
        <w:fldChar w:fldCharType="separate"/>
      </w:r>
      <w:r w:rsidR="00FA228E" w:rsidRPr="00FA228E">
        <w:rPr>
          <w:rFonts w:ascii="Aptos" w:hAnsi="Aptos"/>
        </w:rPr>
        <w:t>(30)</w:t>
      </w:r>
      <w:r w:rsidR="00C34008">
        <w:fldChar w:fldCharType="end"/>
      </w:r>
      <w:r w:rsidRPr="00EC4CBB">
        <w:t>:</w:t>
      </w:r>
    </w:p>
    <w:p w14:paraId="30B59C4F" w14:textId="54DD7942" w:rsidR="00EC4CBB" w:rsidRPr="00EC4CBB" w:rsidRDefault="00EC4CBB" w:rsidP="00EC4CBB">
      <m:oMathPara>
        <m:oMath>
          <m:r>
            <w:rPr>
              <w:rFonts w:ascii="Cambria Math" w:hAnsi="Cambria Math"/>
            </w:rPr>
            <m:t>p∼</m:t>
          </m:r>
          <m:r>
            <m:rPr>
              <m:nor/>
            </m:rPr>
            <m:t>Beta</m:t>
          </m:r>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0</m:t>
              </m:r>
            </m:sub>
          </m:sSub>
          <m:r>
            <w:rPr>
              <w:rFonts w:ascii="Cambria Math" w:hAnsi="Cambria Math"/>
            </w:rPr>
            <m:t>)</m:t>
          </m:r>
          <m:r>
            <w:br/>
          </m:r>
        </m:oMath>
      </m:oMathPara>
    </w:p>
    <w:p w14:paraId="423A6023" w14:textId="51E666E1" w:rsidR="00EC4CBB" w:rsidRPr="00EC4CBB" w:rsidRDefault="00EC4CBB" w:rsidP="00EC4CBB">
      <w:r w:rsidRPr="00EC4CBB">
        <w:t xml:space="preserve">After observing </w:t>
      </w:r>
      <m:oMath>
        <m:r>
          <w:rPr>
            <w:rFonts w:ascii="Cambria Math" w:hAnsi="Cambria Math"/>
          </w:rPr>
          <m:t>s</m:t>
        </m:r>
      </m:oMath>
      <w:r w:rsidRPr="00EC4CBB">
        <w:t xml:space="preserve">events and </w:t>
      </w:r>
      <m:oMath>
        <m:r>
          <w:rPr>
            <w:rFonts w:ascii="Cambria Math" w:hAnsi="Cambria Math"/>
          </w:rPr>
          <m:t>f</m:t>
        </m:r>
      </m:oMath>
      <w:r w:rsidR="00461BFA">
        <w:rPr>
          <w:rFonts w:eastAsiaTheme="minorEastAsia"/>
        </w:rPr>
        <w:t xml:space="preserve"> </w:t>
      </w:r>
      <w:r w:rsidRPr="00EC4CBB">
        <w:t>non-events in the current trial, the posterior distribution is obtained by conjugate updating</w:t>
      </w:r>
      <w:r w:rsidR="00C34008">
        <w:fldChar w:fldCharType="begin"/>
      </w:r>
      <w:r w:rsidR="00FA228E">
        <w:instrText xml:space="preserve"> ADDIN ZOTERO_ITEM CSL_CITATION {"citationID":"EEduyJUx","properties":{"unsorted":false,"formattedCitation":"(23,30,31)","plainCitation":"(23,30,31)","noteIndex":0},"citationItems":[{"id":49,"uris":["http://zotero.org/users/local/ebPldVBC/items/WDIC986I"],"itemData":{"id":49,"type":"article-journal","title":"Harold Jeffreys’s theory of probability revisited","author":[{"family":"Robert","given":"Christian P"},{"family":"Chopin","given":"Nicolas"},{"family":"Rousseau","given":"Judith"}],"issued":{"date-parts":[["2009"]]}}},{"id":61,"uris":["http://zotero.org/users/local/ebPldVBC/items/3Q2SXPRP"],"itemData":{"id":61,"type":"article-journal","container-title":"Statistical Science","ISSN":"0883-4237","journalAbbreviation":"Statistical Science","page":"46-60","publisher":"JSTOR","title":"Power prior distributions for regression models","author":[{"family":"Ibrahim","given":"Joseph G"},{"family":"Chen","given":"Ming-Hui"}],"issued":{"date-parts":[["2000"]]}}},{"id":59,"uris":["http://zotero.org/users/local/ebPldVBC/items/CEGYXA59"],"itemData":{"id":59,"type":"article-journal","container-title":"Maryland: US Food and Drug Administration","journalAbbreviation":"Maryland: US Food and Drug Administration","title":"Guidance for the use of Bayesian statistics in medical device clinical trials","author":[{"literal":"US Food and Drug Administration"}],"issued":{"date-parts":[["2010"]]}}}],"schema":"https://github.com/citation-style-language/schema/raw/master/csl-citation.json"} </w:instrText>
      </w:r>
      <w:r w:rsidR="00C34008">
        <w:fldChar w:fldCharType="separate"/>
      </w:r>
      <w:r w:rsidR="00FA228E" w:rsidRPr="00FA228E">
        <w:rPr>
          <w:rFonts w:ascii="Aptos" w:hAnsi="Aptos"/>
        </w:rPr>
        <w:t>(23,30,31)</w:t>
      </w:r>
      <w:r w:rsidR="00C34008">
        <w:fldChar w:fldCharType="end"/>
      </w:r>
      <w:r w:rsidRPr="00EC4CBB">
        <w:t>:</w:t>
      </w:r>
    </w:p>
    <w:p w14:paraId="5486E599" w14:textId="5ADD5EE1" w:rsidR="00EC4CBB" w:rsidRPr="00EC4CBB" w:rsidRDefault="00EC4CBB" w:rsidP="00EC4CBB">
      <m:oMathPara>
        <m:oMath>
          <m:r>
            <w:rPr>
              <w:rFonts w:ascii="Cambria Math" w:hAnsi="Cambria Math"/>
            </w:rPr>
            <m:t>p∣s,f∼</m:t>
          </m:r>
          <m:r>
            <m:rPr>
              <m:nor/>
            </m:rPr>
            <m:t>Beta</m:t>
          </m:r>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0</m:t>
              </m:r>
            </m:sub>
          </m:sSub>
          <m:r>
            <w:rPr>
              <w:rFonts w:ascii="Cambria Math" w:hAnsi="Cambria Math"/>
            </w:rPr>
            <m:t>+s,</m:t>
          </m:r>
          <m:r>
            <m:rPr>
              <m:nor/>
            </m:rPr>
            <w:rPr>
              <w:rFonts w:ascii="Arial" w:hAnsi="Arial" w:cs="Arial"/>
            </w:rPr>
            <m:t>  </m:t>
          </m:r>
          <m:sSub>
            <m:sSubPr>
              <m:ctrlPr>
                <w:rPr>
                  <w:rFonts w:ascii="Cambria Math" w:hAnsi="Cambria Math"/>
                </w:rPr>
              </m:ctrlPr>
            </m:sSubPr>
            <m:e>
              <m:r>
                <w:rPr>
                  <w:rFonts w:ascii="Cambria Math" w:hAnsi="Cambria Math"/>
                </w:rPr>
                <m:t>β</m:t>
              </m:r>
            </m:e>
            <m:sub>
              <m:r>
                <w:rPr>
                  <w:rFonts w:ascii="Cambria Math" w:hAnsi="Cambria Math"/>
                </w:rPr>
                <m:t>0</m:t>
              </m:r>
            </m:sub>
          </m:sSub>
          <m:r>
            <w:rPr>
              <w:rFonts w:ascii="Cambria Math" w:hAnsi="Cambria Math"/>
            </w:rPr>
            <m:t>+f)</m:t>
          </m:r>
          <m:r>
            <w:br/>
          </m:r>
        </m:oMath>
      </m:oMathPara>
    </w:p>
    <w:p w14:paraId="5622F1FA" w14:textId="34E0FEE0" w:rsidR="00EC4CBB" w:rsidRPr="00EC4CBB" w:rsidRDefault="00EC4CBB" w:rsidP="00EC4CBB">
      <w:r w:rsidRPr="00EC4CBB">
        <w:t>This posterior combines historical and current evidence into a single updated estimate of the true event probability. The influence of the prior relative to the current data is often summarised by its effective sample size, which approximates the number of current observations the prior is equivalent to</w:t>
      </w:r>
      <w:r w:rsidR="00C34008">
        <w:fldChar w:fldCharType="begin"/>
      </w:r>
      <w:r w:rsidR="00FA228E">
        <w:instrText xml:space="preserve"> ADDIN ZOTERO_ITEM CSL_CITATION {"citationID":"LtUytn8j","properties":{"unsorted":false,"formattedCitation":"(23,30,31)","plainCitation":"(23,30,31)","noteIndex":0},"citationItems":[{"id":49,"uris":["http://zotero.org/users/local/ebPldVBC/items/WDIC986I"],"itemData":{"id":49,"type":"article-journal","title":"Harold Jeffreys’s theory of probability revisited","author":[{"family":"Robert","given":"Christian P"},{"family":"Chopin","given":"Nicolas"},{"family":"Rousseau","given":"Judith"}],"issued":{"date-parts":[["2009"]]}}},{"id":61,"uris":["http://zotero.org/users/local/ebPldVBC/items/3Q2SXPRP"],"itemData":{"id":61,"type":"article-journal","container-title":"Statistical Science","ISSN":"0883-4237","journalAbbreviation":"Statistical Science","page":"46-60","publisher":"JSTOR","title":"Power prior distributions for regression models","author":[{"family":"Ibrahim","given":"Joseph G"},{"family":"Chen","given":"Ming-Hui"}],"issued":{"date-parts":[["2000"]]}}},{"id":59,"uris":["http://zotero.org/users/local/ebPldVBC/items/CEGYXA59"],"itemData":{"id":59,"type":"article-journal","container-title":"Maryland: US Food and Drug Administration","journalAbbreviation":"Maryland: US Food and Drug Administration","title":"Guidance for the use of Bayesian statistics in medical device clinical trials","author":[{"literal":"US Food and Drug Administration"}],"issued":{"date-parts":[["2010"]]}}}],"schema":"https://github.com/citation-style-language/schema/raw/master/csl-citation.json"} </w:instrText>
      </w:r>
      <w:r w:rsidR="00C34008">
        <w:fldChar w:fldCharType="separate"/>
      </w:r>
      <w:r w:rsidR="00FA228E" w:rsidRPr="00FA228E">
        <w:rPr>
          <w:rFonts w:ascii="Aptos" w:hAnsi="Aptos"/>
        </w:rPr>
        <w:t>(23,30,31)</w:t>
      </w:r>
      <w:r w:rsidR="00C34008">
        <w:fldChar w:fldCharType="end"/>
      </w:r>
      <w:r w:rsidRPr="00EC4CBB">
        <w:t>. A prior with a large effective sample size concentrates the posterior more tightly around the historical estimate, reducing the number of current patients needed to reach a given level of precision or power</w:t>
      </w:r>
      <w:r w:rsidR="00330FE5">
        <w:fldChar w:fldCharType="begin"/>
      </w:r>
      <w:r w:rsidR="00FA228E">
        <w:instrText xml:space="preserve"> ADDIN ZOTERO_ITEM CSL_CITATION {"citationID":"DudCV3dq","properties":{"unsorted":false,"formattedCitation":"(31)","plainCitation":"(31)","noteIndex":0},"citationItems":[{"id":59,"uris":["http://zotero.org/users/local/ebPldVBC/items/CEGYXA59"],"itemData":{"id":59,"type":"article-journal","container-title":"Maryland: US Food and Drug Administration","journalAbbreviation":"Maryland: US Food and Drug Administration","title":"Guidance for the use of Bayesian statistics in medical device clinical trials","author":[{"literal":"US Food and Drug Administration"}],"issued":{"date-parts":[["2010"]]}}}],"schema":"https://github.com/citation-style-language/schema/raw/master/csl-citation.json"} </w:instrText>
      </w:r>
      <w:r w:rsidR="00330FE5">
        <w:fldChar w:fldCharType="separate"/>
      </w:r>
      <w:r w:rsidR="00FA228E" w:rsidRPr="00FA228E">
        <w:rPr>
          <w:rFonts w:ascii="Aptos" w:hAnsi="Aptos"/>
        </w:rPr>
        <w:t>(31)</w:t>
      </w:r>
      <w:r w:rsidR="00330FE5">
        <w:fldChar w:fldCharType="end"/>
      </w:r>
      <w:r w:rsidRPr="00EC4CBB">
        <w:t>.</w:t>
      </w:r>
    </w:p>
    <w:p w14:paraId="15A9E408" w14:textId="085C18B9" w:rsidR="00EC4CBB" w:rsidRPr="00EC4CBB" w:rsidRDefault="00EC4CBB" w:rsidP="00EC4CBB">
      <w:r w:rsidRPr="00EC4CBB">
        <w:t>The central assumption underlying any borrowing strategy is exchangeability</w:t>
      </w:r>
      <w:r w:rsidR="00461BFA">
        <w:t xml:space="preserve">; </w:t>
      </w:r>
      <w:r w:rsidRPr="00EC4CBB">
        <w:t>the requirement that the historical and current populations are sufficiently similar that combining information across them is scientifically justified</w:t>
      </w:r>
      <w:r w:rsidR="00330FE5">
        <w:fldChar w:fldCharType="begin"/>
      </w:r>
      <w:r w:rsidR="00FA228E">
        <w:instrText xml:space="preserve"> ADDIN ZOTERO_ITEM CSL_CITATION {"citationID":"bZwZSCo5","properties":{"unsorted":false,"formattedCitation":"(31,32)","plainCitation":"(31,32)","noteIndex":0},"citationItems":[{"id":59,"uris":["http://zotero.org/users/local/ebPldVBC/items/CEGYXA59"],"itemData":{"id":59,"type":"article-journal","container-title":"Maryland: US Food and Drug Administration","journalAbbreviation":"Maryland: US Food and Drug Administration","title":"Guidance for the use of Bayesian statistics in medical device clinical trials","author":[{"literal":"US Food and Drug Administration"}],"issued":{"date-parts":[["2010"]]}}},{"id":58,"uris":["http://zotero.org/users/local/ebPldVBC/items/XFYBFFNT"],"itemData":{"id":58,"type":"article-journal","container-title":"BMC Medical Research Methodology","ISSN":"1471-2288","issue":"1","journalAbbreviation":"BMC Medical Research Methodology","page":"78","publisher":"Springer","title":"Bayesian dynamic borrowing in group-sequential design for medical device studies","volume":"25","author":[{"family":"Chiaruttini","given":"Maria Vittoria"},{"family":"Lorenzoni","given":"Giulia"},{"family":"Gregori","given":"Dario"}],"issued":{"date-parts":[["2025"]]}}}],"schema":"https://github.com/citation-style-language/schema/raw/master/csl-citation.json"} </w:instrText>
      </w:r>
      <w:r w:rsidR="00330FE5">
        <w:fldChar w:fldCharType="separate"/>
      </w:r>
      <w:r w:rsidR="00FA228E" w:rsidRPr="00FA228E">
        <w:rPr>
          <w:rFonts w:ascii="Aptos" w:hAnsi="Aptos"/>
        </w:rPr>
        <w:t>(31,32)</w:t>
      </w:r>
      <w:r w:rsidR="00330FE5">
        <w:fldChar w:fldCharType="end"/>
      </w:r>
      <w:r w:rsidRPr="00EC4CBB">
        <w:t xml:space="preserve">. Where full exchangeability cannot be assumed, partial borrowing approaches allow the historical contribution to be </w:t>
      </w:r>
      <w:r w:rsidR="00461BFA" w:rsidRPr="00EC4CBB">
        <w:t>downweighed</w:t>
      </w:r>
      <w:r w:rsidR="00330FE5">
        <w:fldChar w:fldCharType="begin"/>
      </w:r>
      <w:r w:rsidR="00FA228E">
        <w:instrText xml:space="preserve"> ADDIN ZOTERO_ITEM CSL_CITATION {"citationID":"kikTFCdR","properties":{"unsorted":false,"formattedCitation":"(30,32)","plainCitation":"(30,32)","noteIndex":0},"citationItems":[{"id":61,"uris":["http://zotero.org/users/local/ebPldVBC/items/3Q2SXPRP"],"itemData":{"id":61,"type":"article-journal","container-title":"Statistical Science","ISSN":"0883-4237","journalAbbreviation":"Statistical Science","page":"46-60","publisher":"JSTOR","title":"Power prior distributions for regression models","author":[{"family":"Ibrahim","given":"Joseph G"},{"family":"Chen","given":"Ming-Hui"}],"issued":{"date-parts":[["2000"]]}}},{"id":58,"uris":["http://zotero.org/users/local/ebPldVBC/items/XFYBFFNT"],"itemData":{"id":58,"type":"article-journal","container-title":"BMC Medical Research Methodology","ISSN":"1471-2288","issue":"1","journalAbbreviation":"BMC Medical Research Methodology","page":"78","publisher":"Springer","title":"Bayesian dynamic borrowing in group-sequential design for medical device studies","volume":"25","author":[{"family":"Chiaruttini","given":"Maria Vittoria"},{"family":"Lorenzoni","given":"Giulia"},{"family":"Gregori","given":"Dario"}],"issued":{"date-parts":[["2025"]]}}}],"schema":"https://github.com/citation-style-language/schema/raw/master/csl-citation.json"} </w:instrText>
      </w:r>
      <w:r w:rsidR="00330FE5">
        <w:fldChar w:fldCharType="separate"/>
      </w:r>
      <w:r w:rsidR="00FA228E" w:rsidRPr="00FA228E">
        <w:rPr>
          <w:rFonts w:ascii="Aptos" w:hAnsi="Aptos"/>
        </w:rPr>
        <w:t>(30,32)</w:t>
      </w:r>
      <w:r w:rsidR="00330FE5">
        <w:fldChar w:fldCharType="end"/>
      </w:r>
      <w:r w:rsidRPr="00EC4CBB">
        <w:t xml:space="preserve">. The power prior of Ibrahim and Chen (2000) achieves this by raising the historical likelihood to a discounting factor </w:t>
      </w:r>
      <m:oMath>
        <m:sSub>
          <m:sSubPr>
            <m:ctrlPr>
              <w:rPr>
                <w:rFonts w:ascii="Cambria Math" w:hAnsi="Cambria Math"/>
              </w:rPr>
            </m:ctrlPr>
          </m:sSubPr>
          <m:e>
            <m:r>
              <w:rPr>
                <w:rFonts w:ascii="Cambria Math" w:hAnsi="Cambria Math"/>
              </w:rPr>
              <m:t>a</m:t>
            </m:r>
          </m:e>
          <m:sub>
            <m:r>
              <w:rPr>
                <w:rFonts w:ascii="Cambria Math" w:hAnsi="Cambria Math"/>
              </w:rPr>
              <m:t>0</m:t>
            </m:r>
          </m:sub>
        </m:sSub>
        <m:r>
          <w:rPr>
            <w:rFonts w:ascii="Cambria Math" w:hAnsi="Cambria Math"/>
          </w:rPr>
          <m:t>∈[0,1]</m:t>
        </m:r>
      </m:oMath>
      <w:r w:rsidR="00635FBC">
        <w:rPr>
          <w:rFonts w:eastAsiaTheme="minorEastAsia"/>
        </w:rPr>
        <w:t xml:space="preserve"> </w:t>
      </w:r>
      <w:r w:rsidRPr="00EC4CBB">
        <w:t xml:space="preserve">before forming the prior, with </w:t>
      </w:r>
      <m:oMath>
        <m:sSub>
          <m:sSubPr>
            <m:ctrlPr>
              <w:rPr>
                <w:rFonts w:ascii="Cambria Math" w:hAnsi="Cambria Math"/>
              </w:rPr>
            </m:ctrlPr>
          </m:sSubPr>
          <m:e>
            <m:r>
              <w:rPr>
                <w:rFonts w:ascii="Cambria Math" w:hAnsi="Cambria Math"/>
              </w:rPr>
              <m:t>a</m:t>
            </m:r>
          </m:e>
          <m:sub>
            <m:r>
              <w:rPr>
                <w:rFonts w:ascii="Cambria Math" w:hAnsi="Cambria Math"/>
              </w:rPr>
              <m:t>0</m:t>
            </m:r>
          </m:sub>
        </m:sSub>
        <m:r>
          <w:rPr>
            <w:rFonts w:ascii="Cambria Math" w:hAnsi="Cambria Math"/>
          </w:rPr>
          <m:t>=1</m:t>
        </m:r>
      </m:oMath>
      <w:r w:rsidR="00635FBC">
        <w:rPr>
          <w:rFonts w:eastAsiaTheme="minorEastAsia"/>
        </w:rPr>
        <w:t xml:space="preserve"> </w:t>
      </w:r>
      <w:r w:rsidRPr="00EC4CBB">
        <w:t xml:space="preserve">representing full borrowing and </w:t>
      </w:r>
      <m:oMath>
        <m:sSub>
          <m:sSubPr>
            <m:ctrlPr>
              <w:rPr>
                <w:rFonts w:ascii="Cambria Math" w:hAnsi="Cambria Math"/>
              </w:rPr>
            </m:ctrlPr>
          </m:sSubPr>
          <m:e>
            <m:r>
              <w:rPr>
                <w:rFonts w:ascii="Cambria Math" w:hAnsi="Cambria Math"/>
              </w:rPr>
              <m:t>a</m:t>
            </m:r>
          </m:e>
          <m:sub>
            <m:r>
              <w:rPr>
                <w:rFonts w:ascii="Cambria Math" w:hAnsi="Cambria Math"/>
              </w:rPr>
              <m:t>0</m:t>
            </m:r>
          </m:sub>
        </m:sSub>
        <m:r>
          <w:rPr>
            <w:rFonts w:ascii="Cambria Math" w:hAnsi="Cambria Math"/>
          </w:rPr>
          <m:t>=0</m:t>
        </m:r>
      </m:oMath>
      <w:r w:rsidR="00635FBC">
        <w:rPr>
          <w:rFonts w:eastAsiaTheme="minorEastAsia"/>
        </w:rPr>
        <w:t xml:space="preserve"> </w:t>
      </w:r>
      <w:r w:rsidRPr="00EC4CBB">
        <w:t>representing no borrowing</w:t>
      </w:r>
      <w:r w:rsidR="004C3DC1">
        <w:fldChar w:fldCharType="begin"/>
      </w:r>
      <w:r w:rsidR="00FA228E">
        <w:instrText xml:space="preserve"> ADDIN ZOTERO_ITEM CSL_CITATION {"citationID":"IzMIlzm5","properties":{"unsorted":false,"formattedCitation":"(30)","plainCitation":"(30)","noteIndex":0},"citationItems":[{"id":61,"uris":["http://zotero.org/users/local/ebPldVBC/items/3Q2SXPRP"],"itemData":{"id":61,"type":"article-journal","container-title":"Statistical Science","ISSN":"0883-4237","journalAbbreviation":"Statistical Science","page":"46-60","publisher":"JSTOR","title":"Power prior distributions for regression models","author":[{"family":"Ibrahim","given":"Joseph G"},{"family":"Chen","given":"Ming-Hui"}],"issued":{"date-parts":[["2000"]]}}}],"schema":"https://github.com/citation-style-language/schema/raw/master/csl-citation.json"} </w:instrText>
      </w:r>
      <w:r w:rsidR="004C3DC1">
        <w:fldChar w:fldCharType="separate"/>
      </w:r>
      <w:r w:rsidR="00FA228E" w:rsidRPr="00FA228E">
        <w:rPr>
          <w:rFonts w:ascii="Aptos" w:hAnsi="Aptos"/>
        </w:rPr>
        <w:t>(30)</w:t>
      </w:r>
      <w:r w:rsidR="004C3DC1">
        <w:fldChar w:fldCharType="end"/>
      </w:r>
      <w:r w:rsidRPr="00EC4CBB">
        <w:t>. Adaptive borrowing methods take a data-driven approach, adjusting the degree of borrowing based on the observed compatibility between historical and current data</w:t>
      </w:r>
      <w:r w:rsidR="00461BFA">
        <w:t>,</w:t>
      </w:r>
      <w:r w:rsidRPr="00EC4CBB">
        <w:t xml:space="preserve"> increasing borrowing when the two are consistent and reducing it when they diverge</w:t>
      </w:r>
      <w:r w:rsidR="004C3DC1">
        <w:fldChar w:fldCharType="begin"/>
      </w:r>
      <w:r w:rsidR="00FA228E">
        <w:instrText xml:space="preserve"> ADDIN ZOTERO_ITEM CSL_CITATION {"citationID":"qvjezLBP","properties":{"unsorted":false,"formattedCitation":"(31,32)","plainCitation":"(31,32)","noteIndex":0},"citationItems":[{"id":59,"uris":["http://zotero.org/users/local/ebPldVBC/items/CEGYXA59"],"itemData":{"id":59,"type":"article-journal","container-title":"Maryland: US Food and Drug Administration","journalAbbreviation":"Maryland: US Food and Drug Administration","title":"Guidance for the use of Bayesian statistics in medical device clinical trials","author":[{"literal":"US Food and Drug Administration"}],"issued":{"date-parts":[["2010"]]}}},{"id":58,"uris":["http://zotero.org/users/local/ebPldVBC/items/XFYBFFNT"],"itemData":{"id":58,"type":"article-journal","container-title":"BMC Medical Research Methodology","ISSN":"1471-2288","issue":"1","journalAbbreviation":"BMC Medical Research Methodology","page":"78","publisher":"Springer","title":"Bayesian dynamic borrowing in group-sequential design for medical device studies","volume":"25","author":[{"family":"Chiaruttini","given":"Maria Vittoria"},{"family":"Lorenzoni","given":"Giulia"},{"family":"Gregori","given":"Dario"}],"issued":{"date-parts":[["2025"]]}}}],"schema":"https://github.com/citation-style-language/schema/raw/master/csl-citation.json"} </w:instrText>
      </w:r>
      <w:r w:rsidR="004C3DC1">
        <w:fldChar w:fldCharType="separate"/>
      </w:r>
      <w:r w:rsidR="00FA228E" w:rsidRPr="00FA228E">
        <w:rPr>
          <w:rFonts w:ascii="Aptos" w:hAnsi="Aptos"/>
        </w:rPr>
        <w:t>(31,32)</w:t>
      </w:r>
      <w:r w:rsidR="004C3DC1">
        <w:fldChar w:fldCharType="end"/>
      </w:r>
      <w:r w:rsidRPr="00EC4CBB">
        <w:t>.</w:t>
      </w:r>
    </w:p>
    <w:p w14:paraId="70DA051F" w14:textId="1AC9CAAC" w:rsidR="00EC4CBB" w:rsidRDefault="00EC4CBB" w:rsidP="00EC4CBB">
      <w:r w:rsidRPr="00EC4CBB">
        <w:t>Because borrowing affects operating characteristics including Type I error and power, regulatory guidance recommends that its properties be evaluated through simulation across a range of plausible scenarios before the design is finalised</w:t>
      </w:r>
      <w:r w:rsidR="004C3DC1">
        <w:fldChar w:fldCharType="begin"/>
      </w:r>
      <w:r w:rsidR="00FA228E">
        <w:instrText xml:space="preserve"> ADDIN ZOTERO_ITEM CSL_CITATION {"citationID":"SjBA2qse","properties":{"unsorted":false,"formattedCitation":"(31\\uc0\\u8211{}33)","plainCitation":"(31–33)","noteIndex":0},"citationItems":[{"id":59,"uris":["http://zotero.org/users/local/ebPldVBC/items/CEGYXA59"],"itemData":{"id":59,"type":"article-journal","container-title":"Maryland: US Food and Drug Administration","journalAbbreviation":"Maryland: US Food and Drug Administration","title":"Guidance for the use of Bayesian statistics in medical device clinical trials","author":[{"literal":"US Food and Drug Administration"}],"issued":{"date-parts":[["2010"]]}}},{"id":58,"uris":["http://zotero.org/users/local/ebPldVBC/items/XFYBFFNT"],"itemData":{"id":58,"type":"article-journal","container-title":"BMC Medical Research Methodology","ISSN":"1471-2288","issue":"1","journalAbbreviation":"BMC Medical Research Methodology","page":"78","publisher":"Springer","title":"Bayesian dynamic borrowing in group-sequential design for medical device studies","volume":"25","author":[{"family":"Chiaruttini","given":"Maria Vittoria"},{"family":"Lorenzoni","given":"Giulia"},{"family":"Gregori","given":"Dario"}],"issued":{"date-parts":[["2025"]]}}},{"id":63,"uris":["http://zotero.org/users/local/ebPldVBC/items/94UADFSL"],"itemData":{"id":63,"type":"article-journal","container-title":"Jama","ISSN":"0098-7484","issue":"23","journalAbbreviation":"Jama","page":"2337-2343","title":"Guidelines for the content of statistical analysis plans in clinical trials","volume":"318","author":[{"family":"Gamble","given":"Carrol"},{"family":"Krishan","given":"Ashma"},{"family":"Stocken","given":"Deborah"},{"family":"Lewis","given":"Steff"},{"family":"Juszczak","given":"Edmund"},{"family":"Doré","given":"Caroline"},{"family":"Williamson","given":"Paula R"},{"family":"Altman","given":"Douglas G"},{"family":"Montgomery","given":"Alan"},{"family":"Lim","given":"Pilar"}],"issued":{"date-parts":[["2017"]]}}}],"schema":"https://github.com/citation-style-language/schema/raw/master/csl-citation.json"} </w:instrText>
      </w:r>
      <w:r w:rsidR="004C3DC1">
        <w:fldChar w:fldCharType="separate"/>
      </w:r>
      <w:r w:rsidR="00FA228E" w:rsidRPr="00FA228E">
        <w:rPr>
          <w:rFonts w:ascii="Aptos" w:hAnsi="Aptos" w:cs="Times New Roman"/>
          <w:kern w:val="0"/>
        </w:rPr>
        <w:t>(31–33)</w:t>
      </w:r>
      <w:r w:rsidR="004C3DC1">
        <w:fldChar w:fldCharType="end"/>
      </w:r>
      <w:r w:rsidRPr="00EC4CBB">
        <w:t>. The FDA guidance on Bayesian statistics in medical device trials acknowledges the potential for historical borrowing to reduce sample size requirements while emphasising that the assumptions underlying the prior must be clinically and statistically justified</w:t>
      </w:r>
      <w:r w:rsidR="004C3DC1">
        <w:fldChar w:fldCharType="begin"/>
      </w:r>
      <w:r w:rsidR="00FA228E">
        <w:instrText xml:space="preserve"> ADDIN ZOTERO_ITEM CSL_CITATION {"citationID":"wClsGYBi","properties":{"unsorted":false,"formattedCitation":"(29,31)","plainCitation":"(29,31)","noteIndex":0},"citationItems":[{"id":60,"uris":["http://zotero.org/users/local/ebPldVBC/items/3VI73HMX"],"itemData":{"id":60,"type":"article-journal","container-title":"Journal of biopharmaceutical statistics","ISSN":"1054-3406","issue":"5","journalAbbreviation":"Journal of biopharmaceutical statistics","page":"871-887","publisher":"Taylor &amp; Francis","title":"Bayesian statistics in medical devices: innovation sparked by the FDA","volume":"21","author":[{"family":"Campbell","given":"Gregory"}],"issued":{"date-parts":[["2011"]]}}},{"id":59,"uris":["http://zotero.org/users/local/ebPldVBC/items/CEGYXA59"],"itemData":{"id":59,"type":"article-journal","container-title":"Maryland: US Food and Drug Administration","journalAbbreviation":"Maryland: US Food and Drug Administration","title":"Guidance for the use of Bayesian statistics in medical device clinical trials","author":[{"literal":"US Food and Drug Administration"}],"issued":{"date-parts":[["2010"]]}}}],"schema":"https://github.com/citation-style-language/schema/raw/master/csl-citation.json"} </w:instrText>
      </w:r>
      <w:r w:rsidR="004C3DC1">
        <w:fldChar w:fldCharType="separate"/>
      </w:r>
      <w:r w:rsidR="00FA228E" w:rsidRPr="00FA228E">
        <w:rPr>
          <w:rFonts w:ascii="Aptos" w:hAnsi="Aptos"/>
        </w:rPr>
        <w:t>(29,31)</w:t>
      </w:r>
      <w:r w:rsidR="004C3DC1">
        <w:fldChar w:fldCharType="end"/>
      </w:r>
      <w:r w:rsidRPr="00EC4CBB">
        <w:t xml:space="preserve">. Section 4.4 applies this framework to the </w:t>
      </w:r>
      <w:proofErr w:type="spellStart"/>
      <w:r w:rsidRPr="00EC4CBB">
        <w:t>BioMimics</w:t>
      </w:r>
      <w:proofErr w:type="spellEnd"/>
      <w:r w:rsidRPr="00EC4CBB">
        <w:t xml:space="preserve"> 3D safety endpoint using the historical evidence derived in Section 4.1.</w:t>
      </w:r>
    </w:p>
    <w:p w14:paraId="4190C638" w14:textId="77777777" w:rsidR="00501D9F" w:rsidRDefault="00501D9F" w:rsidP="00EC4CBB"/>
    <w:p w14:paraId="2E3AEB5F" w14:textId="6D4B6BFD" w:rsidR="00501D9F" w:rsidRDefault="00501D9F" w:rsidP="00501D9F">
      <w:pPr>
        <w:pStyle w:val="Heading2"/>
      </w:pPr>
      <w:bookmarkStart w:id="20" w:name="_Toc232114700"/>
      <w:r>
        <w:t xml:space="preserve">2.6 </w:t>
      </w:r>
      <w:r w:rsidRPr="00501D9F">
        <w:t>Statistical Analysis Plans in Clinical Trials</w:t>
      </w:r>
      <w:bookmarkEnd w:id="20"/>
    </w:p>
    <w:p w14:paraId="6756EF6E" w14:textId="58F8190F" w:rsidR="00501D9F" w:rsidRPr="00501D9F" w:rsidRDefault="00501D9F" w:rsidP="00501D9F">
      <w:r w:rsidRPr="00501D9F">
        <w:t xml:space="preserve">A </w:t>
      </w:r>
      <w:r>
        <w:t>S</w:t>
      </w:r>
      <w:r w:rsidRPr="00501D9F">
        <w:t xml:space="preserve">tatistical </w:t>
      </w:r>
      <w:r>
        <w:t>A</w:t>
      </w:r>
      <w:r w:rsidRPr="00501D9F">
        <w:t xml:space="preserve">nalysis </w:t>
      </w:r>
      <w:r>
        <w:t>P</w:t>
      </w:r>
      <w:r w:rsidRPr="00501D9F">
        <w:t>lan</w:t>
      </w:r>
      <w:r>
        <w:t xml:space="preserve"> (SAP)</w:t>
      </w:r>
      <w:r w:rsidRPr="00501D9F">
        <w:t xml:space="preserve"> is a formal document that provides a detailed and technical description of the statistical methods to be used in the analysis of a clinical trial, elaborating on the approaches outlined in the study protocol</w:t>
      </w:r>
      <w:r w:rsidR="00E20641">
        <w:fldChar w:fldCharType="begin"/>
      </w:r>
      <w:r w:rsidR="00E20641">
        <w:instrText xml:space="preserve"> ADDIN ZOTERO_ITEM CSL_CITATION {"citationID":"CdTxRMil","properties":{"unsorted":false,"formattedCitation":"(33,34)","plainCitation":"(33,34)","noteIndex":0},"citationItems":[{"id":63,"uris":["http://zotero.org/users/local/ebPldVBC/items/94UADFSL"],"itemData":{"id":63,"type":"article-journal","container-title":"Jama","ISSN":"0098-7484","issue":"23","journalAbbreviation":"Jama","page":"2337-2343","title":"Guidelines for the content of statistical analysis plans in clinical trials","volume":"318","author":[{"family":"Gamble","given":"Carrol"},{"family":"Krishan","given":"Ashma"},{"family":"Stocken","given":"Deborah"},{"family":"Lewis","given":"Steff"},{"family":"Juszczak","given":"Edmund"},{"family":"Doré","given":"Caroline"},{"family":"Williamson","given":"Paula R"},{"family":"Altman","given":"Douglas G"},{"family":"Montgomery","given":"Alan"},{"family":"Lim","given":"Pilar"}],"issued":{"date-parts":[["2017"]]}}},{"id":62,"uris":["http://zotero.org/users/local/ebPldVBC/items/28QJSEZ5"],"itemData":{"id":62,"type":"article-journal","container-title":"Cirugía Española (English Edition)","DOI":"10.1016/j.cireng.2024.07.007","ISSN":"21735077","issue":"1","journalAbbreviation":"Cirugía Española (English Edition)","page":"45-48","title":"Statistical Analysis Plan (SAP): What is it and how to develop it?","volume":"103","author":[{"family":"Fradera","given":"Marc"},{"family":"Serra-Aracil","given":"Xavier"}],"issued":{"date-parts":[["2025"]]}}}],"schema":"https://github.com/citation-style-language/schema/raw/master/csl-citation.json"} </w:instrText>
      </w:r>
      <w:r w:rsidR="00E20641">
        <w:fldChar w:fldCharType="separate"/>
      </w:r>
      <w:r w:rsidR="00E20641" w:rsidRPr="00E20641">
        <w:rPr>
          <w:rFonts w:ascii="Aptos" w:hAnsi="Aptos"/>
        </w:rPr>
        <w:t>(33,34)</w:t>
      </w:r>
      <w:r w:rsidR="00E20641">
        <w:fldChar w:fldCharType="end"/>
      </w:r>
      <w:r w:rsidRPr="00501D9F">
        <w:t>. According to ICH E9, the SAP should be finalised before the unblinded review of data, ensuring that all analytical decisions are made independently of the observed results</w:t>
      </w:r>
      <w:r w:rsidR="00E20641">
        <w:fldChar w:fldCharType="begin"/>
      </w:r>
      <w:r w:rsidR="001235BB">
        <w:instrText xml:space="preserve"> ADDIN ZOTERO_ITEM CSL_CITATION {"citationID":"f7zIWrKC","properties":{"unsorted":false,"formattedCitation":"(5)","plainCitation":"(5)","noteIndex":0},"citationItems":[{"id":28,"uris":["http://zotero.org/users/local/ebPldVBC/items/R5QCUM6Y"],"itemData":{"id":28,"type":"report","genre":"Guideline","language":"en","publisher":"International Council for Harmonisation (ICH)","source":"Zotero","title":"Statistical Principles for Clinical Trials E9","URL":"https://www.ich.org/page/efficacy-guidelines","author":[{"family":"International Council for Harmonisation","given":""}],"accessed":{"date-parts":[["2026",5,12]]},"issued":{"date-parts":[["1998"]]}}}],"schema":"https://github.com/citation-style-language/schema/raw/master/csl-citation.json"} </w:instrText>
      </w:r>
      <w:r w:rsidR="00E20641">
        <w:fldChar w:fldCharType="separate"/>
      </w:r>
      <w:r w:rsidR="00E20641" w:rsidRPr="00E20641">
        <w:rPr>
          <w:rFonts w:ascii="Aptos" w:hAnsi="Aptos"/>
        </w:rPr>
        <w:t>(5)</w:t>
      </w:r>
      <w:r w:rsidR="00E20641">
        <w:fldChar w:fldCharType="end"/>
      </w:r>
      <w:r w:rsidRPr="00501D9F">
        <w:t>. This requirement exists because statistical analysis involves choices about endpoints, methods, populations and decision rules that can influence the conclusion of a study, and pre-specifying those choices removes the opportunity for them to be made, consciously or otherwise, in a direction favourable to a particular outcome.</w:t>
      </w:r>
    </w:p>
    <w:p w14:paraId="0D2C4BF2" w14:textId="1D393785" w:rsidR="00501D9F" w:rsidRPr="00501D9F" w:rsidRDefault="00501D9F" w:rsidP="00501D9F">
      <w:r w:rsidRPr="00501D9F">
        <w:lastRenderedPageBreak/>
        <w:t>Pre-specification is considered a cornerstone of reproducible clinical research and is expected by regulatory bodies including the FDA and EMA as part of any submission supporting a marketing authorisation</w:t>
      </w:r>
      <w:r w:rsidR="00E20641">
        <w:fldChar w:fldCharType="begin"/>
      </w:r>
      <w:r w:rsidR="001235BB">
        <w:instrText xml:space="preserve"> ADDIN ZOTERO_ITEM CSL_CITATION {"citationID":"ub19esQU","properties":{"unsorted":false,"formattedCitation":"(5,11,35)","plainCitation":"(5,11,35)","noteIndex":0},"citationItems":[{"id":28,"uris":["http://zotero.org/users/local/ebPldVBC/items/R5QCUM6Y"],"itemData":{"id":28,"type":"report","genre":"Guideline","language":"en","publisher":"International Council for Harmonisation (ICH)","source":"Zotero","title":"Statistical Principles for Clinical Trials E9","URL":"https://www.ich.org/page/efficacy-guidelines","author":[{"family":"International Council for Harmonisation","given":""}],"accessed":{"date-parts":[["2026",5,12]]},"issued":{"date-parts":[["1998"]]}}},{"id":33,"uris":["http://zotero.org/users/local/ebPldVBC/items/U9Y8QLXH"],"itemData":{"id":33,"type":"webpage","abstract":"Medical Devices - Clinical investigations and performance studies","language":"en","title":"Medical Devices - Clinical investigations and performance studies - European Commission","URL":"https://health.ec.europa.eu/medical-devices-clinical-investigations-and-performance-studies_en","accessed":{"date-parts":[["2026",6,4]]},"issued":{"date-parts":[["2026",4,21]]}}},{"id":64,"uris":["http://zotero.org/users/local/ebPldVBC/items/9KS74YEM"],"itemData":{"id":64,"type":"article-journal","container-title":"BMC medicine","ISSN":"1741-7015","issue":"1","journalAbbreviation":"BMC medicine","page":"253","publisher":"Springer","title":"How to design a pre-specified statistical analysis approach to limit p-hacking in clinical trials: the Pre-SPEC framework","volume":"18","author":[{"family":"Kahan","given":"Brennan C"},{"family":"Forbes","given":"Gordon"},{"family":"Cro","given":"Suzie"}],"issued":{"date-parts":[["2020"]]}}}],"schema":"https://github.com/citation-style-language/schema/raw/master/csl-citation.json"} </w:instrText>
      </w:r>
      <w:r w:rsidR="00E20641">
        <w:fldChar w:fldCharType="separate"/>
      </w:r>
      <w:r w:rsidR="00E20641" w:rsidRPr="00E20641">
        <w:rPr>
          <w:rFonts w:ascii="Aptos" w:hAnsi="Aptos"/>
        </w:rPr>
        <w:t>(5,11,35)</w:t>
      </w:r>
      <w:r w:rsidR="00E20641">
        <w:fldChar w:fldCharType="end"/>
      </w:r>
      <w:r w:rsidRPr="00501D9F">
        <w:t>. For randomised controlled trials, the discipline of the randomisation process provides some inherent protection against bias, but the SAP remains essential for ensuring that the primary analysis is defined prospectively and that any deviations from it are transparent and justified</w:t>
      </w:r>
      <w:r w:rsidR="00E20641">
        <w:fldChar w:fldCharType="begin"/>
      </w:r>
      <w:r w:rsidR="00E20641">
        <w:instrText xml:space="preserve"> ADDIN ZOTERO_ITEM CSL_CITATION {"citationID":"wUFoEhBY","properties":{"unsorted":false,"formattedCitation":"(14,33)","plainCitation":"(14,33)","noteIndex":0},"citationItems":[{"id":39,"uris":["http://zotero.org/users/local/ebPldVBC/items/BSAWXQE8"],"itemData":{"id":39,"type":"article-journal","abstract":"Investigators should properly calculate sample sizes before the start of their randomised trials and adequately describe the details in their published report. In these a-priori calculations, determining the effect size to detect?eg, event rates in treatment and control groups?reflects inherently subjective clinical judgments. Furthermore, these judgments greatly affect sample size calculations. We question the branding of trials as unethical on the basis of an imprecise sample size calculation process. So-called underpowered trials might be acceptable if investigators use methodological rigor to eliminate bias, properly report to avoid misinterpretation, and always publish results to avert publication bias. Some shift of emphasis from a fixation on sample size to a focus on methodological quality would yield more trials with less bias. Unbiased trials with imprecise results trump no results at all. Clinicians and patients deserve guidance now.","container-title":"The Lancet","DOI":"10.1016/S0140-6736(05)61034-3","ISSN":"0140-6736","issue":"9467","page":"1348-1353","publisher":"Elsevier","title":"Sample size calculations in randomised trials: mandatory and mystical","volume":"365","author":[{"family":"Schulz","given":"Kenneth F"},{"family":"Grimes","given":"David A"}],"issued":{"date-parts":[["2005",4,9]]}}},{"id":63,"uris":["http://zotero.org/users/local/ebPldVBC/items/94UADFSL"],"itemData":{"id":63,"type":"article-journal","container-title":"Jama","ISSN":"0098-7484","issue":"23","journalAbbreviation":"Jama","page":"2337-2343","title":"Guidelines for the content of statistical analysis plans in clinical trials","volume":"318","author":[{"family":"Gamble","given":"Carrol"},{"family":"Krishan","given":"Ashma"},{"family":"Stocken","given":"Deborah"},{"family":"Lewis","given":"Steff"},{"family":"Juszczak","given":"Edmund"},{"family":"Doré","given":"Caroline"},{"family":"Williamson","given":"Paula R"},{"family":"Altman","given":"Douglas G"},{"family":"Montgomery","given":"Alan"},{"family":"Lim","given":"Pilar"}],"issued":{"date-parts":[["2017"]]}}}],"schema":"https://github.com/citation-style-language/schema/raw/master/csl-citation.json"} </w:instrText>
      </w:r>
      <w:r w:rsidR="00E20641">
        <w:fldChar w:fldCharType="separate"/>
      </w:r>
      <w:r w:rsidR="00E20641" w:rsidRPr="00E20641">
        <w:rPr>
          <w:rFonts w:ascii="Aptos" w:hAnsi="Aptos"/>
        </w:rPr>
        <w:t>(14,33)</w:t>
      </w:r>
      <w:r w:rsidR="00E20641">
        <w:fldChar w:fldCharType="end"/>
      </w:r>
      <w:r w:rsidRPr="00501D9F">
        <w:t>.</w:t>
      </w:r>
    </w:p>
    <w:p w14:paraId="776A357D" w14:textId="3A6B7EDD" w:rsidR="00501D9F" w:rsidRPr="00501D9F" w:rsidRDefault="00501D9F" w:rsidP="00501D9F">
      <w:r w:rsidRPr="00501D9F">
        <w:t>In single-arm performance goal studies, the SAP carries particular weight. Without a concurrent control group, the trial conclusion depends entirely on how the observed data are compared against a pre-specified benchmark, and the choices embedded in that comparison, namely the performance goal value, the confidence interval method and the decision rule, can each independently alter the conclusion</w:t>
      </w:r>
      <w:r w:rsidR="00E20641">
        <w:fldChar w:fldCharType="begin"/>
      </w:r>
      <w:r w:rsidR="00E20641">
        <w:instrText xml:space="preserve"> ADDIN ZOTERO_ITEM CSL_CITATION {"citationID":"KMfZ5EK0","properties":{"unsorted":false,"formattedCitation":"(7,10,35)","plainCitation":"(7,10,35)","noteIndex":0},"citationItems":[{"id":32,"uris":["http://zotero.org/users/local/ebPldVBC/items/7QTQGWQJ"],"itemData":{"id":32,"type":"article-journal","abstract":"Performance goals are numerical target values pertaining to effectiveness or safety endpoints in single-arm medical device clinical studies. Typically,  performance goals are determined at the planning stage of the investigational  study under consideration based on summarized outcome information from existing  relevant clinical trials. In recent years, there is a growing interest in  leveraging real-world evidence in medical product development. In this article,  we introduce a new method for proposing performance goals by leveraging  real-world evidence. The method applies entropy balancing to address possible  patient dissimilarities between the study's target patient population and  existing real-world patients, and can take into account operation differences  between clinical studies and real-world clinical practice. An illustrative  example is provided to demonstrate how to implement the proposed method for  performance goal determination while leveraging real-world evidence.","container-title":"Statistics in medicine","DOI":"10.1002/sim.9199","ISSN":"1097-0258 0277-6715","issue":"29","journalAbbreviation":"Stat Med","language":"eng","license":"© 2021 John Wiley &amp; Sons Ltd.","page":"6577-6589","PMID":"34561895","publisher-place":"England","title":"Leveraging real-world evidence for determining performance goals for medical device studies.","volume":"40","author":[{"family":"Wang","given":"Chenguang"},{"family":"Rosner","given":"Gary L."},{"family":"Bao","given":"Tingting"},{"family":"Lu","given":"Nelson"},{"family":"Chen","given":"Wei-Chen"},{"family":"Li","given":"Heng"},{"family":"Tiwari","given":"Ram"},{"family":"Xu","given":"Yunling"},{"family":"Yue","given":"Lilly Q."}],"issued":{"date-parts":[["2021",12,20]]}}},{"id":21,"uris":["http://zotero.org/users/local/ebPldVBC/items/SLWFMSIE"],"itemData":{"id":21,"type":"article-journal","abstract":"Although single-arm trials (SATs) can serve as a pivotal study design for evaluating drug efficacy in specific scenarios, they are accompanied by inherent limitations and challenges. This paper explores the challenges of validity, reliability, statistical power, and the use of external control in SATs from a statistical perspective. We reflect on the rationale for employing SATs to support efficacy assessments, and provide recommendations based on their limitations and potential biases. The objective is to offer guidance for the improved design and implementation of SATs in future research.","container-title":"BMC Medical Research Methodology","DOI":"10.1186/s12874-025-02660-9","ISSN":"1471-2288","issue":"1","journalAbbreviation":"BMC Medical Research Methodology","page":"233","title":"Estimating comparative effectiveness using Single-Arm trials: A challenge in the field of agnosticism","volume":"25","author":[{"family":"Cao","given":"Shang"},{"family":"Kan","given":"Hongwei"},{"family":"Lu","given":"Mingliang"},{"family":"Pan","given":"Jianhong"}],"issued":{"date-parts":[["2025",10,21]]}}},{"id":64,"uris":["http://zotero.org/users/local/ebPldVBC/items/9KS74YEM"],"itemData":{"id":64,"type":"article-journal","container-title":"BMC medicine","ISSN":"1741-7015","issue":"1","journalAbbreviation":"BMC medicine","page":"253","publisher":"Springer","title":"How to design a pre-specified statistical analysis approach to limit p-hacking in clinical trials: the Pre-SPEC framework","volume":"18","author":[{"family":"Kahan","given":"Brennan C"},{"family":"Forbes","given":"Gordon"},{"family":"Cro","given":"Suzie"}],"issued":{"date-parts":[["2020"]]}}}],"schema":"https://github.com/citation-style-language/schema/raw/master/csl-citation.json"} </w:instrText>
      </w:r>
      <w:r w:rsidR="00E20641">
        <w:fldChar w:fldCharType="separate"/>
      </w:r>
      <w:r w:rsidR="00E20641" w:rsidRPr="00E20641">
        <w:rPr>
          <w:rFonts w:ascii="Aptos" w:hAnsi="Aptos"/>
        </w:rPr>
        <w:t>(7,10,35)</w:t>
      </w:r>
      <w:r w:rsidR="00E20641">
        <w:fldChar w:fldCharType="end"/>
      </w:r>
      <w:r w:rsidRPr="00501D9F">
        <w:t>. A SAP that specifies these choices before data collection provides the primary safeguard against the analytical flexibility that the single-arm design would otherwise permit</w:t>
      </w:r>
      <w:r w:rsidR="00E20641">
        <w:fldChar w:fldCharType="begin"/>
      </w:r>
      <w:r w:rsidR="001235BB">
        <w:instrText xml:space="preserve"> ADDIN ZOTERO_ITEM CSL_CITATION {"citationID":"7SD4Q9YE","properties":{"unsorted":false,"formattedCitation":"(5,8)","plainCitation":"(5,8)","noteIndex":0},"citationItems":[{"id":28,"uris":["http://zotero.org/users/local/ebPldVBC/items/R5QCUM6Y"],"itemData":{"id":28,"type":"report","genre":"Guideline","language":"en","publisher":"International Council for Harmonisation (ICH)","source":"Zotero","title":"Statistical Principles for Clinical Trials E9","URL":"https://www.ich.org/page/efficacy-guidelines","author":[{"family":"International Council for Harmonisation","given":""}],"accessed":{"date-parts":[["2026",5,12]]},"issued":{"date-parts":[["1998"]]}}},{"id":20,"uris":["http://zotero.org/users/local/ebPldVBC/items/4GQAW2H3"],"itemData":{"id":20,"type":"article-journal","abstract":"Although randomised controlled trials are considered the gold standard in clinical research, they are not always feasible due to limitations in the study  population, challenges in obtaining evidence, high costs and ethical  considerations. As a result, single-arm trial designs have emerged as one of the  methods to address these issues. Single-arm trials are commonly applied to study  advanced-stage cancer, rare diseases, emerging infectious diseases, new treatment  methods and medical devices. Single-arm trials have certain ethical advantages  over randomised controlled trials, such as providing equitable treatment,  respecting patient preferences, addressing rare diseases and timely management of  adverse events. While single-arm trials do not adhere to the principles of  randomisation and blinding in terms of scientific rigour, they still incorporate  principles of control, balance and replication, making the design scientifically  reasonable. Compared with randomised controlled trials, single-arm trials require  fewer sample sizes and have shorter trial durations, which can help save costs.  Compared with cohort studies, single-arm trials involve intervention measures and  reduce external interference, resulting in higher levels of evidence. However,  single-arm trials also have limitations. Without a parallel control group, there  may be biases in interpreting the results. In addition, single-arm trials cannot  meet the requirements of randomisation and blinding, thereby limiting their  evidence capacity compared with randomised controlled trials. Therefore,  researchers consider using single-arm trials as a trial design method only when  randomised controlled trials are not feasible.","container-title":"BMJ supportive &amp; palliative care","DOI":"10.1136/spcare-2024-004984","ISSN":"2045-4368 2045-435X","issue":"1","journalAbbreviation":"BMJ Support Palliat Care","language":"eng","license":"© Author(s) (or their employer(s)) 2025. Re-use permitted under CC BY-NC. No commercial re-use. See rights and permissions. Published by BMJ Group.","page":"46-54","PMID":"38834238","PMCID":"PMC11874317","publisher-place":"England","title":"Single-arm clinical trials: design, ethics, principles.","volume":"15","author":[{"family":"Wang","given":"Minyan"},{"family":"Ma","given":"Huan"},{"family":"Shi","given":"Yun"},{"family":"Ni","given":"Haojie"},{"family":"Qin","given":"Chu"},{"family":"Ji","given":"Conghua"}],"issued":{"date-parts":[["2024",12,25]]}}}],"schema":"https://github.com/citation-style-language/schema/raw/master/csl-citation.json"} </w:instrText>
      </w:r>
      <w:r w:rsidR="00E20641">
        <w:fldChar w:fldCharType="separate"/>
      </w:r>
      <w:r w:rsidR="00E20641" w:rsidRPr="00E20641">
        <w:rPr>
          <w:rFonts w:ascii="Aptos" w:hAnsi="Aptos"/>
        </w:rPr>
        <w:t>(5,8)</w:t>
      </w:r>
      <w:r w:rsidR="00E20641">
        <w:fldChar w:fldCharType="end"/>
      </w:r>
      <w:r w:rsidRPr="00501D9F">
        <w:t xml:space="preserve">. The practical implications of these choices for sample size and study feasibility are examined in the context of the </w:t>
      </w:r>
      <w:proofErr w:type="spellStart"/>
      <w:r w:rsidRPr="00501D9F">
        <w:t>BioMimics</w:t>
      </w:r>
      <w:proofErr w:type="spellEnd"/>
      <w:r w:rsidRPr="00501D9F">
        <w:t xml:space="preserve"> 3D case study throughout this thesis.</w:t>
      </w:r>
    </w:p>
    <w:p w14:paraId="00FBF81D" w14:textId="77777777" w:rsidR="00501D9F" w:rsidRPr="00501D9F" w:rsidRDefault="00501D9F" w:rsidP="00501D9F"/>
    <w:p w14:paraId="0CEF4F42" w14:textId="20901882" w:rsidR="00C745FE" w:rsidRDefault="008C2829" w:rsidP="004A3582">
      <w:pPr>
        <w:pStyle w:val="Heading1"/>
        <w:numPr>
          <w:ilvl w:val="0"/>
          <w:numId w:val="4"/>
        </w:numPr>
        <w:spacing w:line="276" w:lineRule="auto"/>
      </w:pPr>
      <w:bookmarkStart w:id="21" w:name="_Toc232114701"/>
      <w:r>
        <w:t>Case Study and Data Sources</w:t>
      </w:r>
      <w:bookmarkEnd w:id="21"/>
    </w:p>
    <w:p w14:paraId="29E44F99" w14:textId="77777777" w:rsidR="005809B0" w:rsidRDefault="005809B0" w:rsidP="005809B0">
      <w:pPr>
        <w:pStyle w:val="Heading2"/>
      </w:pPr>
      <w:bookmarkStart w:id="22" w:name="_Toc232114702"/>
      <w:r>
        <w:t xml:space="preserve">3.1 </w:t>
      </w:r>
      <w:proofErr w:type="spellStart"/>
      <w:r>
        <w:t>BioMimics</w:t>
      </w:r>
      <w:proofErr w:type="spellEnd"/>
      <w:r>
        <w:t xml:space="preserve"> 3D Vascular Stent</w:t>
      </w:r>
      <w:bookmarkEnd w:id="22"/>
    </w:p>
    <w:p w14:paraId="36CE760A" w14:textId="2D0B5720" w:rsidR="005809B0" w:rsidRPr="005809B0" w:rsidRDefault="005809B0" w:rsidP="005809B0">
      <w:pPr>
        <w:pStyle w:val="NormalWeb"/>
        <w:rPr>
          <w:rFonts w:asciiTheme="minorHAnsi" w:hAnsiTheme="minorHAnsi"/>
          <w:sz w:val="22"/>
          <w:szCs w:val="22"/>
        </w:rPr>
      </w:pPr>
      <w:r w:rsidRPr="005809B0">
        <w:rPr>
          <w:rFonts w:asciiTheme="minorHAnsi" w:hAnsiTheme="minorHAnsi"/>
          <w:sz w:val="22"/>
          <w:szCs w:val="22"/>
        </w:rPr>
        <w:t xml:space="preserve">The </w:t>
      </w:r>
      <w:proofErr w:type="spellStart"/>
      <w:r w:rsidRPr="005809B0">
        <w:rPr>
          <w:rFonts w:asciiTheme="minorHAnsi" w:hAnsiTheme="minorHAnsi"/>
          <w:sz w:val="22"/>
          <w:szCs w:val="22"/>
        </w:rPr>
        <w:t>BioMimics</w:t>
      </w:r>
      <w:proofErr w:type="spellEnd"/>
      <w:r w:rsidRPr="005809B0">
        <w:rPr>
          <w:rFonts w:asciiTheme="minorHAnsi" w:hAnsiTheme="minorHAnsi"/>
          <w:sz w:val="22"/>
          <w:szCs w:val="22"/>
        </w:rPr>
        <w:t xml:space="preserve"> 3D vascular stent</w:t>
      </w:r>
      <w:r w:rsidR="00FF0761">
        <w:rPr>
          <w:rFonts w:asciiTheme="minorHAnsi" w:hAnsiTheme="minorHAnsi"/>
          <w:sz w:val="22"/>
          <w:szCs w:val="22"/>
        </w:rPr>
        <w:t xml:space="preserve"> was selected</w:t>
      </w:r>
      <w:r w:rsidRPr="005809B0">
        <w:rPr>
          <w:rFonts w:asciiTheme="minorHAnsi" w:hAnsiTheme="minorHAnsi"/>
          <w:sz w:val="22"/>
          <w:szCs w:val="22"/>
        </w:rPr>
        <w:t xml:space="preserve"> as the primary case study throughout this </w:t>
      </w:r>
      <w:r w:rsidR="00FF0761">
        <w:rPr>
          <w:rFonts w:asciiTheme="minorHAnsi" w:hAnsiTheme="minorHAnsi"/>
          <w:sz w:val="22"/>
          <w:szCs w:val="22"/>
        </w:rPr>
        <w:t>analysis</w:t>
      </w:r>
      <w:r w:rsidRPr="005809B0">
        <w:rPr>
          <w:rFonts w:asciiTheme="minorHAnsi" w:hAnsiTheme="minorHAnsi"/>
          <w:sz w:val="22"/>
          <w:szCs w:val="22"/>
        </w:rPr>
        <w:t>. The device is a self-expanding, permanent bare-metal nitinol stent developed for the treatment of femoropopliteal peripheral artery disease, a condition characterised by atherosclerotic narrowing of the arteries supplying the lower limb</w:t>
      </w:r>
      <w:r w:rsidR="00D61637">
        <w:rPr>
          <w:rFonts w:asciiTheme="minorHAnsi" w:hAnsiTheme="minorHAnsi"/>
          <w:sz w:val="22"/>
          <w:szCs w:val="22"/>
        </w:rPr>
        <w:fldChar w:fldCharType="begin"/>
      </w:r>
      <w:r w:rsidR="00E20641">
        <w:rPr>
          <w:rFonts w:asciiTheme="minorHAnsi" w:hAnsiTheme="minorHAnsi"/>
          <w:sz w:val="22"/>
          <w:szCs w:val="22"/>
        </w:rPr>
        <w:instrText xml:space="preserve"> ADDIN ZOTERO_ITEM CSL_CITATION {"citationID":"LhVdv9mb","properties":{"unsorted":false,"formattedCitation":"(36\\uc0\\u8211{}38)","plainCitation":"(36–38)","noteIndex":0},"citationItems":[{"id":10,"uris":["http://zotero.org/users/local/ebPldVBC/items/YHH6MKBT"],"itemData":{"id":10,"type":"article-journal","abstract":"Objective There is a need for improved outcomes in the endovascular treatment of patients suffering from chronic limb threatening ischaemia (CLTI), highly calcified lesions, and chronic total occlusions (CTOs). The helical centreline self expanding BioMimics 3D stent might be particularly useful in these high risk subsets, combining flexibility and fracture resistance with radial strength. Herein, the performance of the BioMimics 3D stent was assessed in these high risk subsets. Methods MIMICS-3D is a prospective, multicentre, European real world registry. This was a post hoc analysis, comparing patients with CLTI vs. intermittent claudication (IC), lesions with bilateral calcification vs. those without (peripheral arterial calcium scoring system [PACSS] 3,4 vs. PACSS 0 – 2), and CTO vs. no CTO. Propensity score matching was performed to reduce the impact of baseline variables. The 36 month endpoints were clinically driven target lesion revascularisation (CD-TLR), death, major target limb amputation, and stent patency. Results A total of 507 patients were enrolled. At 36 months, patients with CLTI had lower freedom from major amputation than patients with IC (92.6% vs. 100%, p &lt; .001). In terms of primary patency, patients with CTO had lower patency rates than those without (63.9% vs. 77.8%, p = .003), but the difference reduced after propensity score matching (70.5% vs. 76.8%, p = .43). Primary patency was not impaired for patients with PACSS 3,4 or patients with CLTI. Freedom from CD-TLR was not significantly different among the groups and was 73.8% for CLTI vs. 78.9% for IC (p = .15), 77.6% for PACSS 3,4 vs. 78.7% for PACSS 0 – 2 (p = .55), and 75.6% for CTO vs. 81.0% for no CTO (p = .11). Conclusions The outcome of the MIMICS-3D registry suggests that the BioMimics 3D stent is effective in the endovascular treatment of complex femoropopliteal lesions and in CLTI. Future randomised controlled trials should confirm its non-inferiority or superiority compared with existing alternatives.","container-title":"European Journal of Vascular and Endovascular Surgery","DOI":"https://doi.org/10.1016/j.ejvs.2024.02.043","ISSN":"1078-5884","issue":"6","page":"923-932","title":"The BioMimics 3D Helical Centreline Nitinol Stent in Chronic Limb Threatening Ischaemia and Complex Lesions: Three Year Outcomes of the MIMICS-3D Registry","volume":"67","author":[{"family":"Rammos","given":"Christos"},{"family":"Zeller","given":"Thomas"},{"family":"Piorkowski","given":"Michael"},{"family":"Deloose","given":"Koen"},{"family":"Hertting","given":"Klaus"},{"family":"Sesselmann","given":"Volker"},{"family":"Tepe","given":"Gunnar"},{"family":"Gaines","given":"Peter"},{"family":"Lichtenberg","given":"Michael"}],"issued":{"date-parts":[["2024"]]}}},{"id":25,"uris":["http://zotero.org/users/local/ebPldVBC/items/5Q44M3QU"],"itemData":{"id":25,"type":"article-journal","container-title":"Circulation: Cardiovascular Interventions","DOI":"10.1161/CIRCINTERVENTIONS.109.903468","issue":"3","journalAbbreviation":"Circulation: Cardiovascular Interventions","page":"267-276","publisher":"American Heart Association","title":"Nitinol Stent Implantation Versus Balloon Angioplasty for Lesions in the Superficial Femoral Artery and Proximal Popliteal Artery","volume":"3","author":[{"family":"Laird","given":"John R."},{"family":"Katzen","given":"Barry T."},{"family":"Scheinert","given":"Dierk"},{"family":"Lammer","given":"Johannes"},{"family":"Carpenter","given":"Jeffrey"},{"family":"Buchbinder","given":"Maurice"},{"family":"Dave","given":"Rajesh"},{"family":"Ansel","given":"Gary"},{"family":"Lansky","given":"Alexandra"},{"family":"Cristea","given":"Ecaterina"},{"family":"Collins","given":"Tyrone J."},{"family":"Goldstein","given":"Jeffrey"},{"family":"Jaff","given":"Michael R."},{"literal":"for the RESILIENT Investigators"}],"issued":{"date-parts":[["2010",6,1]]}}},{"id":9,"uris":["http://zotero.org/users/local/ebPldVBC/items/U33CG62L"],"itemData":{"id":9,"type":"article-journal","container-title":"Circulation: Cardiovascular Interventions","DOI":"10.1161/CIRCINTERVENTIONS.115.002930","issue":"6","note":"_eprint: https://www.ahajournals.org/doi/pdf/10.1161/CIRCINTERVENTIONS.115.002930","page":"e002930","title":"Helical Centerline Stent Improves Patency","volume":"9","author":[{"family":"Zeller","given":"Thomas"},{"family":"Gaines","given":"Peter A."},{"family":"Ansel","given":"Gary M."},{"family":"Caro","given":"Colin G."}],"issued":{"date-parts":[["2016"]]}}}],"schema":"https://github.com/citation-style-language/schema/raw/master/csl-citation.json"} </w:instrText>
      </w:r>
      <w:r w:rsidR="00D61637">
        <w:rPr>
          <w:rFonts w:asciiTheme="minorHAnsi" w:hAnsiTheme="minorHAnsi"/>
          <w:sz w:val="22"/>
          <w:szCs w:val="22"/>
        </w:rPr>
        <w:fldChar w:fldCharType="separate"/>
      </w:r>
      <w:r w:rsidR="00E20641" w:rsidRPr="00E20641">
        <w:rPr>
          <w:rFonts w:ascii="Aptos" w:hAnsi="Aptos"/>
          <w:sz w:val="22"/>
        </w:rPr>
        <w:t>(36–38)</w:t>
      </w:r>
      <w:r w:rsidR="00D61637">
        <w:rPr>
          <w:rFonts w:asciiTheme="minorHAnsi" w:hAnsiTheme="minorHAnsi"/>
          <w:sz w:val="22"/>
          <w:szCs w:val="22"/>
        </w:rPr>
        <w:fldChar w:fldCharType="end"/>
      </w:r>
      <w:r w:rsidRPr="005809B0">
        <w:rPr>
          <w:rFonts w:asciiTheme="minorHAnsi" w:hAnsiTheme="minorHAnsi"/>
          <w:sz w:val="22"/>
          <w:szCs w:val="22"/>
        </w:rPr>
        <w:t xml:space="preserve">. In this setting, successful treatment is judged </w:t>
      </w:r>
      <w:r w:rsidR="00FF0761" w:rsidRPr="00FF0761">
        <w:rPr>
          <w:rFonts w:asciiTheme="minorHAnsi" w:hAnsiTheme="minorHAnsi"/>
          <w:sz w:val="22"/>
          <w:szCs w:val="22"/>
        </w:rPr>
        <w:t xml:space="preserve">on achieving initial vessel patency and its ability to </w:t>
      </w:r>
      <w:r w:rsidRPr="005809B0">
        <w:rPr>
          <w:rFonts w:asciiTheme="minorHAnsi" w:hAnsiTheme="minorHAnsi"/>
          <w:sz w:val="22"/>
          <w:szCs w:val="22"/>
        </w:rPr>
        <w:t>maintain clinical benefit over time without restenosis, repeat intervention, amputation or major adverse events</w:t>
      </w:r>
      <w:r w:rsidR="000A095D">
        <w:rPr>
          <w:rFonts w:asciiTheme="minorHAnsi" w:hAnsiTheme="minorHAnsi"/>
          <w:sz w:val="22"/>
          <w:szCs w:val="22"/>
        </w:rPr>
        <w:fldChar w:fldCharType="begin"/>
      </w:r>
      <w:r w:rsidR="00E20641">
        <w:rPr>
          <w:rFonts w:asciiTheme="minorHAnsi" w:hAnsiTheme="minorHAnsi"/>
          <w:sz w:val="22"/>
          <w:szCs w:val="22"/>
        </w:rPr>
        <w:instrText xml:space="preserve"> ADDIN ZOTERO_ITEM CSL_CITATION {"citationID":"q9UDnc8a","properties":{"unsorted":false,"formattedCitation":"(9,36,39)","plainCitation":"(9,36,39)","noteIndex":0},"citationItems":[{"id":16,"uris":["http://zotero.org/users/local/ebPldVBC/items/DQUXXI6N"],"itemData":{"id":16,"type":"article-journal","container-title":"Catheterization and Cardiovascular Interventions","page":"910–919","title":"Performance goals and endpoint assessments for clinical trials of femoropopliteal bare nitinol stents in patients with symptomatic peripheral arterial disease","volume":"69","author":[{"family":"Rocha-Singh","given":"K. J."},{"literal":"others"}],"issued":{"date-parts":[["2007"]]}}},{"id":10,"uris":["http://zotero.org/users/local/ebPldVBC/items/YHH6MKBT"],"itemData":{"id":10,"type":"article-journal","abstract":"Objective There is a need for improved outcomes in the endovascular treatment of patients suffering from chronic limb threatening ischaemia (CLTI), highly calcified lesions, and chronic total occlusions (CTOs). The helical centreline self expanding BioMimics 3D stent might be particularly useful in these high risk subsets, combining flexibility and fracture resistance with radial strength. Herein, the performance of the BioMimics 3D stent was assessed in these high risk subsets. Methods MIMICS-3D is a prospective, multicentre, European real world registry. This was a post hoc analysis, comparing patients with CLTI vs. intermittent claudication (IC), lesions with bilateral calcification vs. those without (peripheral arterial calcium scoring system [PACSS] 3,4 vs. PACSS 0 – 2), and CTO vs. no CTO. Propensity score matching was performed to reduce the impact of baseline variables. The 36 month endpoints were clinically driven target lesion revascularisation (CD-TLR), death, major target limb amputation, and stent patency. Results A total of 507 patients were enrolled. At 36 months, patients with CLTI had lower freedom from major amputation than patients with IC (92.6% vs. 100%, p &lt; .001). In terms of primary patency, patients with CTO had lower patency rates than those without (63.9% vs. 77.8%, p = .003), but the difference reduced after propensity score matching (70.5% vs. 76.8%, p = .43). Primary patency was not impaired for patients with PACSS 3,4 or patients with CLTI. Freedom from CD-TLR was not significantly different among the groups and was 73.8% for CLTI vs. 78.9% for IC (p = .15), 77.6% for PACSS 3,4 vs. 78.7% for PACSS 0 – 2 (p = .55), and 75.6% for CTO vs. 81.0% for no CTO (p = .11). Conclusions The outcome of the MIMICS-3D registry suggests that the BioMimics 3D stent is effective in the endovascular treatment of complex femoropopliteal lesions and in CLTI. Future randomised controlled trials should confirm its non-inferiority or superiority compared with existing alternatives.","container-title":"European Journal of Vascular and Endovascular Surgery","DOI":"https://doi.org/10.1016/j.ejvs.2024.02.043","ISSN":"1078-5884","issue":"6","page":"923-932","title":"The BioMimics 3D Helical Centreline Nitinol Stent in Chronic Limb Threatening Ischaemia and Complex Lesions: Three Year Outcomes of the MIMICS-3D Registry","volume":"67","author":[{"family":"Rammos","given":"Christos"},{"family":"Zeller","given":"Thomas"},{"family":"Piorkowski","given":"Michael"},{"family":"Deloose","given":"Koen"},{"family":"Hertting","given":"Klaus"},{"family":"Sesselmann","given":"Volker"},{"family":"Tepe","given":"Gunnar"},{"family":"Gaines","given":"Peter"},{"family":"Lichtenberg","given":"Michael"}],"issued":{"date-parts":[["2024"]]}}},{"id":15,"uris":["http://zotero.org/users/local/ebPldVBC/items/H3B8M2RN"],"itemData":{"id":15,"type":"article-journal","container-title":"The New England Journal of Medicine","page":"689–699","title":"Local delivery of paclitaxel to inhibit restenosis during angioplasty of the leg","volume":"358","author":[{"family":"Tepe","given":"G."},{"literal":"others"}],"issued":{"date-parts":[["2008"]]}}}],"schema":"https://github.com/citation-style-language/schema/raw/master/csl-citation.json"} </w:instrText>
      </w:r>
      <w:r w:rsidR="000A095D">
        <w:rPr>
          <w:rFonts w:asciiTheme="minorHAnsi" w:hAnsiTheme="minorHAnsi"/>
          <w:sz w:val="22"/>
          <w:szCs w:val="22"/>
        </w:rPr>
        <w:fldChar w:fldCharType="separate"/>
      </w:r>
      <w:r w:rsidR="00E20641" w:rsidRPr="00E20641">
        <w:rPr>
          <w:rFonts w:ascii="Aptos" w:hAnsi="Aptos"/>
          <w:sz w:val="22"/>
        </w:rPr>
        <w:t>(9,36,39)</w:t>
      </w:r>
      <w:r w:rsidR="000A095D">
        <w:rPr>
          <w:rFonts w:asciiTheme="minorHAnsi" w:hAnsiTheme="minorHAnsi"/>
          <w:sz w:val="22"/>
          <w:szCs w:val="22"/>
        </w:rPr>
        <w:fldChar w:fldCharType="end"/>
      </w:r>
      <w:r w:rsidRPr="005809B0">
        <w:rPr>
          <w:rFonts w:asciiTheme="minorHAnsi" w:hAnsiTheme="minorHAnsi"/>
          <w:sz w:val="22"/>
          <w:szCs w:val="22"/>
        </w:rPr>
        <w:t>.</w:t>
      </w:r>
    </w:p>
    <w:p w14:paraId="29932A79" w14:textId="4090251E" w:rsidR="005809B0" w:rsidRPr="005809B0" w:rsidRDefault="005809B0" w:rsidP="005809B0">
      <w:pPr>
        <w:pStyle w:val="NormalWeb"/>
        <w:rPr>
          <w:rFonts w:asciiTheme="minorHAnsi" w:hAnsiTheme="minorHAnsi"/>
          <w:sz w:val="22"/>
          <w:szCs w:val="22"/>
        </w:rPr>
      </w:pPr>
      <w:r w:rsidRPr="005809B0">
        <w:rPr>
          <w:rFonts w:asciiTheme="minorHAnsi" w:hAnsiTheme="minorHAnsi"/>
          <w:sz w:val="22"/>
          <w:szCs w:val="22"/>
        </w:rPr>
        <w:t xml:space="preserve">Unlike conventional straight stents, the </w:t>
      </w:r>
      <w:proofErr w:type="spellStart"/>
      <w:r w:rsidRPr="005809B0">
        <w:rPr>
          <w:rFonts w:asciiTheme="minorHAnsi" w:hAnsiTheme="minorHAnsi"/>
          <w:sz w:val="22"/>
          <w:szCs w:val="22"/>
        </w:rPr>
        <w:t>BioMimics</w:t>
      </w:r>
      <w:proofErr w:type="spellEnd"/>
      <w:r w:rsidRPr="005809B0">
        <w:rPr>
          <w:rFonts w:asciiTheme="minorHAnsi" w:hAnsiTheme="minorHAnsi"/>
          <w:sz w:val="22"/>
          <w:szCs w:val="22"/>
        </w:rPr>
        <w:t xml:space="preserve"> 3D stent incorporates a helical geometry intended to mimic the natural curvature and movement of the femoropopliteal artery</w:t>
      </w:r>
      <w:r w:rsidR="000A095D">
        <w:rPr>
          <w:rFonts w:asciiTheme="minorHAnsi" w:hAnsiTheme="minorHAnsi"/>
          <w:sz w:val="22"/>
          <w:szCs w:val="22"/>
        </w:rPr>
        <w:fldChar w:fldCharType="begin"/>
      </w:r>
      <w:r w:rsidR="00E20641">
        <w:rPr>
          <w:rFonts w:asciiTheme="minorHAnsi" w:hAnsiTheme="minorHAnsi"/>
          <w:sz w:val="22"/>
          <w:szCs w:val="22"/>
        </w:rPr>
        <w:instrText xml:space="preserve"> ADDIN ZOTERO_ITEM CSL_CITATION {"citationID":"WLUdTDyF","properties":{"unsorted":false,"formattedCitation":"(36,38)","plainCitation":"(36,38)","noteIndex":0},"citationItems":[{"id":10,"uris":["http://zotero.org/users/local/ebPldVBC/items/YHH6MKBT"],"itemData":{"id":10,"type":"article-journal","abstract":"Objective There is a need for improved outcomes in the endovascular treatment of patients suffering from chronic limb threatening ischaemia (CLTI), highly calcified lesions, and chronic total occlusions (CTOs). The helical centreline self expanding BioMimics 3D stent might be particularly useful in these high risk subsets, combining flexibility and fracture resistance with radial strength. Herein, the performance of the BioMimics 3D stent was assessed in these high risk subsets. Methods MIMICS-3D is a prospective, multicentre, European real world registry. This was a post hoc analysis, comparing patients with CLTI vs. intermittent claudication (IC), lesions with bilateral calcification vs. those without (peripheral arterial calcium scoring system [PACSS] 3,4 vs. PACSS 0 – 2), and CTO vs. no CTO. Propensity score matching was performed to reduce the impact of baseline variables. The 36 month endpoints were clinically driven target lesion revascularisation (CD-TLR), death, major target limb amputation, and stent patency. Results A total of 507 patients were enrolled. At 36 months, patients with CLTI had lower freedom from major amputation than patients with IC (92.6% vs. 100%, p &lt; .001). In terms of primary patency, patients with CTO had lower patency rates than those without (63.9% vs. 77.8%, p = .003), but the difference reduced after propensity score matching (70.5% vs. 76.8%, p = .43). Primary patency was not impaired for patients with PACSS 3,4 or patients with CLTI. Freedom from CD-TLR was not significantly different among the groups and was 73.8% for CLTI vs. 78.9% for IC (p = .15), 77.6% for PACSS 3,4 vs. 78.7% for PACSS 0 – 2 (p = .55), and 75.6% for CTO vs. 81.0% for no CTO (p = .11). Conclusions The outcome of the MIMICS-3D registry suggests that the BioMimics 3D stent is effective in the endovascular treatment of complex femoropopliteal lesions and in CLTI. Future randomised controlled trials should confirm its non-inferiority or superiority compared with existing alternatives.","container-title":"European Journal of Vascular and Endovascular Surgery","DOI":"https://doi.org/10.1016/j.ejvs.2024.02.043","ISSN":"1078-5884","issue":"6","page":"923-932","title":"The BioMimics 3D Helical Centreline Nitinol Stent in Chronic Limb Threatening Ischaemia and Complex Lesions: Three Year Outcomes of the MIMICS-3D Registry","volume":"67","author":[{"family":"Rammos","given":"Christos"},{"family":"Zeller","given":"Thomas"},{"family":"Piorkowski","given":"Michael"},{"family":"Deloose","given":"Koen"},{"family":"Hertting","given":"Klaus"},{"family":"Sesselmann","given":"Volker"},{"family":"Tepe","given":"Gunnar"},{"family":"Gaines","given":"Peter"},{"family":"Lichtenberg","given":"Michael"}],"issued":{"date-parts":[["2024"]]}}},{"id":9,"uris":["http://zotero.org/users/local/ebPldVBC/items/U33CG62L"],"itemData":{"id":9,"type":"article-journal","container-title":"Circulation: Cardiovascular Interventions","DOI":"10.1161/CIRCINTERVENTIONS.115.002930","issue":"6","note":"_eprint: https://www.ahajournals.org/doi/pdf/10.1161/CIRCINTERVENTIONS.115.002930","page":"e002930","title":"Helical Centerline Stent Improves Patency","volume":"9","author":[{"family":"Zeller","given":"Thomas"},{"family":"Gaines","given":"Peter A."},{"family":"Ansel","given":"Gary M."},{"family":"Caro","given":"Colin G."}],"issued":{"date-parts":[["2016"]]}}}],"schema":"https://github.com/citation-style-language/schema/raw/master/csl-citation.json"} </w:instrText>
      </w:r>
      <w:r w:rsidR="000A095D">
        <w:rPr>
          <w:rFonts w:asciiTheme="minorHAnsi" w:hAnsiTheme="minorHAnsi"/>
          <w:sz w:val="22"/>
          <w:szCs w:val="22"/>
        </w:rPr>
        <w:fldChar w:fldCharType="separate"/>
      </w:r>
      <w:r w:rsidR="00E20641" w:rsidRPr="00E20641">
        <w:rPr>
          <w:rFonts w:ascii="Aptos" w:hAnsi="Aptos"/>
          <w:sz w:val="22"/>
        </w:rPr>
        <w:t>(36,38)</w:t>
      </w:r>
      <w:r w:rsidR="000A095D">
        <w:rPr>
          <w:rFonts w:asciiTheme="minorHAnsi" w:hAnsiTheme="minorHAnsi"/>
          <w:sz w:val="22"/>
          <w:szCs w:val="22"/>
        </w:rPr>
        <w:fldChar w:fldCharType="end"/>
      </w:r>
      <w:r w:rsidRPr="005809B0">
        <w:rPr>
          <w:rFonts w:asciiTheme="minorHAnsi" w:hAnsiTheme="minorHAnsi"/>
          <w:sz w:val="22"/>
          <w:szCs w:val="22"/>
        </w:rPr>
        <w:t xml:space="preserve">. This design </w:t>
      </w:r>
      <w:r w:rsidR="00FF0761">
        <w:rPr>
          <w:rFonts w:asciiTheme="minorHAnsi" w:hAnsiTheme="minorHAnsi"/>
          <w:sz w:val="22"/>
          <w:szCs w:val="22"/>
        </w:rPr>
        <w:t>is hypothesised</w:t>
      </w:r>
      <w:r w:rsidRPr="005809B0">
        <w:rPr>
          <w:rFonts w:asciiTheme="minorHAnsi" w:hAnsiTheme="minorHAnsi"/>
          <w:sz w:val="22"/>
          <w:szCs w:val="22"/>
        </w:rPr>
        <w:t xml:space="preserve"> to promote blood flow patterns within the treated vessel and to reduce the risk of restenosis after implantation</w:t>
      </w:r>
      <w:r w:rsidR="000A095D">
        <w:rPr>
          <w:rFonts w:asciiTheme="minorHAnsi" w:hAnsiTheme="minorHAnsi"/>
          <w:sz w:val="22"/>
          <w:szCs w:val="22"/>
        </w:rPr>
        <w:fldChar w:fldCharType="begin"/>
      </w:r>
      <w:r w:rsidR="00E20641">
        <w:rPr>
          <w:rFonts w:asciiTheme="minorHAnsi" w:hAnsiTheme="minorHAnsi"/>
          <w:sz w:val="22"/>
          <w:szCs w:val="22"/>
        </w:rPr>
        <w:instrText xml:space="preserve"> ADDIN ZOTERO_ITEM CSL_CITATION {"citationID":"C3pj5ABG","properties":{"unsorted":false,"formattedCitation":"(36,38)","plainCitation":"(36,38)","noteIndex":0},"citationItems":[{"id":10,"uris":["http://zotero.org/users/local/ebPldVBC/items/YHH6MKBT"],"itemData":{"id":10,"type":"article-journal","abstract":"Objective There is a need for improved outcomes in the endovascular treatment of patients suffering from chronic limb threatening ischaemia (CLTI), highly calcified lesions, and chronic total occlusions (CTOs). The helical centreline self expanding BioMimics 3D stent might be particularly useful in these high risk subsets, combining flexibility and fracture resistance with radial strength. Herein, the performance of the BioMimics 3D stent was assessed in these high risk subsets. Methods MIMICS-3D is a prospective, multicentre, European real world registry. This was a post hoc analysis, comparing patients with CLTI vs. intermittent claudication (IC), lesions with bilateral calcification vs. those without (peripheral arterial calcium scoring system [PACSS] 3,4 vs. PACSS 0 – 2), and CTO vs. no CTO. Propensity score matching was performed to reduce the impact of baseline variables. The 36 month endpoints were clinically driven target lesion revascularisation (CD-TLR), death, major target limb amputation, and stent patency. Results A total of 507 patients were enrolled. At 36 months, patients with CLTI had lower freedom from major amputation than patients with IC (92.6% vs. 100%, p &lt; .001). In terms of primary patency, patients with CTO had lower patency rates than those without (63.9% vs. 77.8%, p = .003), but the difference reduced after propensity score matching (70.5% vs. 76.8%, p = .43). Primary patency was not impaired for patients with PACSS 3,4 or patients with CLTI. Freedom from CD-TLR was not significantly different among the groups and was 73.8% for CLTI vs. 78.9% for IC (p = .15), 77.6% for PACSS 3,4 vs. 78.7% for PACSS 0 – 2 (p = .55), and 75.6% for CTO vs. 81.0% for no CTO (p = .11). Conclusions The outcome of the MIMICS-3D registry suggests that the BioMimics 3D stent is effective in the endovascular treatment of complex femoropopliteal lesions and in CLTI. Future randomised controlled trials should confirm its non-inferiority or superiority compared with existing alternatives.","container-title":"European Journal of Vascular and Endovascular Surgery","DOI":"https://doi.org/10.1016/j.ejvs.2024.02.043","ISSN":"1078-5884","issue":"6","page":"923-932","title":"The BioMimics 3D Helical Centreline Nitinol Stent in Chronic Limb Threatening Ischaemia and Complex Lesions: Three Year Outcomes of the MIMICS-3D Registry","volume":"67","author":[{"family":"Rammos","given":"Christos"},{"family":"Zeller","given":"Thomas"},{"family":"Piorkowski","given":"Michael"},{"family":"Deloose","given":"Koen"},{"family":"Hertting","given":"Klaus"},{"family":"Sesselmann","given":"Volker"},{"family":"Tepe","given":"Gunnar"},{"family":"Gaines","given":"Peter"},{"family":"Lichtenberg","given":"Michael"}],"issued":{"date-parts":[["2024"]]}}},{"id":9,"uris":["http://zotero.org/users/local/ebPldVBC/items/U33CG62L"],"itemData":{"id":9,"type":"article-journal","container-title":"Circulation: Cardiovascular Interventions","DOI":"10.1161/CIRCINTERVENTIONS.115.002930","issue":"6","note":"_eprint: https://www.ahajournals.org/doi/pdf/10.1161/CIRCINTERVENTIONS.115.002930","page":"e002930","title":"Helical Centerline Stent Improves Patency","volume":"9","author":[{"family":"Zeller","given":"Thomas"},{"family":"Gaines","given":"Peter A."},{"family":"Ansel","given":"Gary M."},{"family":"Caro","given":"Colin G."}],"issued":{"date-parts":[["2016"]]}}}],"schema":"https://github.com/citation-style-language/schema/raw/master/csl-citation.json"} </w:instrText>
      </w:r>
      <w:r w:rsidR="000A095D">
        <w:rPr>
          <w:rFonts w:asciiTheme="minorHAnsi" w:hAnsiTheme="minorHAnsi"/>
          <w:sz w:val="22"/>
          <w:szCs w:val="22"/>
        </w:rPr>
        <w:fldChar w:fldCharType="separate"/>
      </w:r>
      <w:r w:rsidR="00E20641" w:rsidRPr="00E20641">
        <w:rPr>
          <w:rFonts w:ascii="Aptos" w:hAnsi="Aptos"/>
          <w:sz w:val="22"/>
        </w:rPr>
        <w:t>(36,38)</w:t>
      </w:r>
      <w:r w:rsidR="000A095D">
        <w:rPr>
          <w:rFonts w:asciiTheme="minorHAnsi" w:hAnsiTheme="minorHAnsi"/>
          <w:sz w:val="22"/>
          <w:szCs w:val="22"/>
        </w:rPr>
        <w:fldChar w:fldCharType="end"/>
      </w:r>
      <w:r w:rsidRPr="005809B0">
        <w:rPr>
          <w:rFonts w:asciiTheme="minorHAnsi" w:hAnsiTheme="minorHAnsi"/>
          <w:sz w:val="22"/>
          <w:szCs w:val="22"/>
        </w:rPr>
        <w:t xml:space="preserve">. </w:t>
      </w:r>
      <w:r w:rsidR="00FF0761" w:rsidRPr="00FF0761">
        <w:rPr>
          <w:rFonts w:asciiTheme="minorHAnsi" w:hAnsiTheme="minorHAnsi"/>
          <w:sz w:val="22"/>
          <w:szCs w:val="22"/>
        </w:rPr>
        <w:t>Consequently, clinically meaningful outcomes such as target vessel revascularisation, amputation and changes in Rutherford classification are important measures of the device's ability to provide sustained therapeutic benefit in patients with symptomatic peripheral artery disease</w:t>
      </w:r>
      <w:r w:rsidR="000A095D">
        <w:rPr>
          <w:rFonts w:asciiTheme="minorHAnsi" w:hAnsiTheme="minorHAnsi"/>
          <w:sz w:val="22"/>
          <w:szCs w:val="22"/>
        </w:rPr>
        <w:fldChar w:fldCharType="begin"/>
      </w:r>
      <w:r w:rsidR="00E20641">
        <w:rPr>
          <w:rFonts w:asciiTheme="minorHAnsi" w:hAnsiTheme="minorHAnsi"/>
          <w:sz w:val="22"/>
          <w:szCs w:val="22"/>
        </w:rPr>
        <w:instrText xml:space="preserve"> ADDIN ZOTERO_ITEM CSL_CITATION {"citationID":"kGl5L4wN","properties":{"unsorted":false,"formattedCitation":"(9,36,37)","plainCitation":"(9,36,37)","noteIndex":0},"citationItems":[{"id":16,"uris":["http://zotero.org/users/local/ebPldVBC/items/DQUXXI6N"],"itemData":{"id":16,"type":"article-journal","container-title":"Catheterization and Cardiovascular Interventions","page":"910–919","title":"Performance goals and endpoint assessments for clinical trials of femoropopliteal bare nitinol stents in patients with symptomatic peripheral arterial disease","volume":"69","author":[{"family":"Rocha-Singh","given":"K. J."},{"literal":"others"}],"issued":{"date-parts":[["2007"]]}}},{"id":10,"uris":["http://zotero.org/users/local/ebPldVBC/items/YHH6MKBT"],"itemData":{"id":10,"type":"article-journal","abstract":"Objective There is a need for improved outcomes in the endovascular treatment of patients suffering from chronic limb threatening ischaemia (CLTI), highly calcified lesions, and chronic total occlusions (CTOs). The helical centreline self expanding BioMimics 3D stent might be particularly useful in these high risk subsets, combining flexibility and fracture resistance with radial strength. Herein, the performance of the BioMimics 3D stent was assessed in these high risk subsets. Methods MIMICS-3D is a prospective, multicentre, European real world registry. This was a post hoc analysis, comparing patients with CLTI vs. intermittent claudication (IC), lesions with bilateral calcification vs. those without (peripheral arterial calcium scoring system [PACSS] 3,4 vs. PACSS 0 – 2), and CTO vs. no CTO. Propensity score matching was performed to reduce the impact of baseline variables. The 36 month endpoints were clinically driven target lesion revascularisation (CD-TLR), death, major target limb amputation, and stent patency. Results A total of 507 patients were enrolled. At 36 months, patients with CLTI had lower freedom from major amputation than patients with IC (92.6% vs. 100%, p &lt; .001). In terms of primary patency, patients with CTO had lower patency rates than those without (63.9% vs. 77.8%, p = .003), but the difference reduced after propensity score matching (70.5% vs. 76.8%, p = .43). Primary patency was not impaired for patients with PACSS 3,4 or patients with CLTI. Freedom from CD-TLR was not significantly different among the groups and was 73.8% for CLTI vs. 78.9% for IC (p = .15), 77.6% for PACSS 3,4 vs. 78.7% for PACSS 0 – 2 (p = .55), and 75.6% for CTO vs. 81.0% for no CTO (p = .11). Conclusions The outcome of the MIMICS-3D registry suggests that the BioMimics 3D stent is effective in the endovascular treatment of complex femoropopliteal lesions and in CLTI. Future randomised controlled trials should confirm its non-inferiority or superiority compared with existing alternatives.","container-title":"European Journal of Vascular and Endovascular Surgery","DOI":"https://doi.org/10.1016/j.ejvs.2024.02.043","ISSN":"1078-5884","issue":"6","page":"923-932","title":"The BioMimics 3D Helical Centreline Nitinol Stent in Chronic Limb Threatening Ischaemia and Complex Lesions: Three Year Outcomes of the MIMICS-3D Registry","volume":"67","author":[{"family":"Rammos","given":"Christos"},{"family":"Zeller","given":"Thomas"},{"family":"Piorkowski","given":"Michael"},{"family":"Deloose","given":"Koen"},{"family":"Hertting","given":"Klaus"},{"family":"Sesselmann","given":"Volker"},{"family":"Tepe","given":"Gunnar"},{"family":"Gaines","given":"Peter"},{"family":"Lichtenberg","given":"Michael"}],"issued":{"date-parts":[["2024"]]}}},{"id":25,"uris":["http://zotero.org/users/local/ebPldVBC/items/5Q44M3QU"],"itemData":{"id":25,"type":"article-journal","container-title":"Circulation: Cardiovascular Interventions","DOI":"10.1161/CIRCINTERVENTIONS.109.903468","issue":"3","journalAbbreviation":"Circulation: Cardiovascular Interventions","page":"267-276","publisher":"American Heart Association","title":"Nitinol Stent Implantation Versus Balloon Angioplasty for Lesions in the Superficial Femoral Artery and Proximal Popliteal Artery","volume":"3","author":[{"family":"Laird","given":"John R."},{"family":"Katzen","given":"Barry T."},{"family":"Scheinert","given":"Dierk"},{"family":"Lammer","given":"Johannes"},{"family":"Carpenter","given":"Jeffrey"},{"family":"Buchbinder","given":"Maurice"},{"family":"Dave","given":"Rajesh"},{"family":"Ansel","given":"Gary"},{"family":"Lansky","given":"Alexandra"},{"family":"Cristea","given":"Ecaterina"},{"family":"Collins","given":"Tyrone J."},{"family":"Goldstein","given":"Jeffrey"},{"family":"Jaff","given":"Michael R."},{"literal":"for the RESILIENT Investigators"}],"issued":{"date-parts":[["2010",6,1]]}}}],"schema":"https://github.com/citation-style-language/schema/raw/master/csl-citation.json"} </w:instrText>
      </w:r>
      <w:r w:rsidR="000A095D">
        <w:rPr>
          <w:rFonts w:asciiTheme="minorHAnsi" w:hAnsiTheme="minorHAnsi"/>
          <w:sz w:val="22"/>
          <w:szCs w:val="22"/>
        </w:rPr>
        <w:fldChar w:fldCharType="separate"/>
      </w:r>
      <w:r w:rsidR="00E20641" w:rsidRPr="00E20641">
        <w:rPr>
          <w:rFonts w:ascii="Aptos" w:hAnsi="Aptos"/>
          <w:sz w:val="22"/>
        </w:rPr>
        <w:t>(9,36,37)</w:t>
      </w:r>
      <w:r w:rsidR="000A095D">
        <w:rPr>
          <w:rFonts w:asciiTheme="minorHAnsi" w:hAnsiTheme="minorHAnsi"/>
          <w:sz w:val="22"/>
          <w:szCs w:val="22"/>
        </w:rPr>
        <w:fldChar w:fldCharType="end"/>
      </w:r>
      <w:r w:rsidRPr="005809B0">
        <w:rPr>
          <w:rFonts w:asciiTheme="minorHAnsi" w:hAnsiTheme="minorHAnsi"/>
          <w:sz w:val="22"/>
          <w:szCs w:val="22"/>
        </w:rPr>
        <w:t>.</w:t>
      </w:r>
    </w:p>
    <w:p w14:paraId="0DD13508" w14:textId="5D231952" w:rsidR="005809B0" w:rsidRPr="005809B0" w:rsidRDefault="005809B0" w:rsidP="005809B0">
      <w:pPr>
        <w:pStyle w:val="NormalWeb"/>
        <w:rPr>
          <w:rFonts w:asciiTheme="minorHAnsi" w:hAnsiTheme="minorHAnsi"/>
          <w:sz w:val="22"/>
          <w:szCs w:val="22"/>
        </w:rPr>
      </w:pPr>
      <w:r w:rsidRPr="005809B0">
        <w:rPr>
          <w:rFonts w:asciiTheme="minorHAnsi" w:hAnsiTheme="minorHAnsi"/>
          <w:sz w:val="22"/>
          <w:szCs w:val="22"/>
        </w:rPr>
        <w:t xml:space="preserve">Initial meetings with </w:t>
      </w:r>
      <w:r w:rsidR="00FF0761">
        <w:rPr>
          <w:rFonts w:asciiTheme="minorHAnsi" w:hAnsiTheme="minorHAnsi"/>
          <w:sz w:val="22"/>
          <w:szCs w:val="22"/>
        </w:rPr>
        <w:t>the lead</w:t>
      </w:r>
      <w:r w:rsidRPr="005809B0">
        <w:rPr>
          <w:rFonts w:asciiTheme="minorHAnsi" w:hAnsiTheme="minorHAnsi"/>
          <w:sz w:val="22"/>
          <w:szCs w:val="22"/>
        </w:rPr>
        <w:t xml:space="preserve"> scientist involved in the </w:t>
      </w:r>
      <w:proofErr w:type="spellStart"/>
      <w:r w:rsidRPr="005809B0">
        <w:rPr>
          <w:rFonts w:asciiTheme="minorHAnsi" w:hAnsiTheme="minorHAnsi"/>
          <w:sz w:val="22"/>
          <w:szCs w:val="22"/>
        </w:rPr>
        <w:t>BioMimics</w:t>
      </w:r>
      <w:proofErr w:type="spellEnd"/>
      <w:r w:rsidRPr="005809B0">
        <w:rPr>
          <w:rFonts w:asciiTheme="minorHAnsi" w:hAnsiTheme="minorHAnsi"/>
          <w:sz w:val="22"/>
          <w:szCs w:val="22"/>
        </w:rPr>
        <w:t xml:space="preserve"> development</w:t>
      </w:r>
      <w:r w:rsidR="00FF0761">
        <w:rPr>
          <w:rFonts w:asciiTheme="minorHAnsi" w:hAnsiTheme="minorHAnsi"/>
          <w:sz w:val="22"/>
          <w:szCs w:val="22"/>
        </w:rPr>
        <w:t xml:space="preserve"> </w:t>
      </w:r>
      <w:r w:rsidRPr="005809B0">
        <w:rPr>
          <w:rFonts w:asciiTheme="minorHAnsi" w:hAnsiTheme="minorHAnsi"/>
          <w:sz w:val="22"/>
          <w:szCs w:val="22"/>
        </w:rPr>
        <w:t xml:space="preserve">helped clarify the </w:t>
      </w:r>
      <w:r w:rsidR="00FF0761" w:rsidRPr="00FF0761">
        <w:rPr>
          <w:rFonts w:asciiTheme="minorHAnsi" w:hAnsiTheme="minorHAnsi"/>
          <w:sz w:val="22"/>
          <w:szCs w:val="22"/>
        </w:rPr>
        <w:t>selection of appropriate performance goals</w:t>
      </w:r>
      <w:r w:rsidRPr="005809B0">
        <w:rPr>
          <w:rFonts w:asciiTheme="minorHAnsi" w:hAnsiTheme="minorHAnsi"/>
          <w:sz w:val="22"/>
          <w:szCs w:val="22"/>
        </w:rPr>
        <w:t xml:space="preserve">, the purpose of the device and the statistical issues most relevant to the design of a pivotal study. These discussions informed the choice of safety and efficacy endpoints, the interpretation of clinically meaningful performance, and the practical constraints surrounding sample size. </w:t>
      </w:r>
      <w:r w:rsidR="00FF0761" w:rsidRPr="00FF0761">
        <w:rPr>
          <w:rFonts w:asciiTheme="minorHAnsi" w:hAnsiTheme="minorHAnsi"/>
          <w:sz w:val="22"/>
          <w:szCs w:val="22"/>
        </w:rPr>
        <w:t xml:space="preserve">This was important because the statistical design requires clinical knowledge of the device’s intended purpose </w:t>
      </w:r>
      <w:r w:rsidR="000A095D">
        <w:rPr>
          <w:rFonts w:asciiTheme="minorHAnsi" w:hAnsiTheme="minorHAnsi"/>
          <w:sz w:val="22"/>
          <w:szCs w:val="22"/>
        </w:rPr>
        <w:fldChar w:fldCharType="begin"/>
      </w:r>
      <w:r w:rsidR="001235BB">
        <w:rPr>
          <w:rFonts w:asciiTheme="minorHAnsi" w:hAnsiTheme="minorHAnsi"/>
          <w:sz w:val="22"/>
          <w:szCs w:val="22"/>
        </w:rPr>
        <w:instrText xml:space="preserve"> ADDIN ZOTERO_ITEM CSL_CITATION {"citationID":"J1faifoA","properties":{"unsorted":false,"formattedCitation":"(1,5,7)","plainCitation":"(1,5,7)","noteIndex":0},"citationItems":[{"id":5,"uris":["http://zotero.org/users/local/ebPldVBC/items/GSP4TB2M"],"itemData":{"id":5,"type":"article-journal","abstract":"Non-inferiority trials test whether a new product is not unacceptably worse than a product already in use. This paper introduces concepts related to non-inferiority, and discusses the regulatory views of both the European Medicines Agency and the United States Food and Drug Administration.","container-title":"Trials","DOI":"10.1186/1745-6215-12-106","ISSN":"1745-6215","issue":"1","journalAbbreviation":"Trials","page":"106","title":"Through the looking glass: understanding non-inferiority","volume":"12","author":[{"family":"Schumi","given":"Jennifer"},{"family":"Wittes","given":"Janet T."}],"issued":{"date-parts":[["2011",5,3]]}}},{"id":28,"uris":["http://zotero.org/users/local/ebPldVBC/items/R5QCUM6Y"],"itemData":{"id":28,"type":"report","genre":"Guideline","language":"en","publisher":"International Council for Harmonisation (ICH)","source":"Zotero","title":"Statistical Principles for Clinical Trials E9","URL":"https://www.ich.org/page/efficacy-guidelines","author":[{"family":"International Council for Harmonisation","given":""}],"accessed":{"date-parts":[["2026",5,12]]},"issued":{"date-parts":[["1998"]]}}},{"id":32,"uris":["http://zotero.org/users/local/ebPldVBC/items/7QTQGWQJ"],"itemData":{"id":32,"type":"article-journal","abstract":"Performance goals are numerical target values pertaining to effectiveness or safety endpoints in single-arm medical device clinical studies. Typically,  performance goals are determined at the planning stage of the investigational  study under consideration based on summarized outcome information from existing  relevant clinical trials. In recent years, there is a growing interest in  leveraging real-world evidence in medical product development. In this article,  we introduce a new method for proposing performance goals by leveraging  real-world evidence. The method applies entropy balancing to address possible  patient dissimilarities between the study's target patient population and  existing real-world patients, and can take into account operation differences  between clinical studies and real-world clinical practice. An illustrative  example is provided to demonstrate how to implement the proposed method for  performance goal determination while leveraging real-world evidence.","container-title":"Statistics in medicine","DOI":"10.1002/sim.9199","ISSN":"1097-0258 0277-6715","issue":"29","journalAbbreviation":"Stat Med","language":"eng","license":"© 2021 John Wiley &amp; Sons Ltd.","page":"6577-6589","PMID":"34561895","publisher-place":"England","title":"Leveraging real-world evidence for determining performance goals for medical device studies.","volume":"40","author":[{"family":"Wang","given":"Chenguang"},{"family":"Rosner","given":"Gary L."},{"family":"Bao","given":"Tingting"},{"family":"Lu","given":"Nelson"},{"family":"Chen","given":"Wei-Chen"},{"family":"Li","given":"Heng"},{"family":"Tiwari","given":"Ram"},{"family":"Xu","given":"Yunling"},{"family":"Yue","given":"Lilly Q."}],"issued":{"date-parts":[["2021",12,20]]}}}],"schema":"https://github.com/citation-style-language/schema/raw/master/csl-citation.json"} </w:instrText>
      </w:r>
      <w:r w:rsidR="000A095D">
        <w:rPr>
          <w:rFonts w:asciiTheme="minorHAnsi" w:hAnsiTheme="minorHAnsi"/>
          <w:sz w:val="22"/>
          <w:szCs w:val="22"/>
        </w:rPr>
        <w:fldChar w:fldCharType="separate"/>
      </w:r>
      <w:r w:rsidR="000A095D" w:rsidRPr="000A095D">
        <w:rPr>
          <w:rFonts w:ascii="Aptos" w:hAnsi="Aptos"/>
          <w:sz w:val="22"/>
        </w:rPr>
        <w:t>(1,5,7)</w:t>
      </w:r>
      <w:r w:rsidR="000A095D">
        <w:rPr>
          <w:rFonts w:asciiTheme="minorHAnsi" w:hAnsiTheme="minorHAnsi"/>
          <w:sz w:val="22"/>
          <w:szCs w:val="22"/>
        </w:rPr>
        <w:fldChar w:fldCharType="end"/>
      </w:r>
      <w:r w:rsidRPr="005809B0">
        <w:rPr>
          <w:rFonts w:asciiTheme="minorHAnsi" w:hAnsiTheme="minorHAnsi"/>
          <w:sz w:val="22"/>
          <w:szCs w:val="22"/>
        </w:rPr>
        <w:t xml:space="preserve">. </w:t>
      </w:r>
      <w:r w:rsidR="00FF0761">
        <w:rPr>
          <w:rFonts w:asciiTheme="minorHAnsi" w:hAnsiTheme="minorHAnsi"/>
          <w:sz w:val="22"/>
          <w:szCs w:val="22"/>
        </w:rPr>
        <w:t>P</w:t>
      </w:r>
      <w:r w:rsidRPr="005809B0">
        <w:rPr>
          <w:rFonts w:asciiTheme="minorHAnsi" w:hAnsiTheme="minorHAnsi"/>
          <w:sz w:val="22"/>
          <w:szCs w:val="22"/>
        </w:rPr>
        <w:t>erformance goal</w:t>
      </w:r>
      <w:r w:rsidR="00FF0761">
        <w:rPr>
          <w:rFonts w:asciiTheme="minorHAnsi" w:hAnsiTheme="minorHAnsi"/>
          <w:sz w:val="22"/>
          <w:szCs w:val="22"/>
        </w:rPr>
        <w:t>s, endpoints and sample size that are</w:t>
      </w:r>
      <w:r w:rsidRPr="005809B0">
        <w:rPr>
          <w:rFonts w:asciiTheme="minorHAnsi" w:hAnsiTheme="minorHAnsi"/>
          <w:sz w:val="22"/>
          <w:szCs w:val="22"/>
        </w:rPr>
        <w:t xml:space="preserve"> mathematically convenient but clinically weak would not provide a convincing basis for evaluating the device</w:t>
      </w:r>
      <w:r w:rsidR="000A095D">
        <w:rPr>
          <w:rFonts w:asciiTheme="minorHAnsi" w:hAnsiTheme="minorHAnsi"/>
          <w:sz w:val="22"/>
          <w:szCs w:val="22"/>
        </w:rPr>
        <w:fldChar w:fldCharType="begin"/>
      </w:r>
      <w:r w:rsidR="001235BB">
        <w:rPr>
          <w:rFonts w:asciiTheme="minorHAnsi" w:hAnsiTheme="minorHAnsi"/>
          <w:sz w:val="22"/>
          <w:szCs w:val="22"/>
        </w:rPr>
        <w:instrText xml:space="preserve"> ADDIN ZOTERO_ITEM CSL_CITATION {"citationID":"19Ulx4Is","properties":{"unsorted":false,"formattedCitation":"(5,7,9)","plainCitation":"(5,7,9)","noteIndex":0},"citationItems":[{"id":28,"uris":["http://zotero.org/users/local/ebPldVBC/items/R5QCUM6Y"],"itemData":{"id":28,"type":"report","genre":"Guideline","language":"en","publisher":"International Council for Harmonisation (ICH)","source":"Zotero","title":"Statistical Principles for Clinical Trials E9","URL":"https://www.ich.org/page/efficacy-guidelines","author":[{"family":"International Council for Harmonisation","given":""}],"accessed":{"date-parts":[["2026",5,12]]},"issued":{"date-parts":[["1998"]]}}},{"id":32,"uris":["http://zotero.org/users/local/ebPldVBC/items/7QTQGWQJ"],"itemData":{"id":32,"type":"article-journal","abstract":"Performance goals are numerical target values pertaining to effectiveness or safety endpoints in single-arm medical device clinical studies. Typically,  performance goals are determined at the planning stage of the investigational  study under consideration based on summarized outcome information from existing  relevant clinical trials. In recent years, there is a growing interest in  leveraging real-world evidence in medical product development. In this article,  we introduce a new method for proposing performance goals by leveraging  real-world evidence. The method applies entropy balancing to address possible  patient dissimilarities between the study's target patient population and  existing real-world patients, and can take into account operation differences  between clinical studies and real-world clinical practice. An illustrative  example is provided to demonstrate how to implement the proposed method for  performance goal determination while leveraging real-world evidence.","container-title":"Statistics in medicine","DOI":"10.1002/sim.9199","ISSN":"1097-0258 0277-6715","issue":"29","journalAbbreviation":"Stat Med","language":"eng","license":"© 2021 John Wiley &amp; Sons Ltd.","page":"6577-6589","PMID":"34561895","publisher-place":"England","title":"Leveraging real-world evidence for determining performance goals for medical device studies.","volume":"40","author":[{"family":"Wang","given":"Chenguang"},{"family":"Rosner","given":"Gary L."},{"family":"Bao","given":"Tingting"},{"family":"Lu","given":"Nelson"},{"family":"Chen","given":"Wei-Chen"},{"family":"Li","given":"Heng"},{"family":"Tiwari","given":"Ram"},{"family":"Xu","given":"Yunling"},{"family":"Yue","given":"Lilly Q."}],"issued":{"date-parts":[["2021",12,20]]}}},{"id":16,"uris":["http://zotero.org/users/local/ebPldVBC/items/DQUXXI6N"],"itemData":{"id":16,"type":"article-journal","container-title":"Catheterization and Cardiovascular Interventions","page":"910–919","title":"Performance goals and endpoint assessments for clinical trials of femoropopliteal bare nitinol stents in patients with symptomatic peripheral arterial disease","volume":"69","author":[{"family":"Rocha-Singh","given":"K. J."},{"literal":"others"}],"issued":{"date-parts":[["2007"]]}}}],"schema":"https://github.com/citation-style-language/schema/raw/master/csl-citation.json"} </w:instrText>
      </w:r>
      <w:r w:rsidR="000A095D">
        <w:rPr>
          <w:rFonts w:asciiTheme="minorHAnsi" w:hAnsiTheme="minorHAnsi"/>
          <w:sz w:val="22"/>
          <w:szCs w:val="22"/>
        </w:rPr>
        <w:fldChar w:fldCharType="separate"/>
      </w:r>
      <w:r w:rsidR="00C86E1B" w:rsidRPr="00C86E1B">
        <w:rPr>
          <w:rFonts w:ascii="Aptos" w:hAnsi="Aptos"/>
          <w:sz w:val="22"/>
        </w:rPr>
        <w:t>(5,7,9)</w:t>
      </w:r>
      <w:r w:rsidR="000A095D">
        <w:rPr>
          <w:rFonts w:asciiTheme="minorHAnsi" w:hAnsiTheme="minorHAnsi"/>
          <w:sz w:val="22"/>
          <w:szCs w:val="22"/>
        </w:rPr>
        <w:fldChar w:fldCharType="end"/>
      </w:r>
      <w:r w:rsidRPr="005809B0">
        <w:rPr>
          <w:rFonts w:asciiTheme="minorHAnsi" w:hAnsiTheme="minorHAnsi"/>
          <w:sz w:val="22"/>
          <w:szCs w:val="22"/>
        </w:rPr>
        <w:t>.</w:t>
      </w:r>
    </w:p>
    <w:p w14:paraId="2DEC3BEA" w14:textId="2037AF64" w:rsidR="005809B0" w:rsidRPr="005809B0" w:rsidRDefault="005809B0" w:rsidP="005809B0">
      <w:pPr>
        <w:pStyle w:val="Heading2"/>
      </w:pPr>
      <w:bookmarkStart w:id="23" w:name="_Toc232114703"/>
      <w:r w:rsidRPr="005809B0">
        <w:lastRenderedPageBreak/>
        <w:t>3.2 Endpoints</w:t>
      </w:r>
      <w:bookmarkEnd w:id="23"/>
    </w:p>
    <w:p w14:paraId="1B48610A" w14:textId="3C769106" w:rsidR="004C3DC1" w:rsidRDefault="004C3DC1" w:rsidP="00305DE4">
      <w:pPr>
        <w:pStyle w:val="NormalWeb"/>
        <w:rPr>
          <w:rFonts w:asciiTheme="minorHAnsi" w:hAnsiTheme="minorHAnsi"/>
          <w:sz w:val="22"/>
          <w:szCs w:val="22"/>
        </w:rPr>
      </w:pPr>
      <w:r w:rsidRPr="004C3DC1">
        <w:rPr>
          <w:rFonts w:asciiTheme="minorHAnsi" w:hAnsiTheme="minorHAnsi"/>
          <w:sz w:val="22"/>
          <w:szCs w:val="22"/>
        </w:rPr>
        <w:t>Endpoint selection was guided by two criteria: clinical relevance to femoropopliteal disease and sufficient historical literature to support defensible performance goals</w:t>
      </w:r>
      <w:r w:rsidR="004B1419">
        <w:rPr>
          <w:rFonts w:asciiTheme="minorHAnsi" w:hAnsiTheme="minorHAnsi"/>
          <w:sz w:val="22"/>
          <w:szCs w:val="22"/>
        </w:rPr>
        <w:fldChar w:fldCharType="begin"/>
      </w:r>
      <w:r w:rsidR="004B1419">
        <w:rPr>
          <w:rFonts w:asciiTheme="minorHAnsi" w:hAnsiTheme="minorHAnsi"/>
          <w:sz w:val="22"/>
          <w:szCs w:val="22"/>
        </w:rPr>
        <w:instrText xml:space="preserve"> ADDIN ZOTERO_ITEM CSL_CITATION {"citationID":"W7S5lfpX","properties":{"unsorted":false,"formattedCitation":"(7,9)","plainCitation":"(7,9)","noteIndex":0},"citationItems":[{"id":32,"uris":["http://zotero.org/users/local/ebPldVBC/items/7QTQGWQJ"],"itemData":{"id":32,"type":"article-journal","abstract":"Performance goals are numerical target values pertaining to effectiveness or safety endpoints in single-arm medical device clinical studies. Typically,  performance goals are determined at the planning stage of the investigational  study under consideration based on summarized outcome information from existing  relevant clinical trials. In recent years, there is a growing interest in  leveraging real-world evidence in medical product development. In this article,  we introduce a new method for proposing performance goals by leveraging  real-world evidence. The method applies entropy balancing to address possible  patient dissimilarities between the study's target patient population and  existing real-world patients, and can take into account operation differences  between clinical studies and real-world clinical practice. An illustrative  example is provided to demonstrate how to implement the proposed method for  performance goal determination while leveraging real-world evidence.","container-title":"Statistics in medicine","DOI":"10.1002/sim.9199","ISSN":"1097-0258 0277-6715","issue":"29","journalAbbreviation":"Stat Med","language":"eng","license":"© 2021 John Wiley &amp; Sons Ltd.","page":"6577-6589","PMID":"34561895","publisher-place":"England","title":"Leveraging real-world evidence for determining performance goals for medical device studies.","volume":"40","author":[{"family":"Wang","given":"Chenguang"},{"family":"Rosner","given":"Gary L."},{"family":"Bao","given":"Tingting"},{"family":"Lu","given":"Nelson"},{"family":"Chen","given":"Wei-Chen"},{"family":"Li","given":"Heng"},{"family":"Tiwari","given":"Ram"},{"family":"Xu","given":"Yunling"},{"family":"Yue","given":"Lilly Q."}],"issued":{"date-parts":[["2021",12,20]]}}},{"id":16,"uris":["http://zotero.org/users/local/ebPldVBC/items/DQUXXI6N"],"itemData":{"id":16,"type":"article-journal","container-title":"Catheterization and Cardiovascular Interventions","page":"910–919","title":"Performance goals and endpoint assessments for clinical trials of femoropopliteal bare nitinol stents in patients with symptomatic peripheral arterial disease","volume":"69","author":[{"family":"Rocha-Singh","given":"K. J."},{"literal":"others"}],"issued":{"date-parts":[["2007"]]}}}],"schema":"https://github.com/citation-style-language/schema/raw/master/csl-citation.json"} </w:instrText>
      </w:r>
      <w:r w:rsidR="004B1419">
        <w:rPr>
          <w:rFonts w:asciiTheme="minorHAnsi" w:hAnsiTheme="minorHAnsi"/>
          <w:sz w:val="22"/>
          <w:szCs w:val="22"/>
        </w:rPr>
        <w:fldChar w:fldCharType="separate"/>
      </w:r>
      <w:r w:rsidR="004B1419" w:rsidRPr="004B1419">
        <w:rPr>
          <w:rFonts w:ascii="Aptos" w:hAnsi="Aptos"/>
          <w:sz w:val="22"/>
        </w:rPr>
        <w:t>(7,9)</w:t>
      </w:r>
      <w:r w:rsidR="004B1419">
        <w:rPr>
          <w:rFonts w:asciiTheme="minorHAnsi" w:hAnsiTheme="minorHAnsi"/>
          <w:sz w:val="22"/>
          <w:szCs w:val="22"/>
        </w:rPr>
        <w:fldChar w:fldCharType="end"/>
      </w:r>
      <w:r w:rsidRPr="004C3DC1">
        <w:rPr>
          <w:rFonts w:asciiTheme="minorHAnsi" w:hAnsiTheme="minorHAnsi"/>
          <w:sz w:val="22"/>
          <w:szCs w:val="22"/>
        </w:rPr>
        <w:t>. Candidate endpoints were identified through a targeted review of comparable peripheral vascular device trials and the 2007 guidance document by Rocha-Singh et al. on behalf of VIVA Physicians, which synthesised evidence from three studies of femoropopliteal bare nitinol stents and served as the primary regulatory reference point for this analysis</w:t>
      </w:r>
      <w:r w:rsidR="004B1419">
        <w:rPr>
          <w:rFonts w:asciiTheme="minorHAnsi" w:hAnsiTheme="minorHAnsi"/>
          <w:sz w:val="22"/>
          <w:szCs w:val="22"/>
        </w:rPr>
        <w:fldChar w:fldCharType="begin"/>
      </w:r>
      <w:r w:rsidR="00E20641">
        <w:rPr>
          <w:rFonts w:asciiTheme="minorHAnsi" w:hAnsiTheme="minorHAnsi"/>
          <w:sz w:val="22"/>
          <w:szCs w:val="22"/>
        </w:rPr>
        <w:instrText xml:space="preserve"> ADDIN ZOTERO_ITEM CSL_CITATION {"citationID":"bEauR5p0","properties":{"unsorted":false,"formattedCitation":"(9,37,38)","plainCitation":"(9,37,38)","noteIndex":0},"citationItems":[{"id":16,"uris":["http://zotero.org/users/local/ebPldVBC/items/DQUXXI6N"],"itemData":{"id":16,"type":"article-journal","container-title":"Catheterization and Cardiovascular Interventions","page":"910–919","title":"Performance goals and endpoint assessments for clinical trials of femoropopliteal bare nitinol stents in patients with symptomatic peripheral arterial disease","volume":"69","author":[{"family":"Rocha-Singh","given":"K. J."},{"literal":"others"}],"issued":{"date-parts":[["2007"]]}}},{"id":25,"uris":["http://zotero.org/users/local/ebPldVBC/items/5Q44M3QU"],"itemData":{"id":25,"type":"article-journal","container-title":"Circulation: Cardiovascular Interventions","DOI":"10.1161/CIRCINTERVENTIONS.109.903468","issue":"3","journalAbbreviation":"Circulation: Cardiovascular Interventions","page":"267-276","publisher":"American Heart Association","title":"Nitinol Stent Implantation Versus Balloon Angioplasty for Lesions in the Superficial Femoral Artery and Proximal Popliteal Artery","volume":"3","author":[{"family":"Laird","given":"John R."},{"family":"Katzen","given":"Barry T."},{"family":"Scheinert","given":"Dierk"},{"family":"Lammer","given":"Johannes"},{"family":"Carpenter","given":"Jeffrey"},{"family":"Buchbinder","given":"Maurice"},{"family":"Dave","given":"Rajesh"},{"family":"Ansel","given":"Gary"},{"family":"Lansky","given":"Alexandra"},{"family":"Cristea","given":"Ecaterina"},{"family":"Collins","given":"Tyrone J."},{"family":"Goldstein","given":"Jeffrey"},{"family":"Jaff","given":"Michael R."},{"literal":"for the RESILIENT Investigators"}],"issued":{"date-parts":[["2010",6,1]]}}},{"id":9,"uris":["http://zotero.org/users/local/ebPldVBC/items/U33CG62L"],"itemData":{"id":9,"type":"article-journal","container-title":"Circulation: Cardiovascular Interventions","DOI":"10.1161/CIRCINTERVENTIONS.115.002930","issue":"6","note":"_eprint: https://www.ahajournals.org/doi/pdf/10.1161/CIRCINTERVENTIONS.115.002930","page":"e002930","title":"Helical Centerline Stent Improves Patency","volume":"9","author":[{"family":"Zeller","given":"Thomas"},{"family":"Gaines","given":"Peter A."},{"family":"Ansel","given":"Gary M."},{"family":"Caro","given":"Colin G."}],"issued":{"date-parts":[["2016"]]}}}],"schema":"https://github.com/citation-style-language/schema/raw/master/csl-citation.json"} </w:instrText>
      </w:r>
      <w:r w:rsidR="004B1419">
        <w:rPr>
          <w:rFonts w:asciiTheme="minorHAnsi" w:hAnsiTheme="minorHAnsi"/>
          <w:sz w:val="22"/>
          <w:szCs w:val="22"/>
        </w:rPr>
        <w:fldChar w:fldCharType="separate"/>
      </w:r>
      <w:r w:rsidR="00E20641" w:rsidRPr="00E20641">
        <w:rPr>
          <w:rFonts w:ascii="Aptos" w:hAnsi="Aptos"/>
          <w:sz w:val="22"/>
        </w:rPr>
        <w:t>(9,37,38)</w:t>
      </w:r>
      <w:r w:rsidR="004B1419">
        <w:rPr>
          <w:rFonts w:asciiTheme="minorHAnsi" w:hAnsiTheme="minorHAnsi"/>
          <w:sz w:val="22"/>
          <w:szCs w:val="22"/>
        </w:rPr>
        <w:fldChar w:fldCharType="end"/>
      </w:r>
      <w:r w:rsidRPr="004C3DC1">
        <w:rPr>
          <w:rFonts w:asciiTheme="minorHAnsi" w:hAnsiTheme="minorHAnsi"/>
          <w:sz w:val="22"/>
          <w:szCs w:val="22"/>
        </w:rPr>
        <w:t>.</w:t>
      </w:r>
    </w:p>
    <w:p w14:paraId="6E09B73F" w14:textId="79C42DFA" w:rsidR="00335B43" w:rsidRPr="00335B43" w:rsidRDefault="00305DE4" w:rsidP="00305DE4">
      <w:pPr>
        <w:pStyle w:val="NormalWeb"/>
        <w:rPr>
          <w:rFonts w:asciiTheme="minorHAnsi" w:hAnsiTheme="minorHAnsi"/>
          <w:sz w:val="22"/>
          <w:szCs w:val="22"/>
        </w:rPr>
      </w:pPr>
      <w:r w:rsidRPr="00305DE4">
        <w:rPr>
          <w:rFonts w:asciiTheme="minorHAnsi" w:hAnsiTheme="minorHAnsi"/>
          <w:sz w:val="22"/>
          <w:szCs w:val="22"/>
        </w:rPr>
        <w:t>For safety, candidate endpoints were assessed at 30 days and included all-cause mortality, major amputation and target vessel revascularisation. These were combined into a single composite endpoint because each component represents a clinically significant harm but individually occurs too infrequently to yield stable estimates</w:t>
      </w:r>
      <w:r w:rsidR="00335B43" w:rsidRPr="00335B43">
        <w:rPr>
          <w:rFonts w:asciiTheme="minorHAnsi" w:hAnsiTheme="minorHAnsi"/>
          <w:sz w:val="22"/>
          <w:szCs w:val="22"/>
        </w:rPr>
        <w:fldChar w:fldCharType="begin"/>
      </w:r>
      <w:r w:rsidR="00E20641">
        <w:rPr>
          <w:rFonts w:asciiTheme="minorHAnsi" w:hAnsiTheme="minorHAnsi"/>
          <w:sz w:val="22"/>
          <w:szCs w:val="22"/>
        </w:rPr>
        <w:instrText xml:space="preserve"> ADDIN ZOTERO_ITEM CSL_CITATION {"citationID":"vMvteg0w","properties":{"unsorted":false,"formattedCitation":"(9,36,37)","plainCitation":"(9,36,37)","noteIndex":0},"citationItems":[{"id":16,"uris":["http://zotero.org/users/local/ebPldVBC/items/DQUXXI6N"],"itemData":{"id":16,"type":"article-journal","container-title":"Catheterization and Cardiovascular Interventions","page":"910–919","title":"Performance goals and endpoint assessments for clinical trials of femoropopliteal bare nitinol stents in patients with symptomatic peripheral arterial disease","volume":"69","author":[{"family":"Rocha-Singh","given":"K. J."},{"literal":"others"}],"issued":{"date-parts":[["2007"]]}}},{"id":10,"uris":["http://zotero.org/users/local/ebPldVBC/items/YHH6MKBT"],"itemData":{"id":10,"type":"article-journal","abstract":"Objective There is a need for improved outcomes in the endovascular treatment of patients suffering from chronic limb threatening ischaemia (CLTI), highly calcified lesions, and chronic total occlusions (CTOs). The helical centreline self expanding BioMimics 3D stent might be particularly useful in these high risk subsets, combining flexibility and fracture resistance with radial strength. Herein, the performance of the BioMimics 3D stent was assessed in these high risk subsets. Methods MIMICS-3D is a prospective, multicentre, European real world registry. This was a post hoc analysis, comparing patients with CLTI vs. intermittent claudication (IC), lesions with bilateral calcification vs. those without (peripheral arterial calcium scoring system [PACSS] 3,4 vs. PACSS 0 – 2), and CTO vs. no CTO. Propensity score matching was performed to reduce the impact of baseline variables. The 36 month endpoints were clinically driven target lesion revascularisation (CD-TLR), death, major target limb amputation, and stent patency. Results A total of 507 patients were enrolled. At 36 months, patients with CLTI had lower freedom from major amputation than patients with IC (92.6% vs. 100%, p &lt; .001). In terms of primary patency, patients with CTO had lower patency rates than those without (63.9% vs. 77.8%, p = .003), but the difference reduced after propensity score matching (70.5% vs. 76.8%, p = .43). Primary patency was not impaired for patients with PACSS 3,4 or patients with CLTI. Freedom from CD-TLR was not significantly different among the groups and was 73.8% for CLTI vs. 78.9% for IC (p = .15), 77.6% for PACSS 3,4 vs. 78.7% for PACSS 0 – 2 (p = .55), and 75.6% for CTO vs. 81.0% for no CTO (p = .11). Conclusions The outcome of the MIMICS-3D registry suggests that the BioMimics 3D stent is effective in the endovascular treatment of complex femoropopliteal lesions and in CLTI. Future randomised controlled trials should confirm its non-inferiority or superiority compared with existing alternatives.","container-title":"European Journal of Vascular and Endovascular Surgery","DOI":"https://doi.org/10.1016/j.ejvs.2024.02.043","ISSN":"1078-5884","issue":"6","page":"923-932","title":"The BioMimics 3D Helical Centreline Nitinol Stent in Chronic Limb Threatening Ischaemia and Complex Lesions: Three Year Outcomes of the MIMICS-3D Registry","volume":"67","author":[{"family":"Rammos","given":"Christos"},{"family":"Zeller","given":"Thomas"},{"family":"Piorkowski","given":"Michael"},{"family":"Deloose","given":"Koen"},{"family":"Hertting","given":"Klaus"},{"family":"Sesselmann","given":"Volker"},{"family":"Tepe","given":"Gunnar"},{"family":"Gaines","given":"Peter"},{"family":"Lichtenberg","given":"Michael"}],"issued":{"date-parts":[["2024"]]}}},{"id":25,"uris":["http://zotero.org/users/local/ebPldVBC/items/5Q44M3QU"],"itemData":{"id":25,"type":"article-journal","container-title":"Circulation: Cardiovascular Interventions","DOI":"10.1161/CIRCINTERVENTIONS.109.903468","issue":"3","journalAbbreviation":"Circulation: Cardiovascular Interventions","page":"267-276","publisher":"American Heart Association","title":"Nitinol Stent Implantation Versus Balloon Angioplasty for Lesions in the Superficial Femoral Artery and Proximal Popliteal Artery","volume":"3","author":[{"family":"Laird","given":"John R."},{"family":"Katzen","given":"Barry T."},{"family":"Scheinert","given":"Dierk"},{"family":"Lammer","given":"Johannes"},{"family":"Carpenter","given":"Jeffrey"},{"family":"Buchbinder","given":"Maurice"},{"family":"Dave","given":"Rajesh"},{"family":"Ansel","given":"Gary"},{"family":"Lansky","given":"Alexandra"},{"family":"Cristea","given":"Ecaterina"},{"family":"Collins","given":"Tyrone J."},{"family":"Goldstein","given":"Jeffrey"},{"family":"Jaff","given":"Michael R."},{"literal":"for the RESILIENT Investigators"}],"issued":{"date-parts":[["2010",6,1]]}}}],"schema":"https://github.com/citation-style-language/schema/raw/master/csl-citation.json"} </w:instrText>
      </w:r>
      <w:r w:rsidR="00335B43" w:rsidRPr="00335B43">
        <w:rPr>
          <w:rFonts w:asciiTheme="minorHAnsi" w:hAnsiTheme="minorHAnsi"/>
          <w:sz w:val="22"/>
          <w:szCs w:val="22"/>
        </w:rPr>
        <w:fldChar w:fldCharType="separate"/>
      </w:r>
      <w:r w:rsidR="00E20641" w:rsidRPr="00E20641">
        <w:rPr>
          <w:rFonts w:ascii="Aptos" w:hAnsi="Aptos"/>
          <w:sz w:val="22"/>
        </w:rPr>
        <w:t>(9,36,37)</w:t>
      </w:r>
      <w:r w:rsidR="00335B43" w:rsidRPr="00335B43">
        <w:rPr>
          <w:rFonts w:asciiTheme="minorHAnsi" w:hAnsiTheme="minorHAnsi"/>
          <w:sz w:val="22"/>
          <w:szCs w:val="22"/>
        </w:rPr>
        <w:fldChar w:fldCharType="end"/>
      </w:r>
      <w:r w:rsidR="00335B43" w:rsidRPr="00335B43">
        <w:rPr>
          <w:rFonts w:asciiTheme="minorHAnsi" w:hAnsiTheme="minorHAnsi"/>
          <w:sz w:val="22"/>
          <w:szCs w:val="22"/>
        </w:rPr>
        <w:t xml:space="preserve">. </w:t>
      </w:r>
    </w:p>
    <w:p w14:paraId="6F30A577" w14:textId="26EC980D" w:rsidR="00305DE4" w:rsidRPr="00305DE4" w:rsidRDefault="00305DE4" w:rsidP="00305DE4">
      <w:pPr>
        <w:pStyle w:val="NormalWeb"/>
        <w:rPr>
          <w:rFonts w:asciiTheme="minorHAnsi" w:hAnsiTheme="minorHAnsi"/>
          <w:sz w:val="22"/>
          <w:szCs w:val="22"/>
        </w:rPr>
      </w:pPr>
      <w:r w:rsidRPr="00305DE4">
        <w:rPr>
          <w:rFonts w:asciiTheme="minorHAnsi" w:hAnsiTheme="minorHAnsi"/>
          <w:sz w:val="22"/>
          <w:szCs w:val="22"/>
        </w:rPr>
        <w:t>For efficacy, candidate endpoints were assessed at 12 months. Rutherford classification</w:t>
      </w:r>
      <w:r w:rsidR="004C3DC1">
        <w:rPr>
          <w:rFonts w:asciiTheme="minorHAnsi" w:hAnsiTheme="minorHAnsi"/>
          <w:sz w:val="22"/>
          <w:szCs w:val="22"/>
        </w:rPr>
        <w:t>,</w:t>
      </w:r>
      <w:r w:rsidRPr="00305DE4">
        <w:rPr>
          <w:rFonts w:asciiTheme="minorHAnsi" w:hAnsiTheme="minorHAnsi"/>
          <w:sz w:val="22"/>
          <w:szCs w:val="22"/>
        </w:rPr>
        <w:t xml:space="preserve"> a clinical scale describing the severity of peripheral artery disease symptoms</w:t>
      </w:r>
      <w:r w:rsidR="004C3DC1">
        <w:rPr>
          <w:rFonts w:asciiTheme="minorHAnsi" w:hAnsiTheme="minorHAnsi"/>
          <w:sz w:val="22"/>
          <w:szCs w:val="22"/>
        </w:rPr>
        <w:t xml:space="preserve">, </w:t>
      </w:r>
      <w:r w:rsidRPr="00305DE4">
        <w:rPr>
          <w:rFonts w:asciiTheme="minorHAnsi" w:hAnsiTheme="minorHAnsi"/>
          <w:sz w:val="22"/>
          <w:szCs w:val="22"/>
        </w:rPr>
        <w:t>was selected because it captures patient-level disease status rather than purely anatomical outcomes</w:t>
      </w:r>
      <w:r w:rsidR="00335B43" w:rsidRPr="00335B43">
        <w:rPr>
          <w:rFonts w:asciiTheme="minorHAnsi" w:hAnsiTheme="minorHAnsi"/>
          <w:sz w:val="22"/>
          <w:szCs w:val="22"/>
        </w:rPr>
        <w:t xml:space="preserve"> </w:t>
      </w:r>
      <w:r w:rsidR="00335B43" w:rsidRPr="00335B43">
        <w:rPr>
          <w:rFonts w:asciiTheme="minorHAnsi" w:hAnsiTheme="minorHAnsi"/>
          <w:sz w:val="22"/>
          <w:szCs w:val="22"/>
        </w:rPr>
        <w:fldChar w:fldCharType="begin"/>
      </w:r>
      <w:r w:rsidR="00E20641">
        <w:rPr>
          <w:rFonts w:asciiTheme="minorHAnsi" w:hAnsiTheme="minorHAnsi"/>
          <w:sz w:val="22"/>
          <w:szCs w:val="22"/>
        </w:rPr>
        <w:instrText xml:space="preserve"> ADDIN ZOTERO_ITEM CSL_CITATION {"citationID":"mtlbk0Dz","properties":{"unsorted":false,"formattedCitation":"(9,37)","plainCitation":"(9,37)","noteIndex":0},"citationItems":[{"id":16,"uris":["http://zotero.org/users/local/ebPldVBC/items/DQUXXI6N"],"itemData":{"id":16,"type":"article-journal","container-title":"Catheterization and Cardiovascular Interventions","page":"910–919","title":"Performance goals and endpoint assessments for clinical trials of femoropopliteal bare nitinol stents in patients with symptomatic peripheral arterial disease","volume":"69","author":[{"family":"Rocha-Singh","given":"K. J."},{"literal":"others"}],"issued":{"date-parts":[["2007"]]}}},{"id":25,"uris":["http://zotero.org/users/local/ebPldVBC/items/5Q44M3QU"],"itemData":{"id":25,"type":"article-journal","container-title":"Circulation: Cardiovascular Interventions","DOI":"10.1161/CIRCINTERVENTIONS.109.903468","issue":"3","journalAbbreviation":"Circulation: Cardiovascular Interventions","page":"267-276","publisher":"American Heart Association","title":"Nitinol Stent Implantation Versus Balloon Angioplasty for Lesions in the Superficial Femoral Artery and Proximal Popliteal Artery","volume":"3","author":[{"family":"Laird","given":"John R."},{"family":"Katzen","given":"Barry T."},{"family":"Scheinert","given":"Dierk"},{"family":"Lammer","given":"Johannes"},{"family":"Carpenter","given":"Jeffrey"},{"family":"Buchbinder","given":"Maurice"},{"family":"Dave","given":"Rajesh"},{"family":"Ansel","given":"Gary"},{"family":"Lansky","given":"Alexandra"},{"family":"Cristea","given":"Ecaterina"},{"family":"Collins","given":"Tyrone J."},{"family":"Goldstein","given":"Jeffrey"},{"family":"Jaff","given":"Michael R."},{"literal":"for the RESILIENT Investigators"}],"issued":{"date-parts":[["2010",6,1]]}}}],"schema":"https://github.com/citation-style-language/schema/raw/master/csl-citation.json"} </w:instrText>
      </w:r>
      <w:r w:rsidR="00335B43" w:rsidRPr="00335B43">
        <w:rPr>
          <w:rFonts w:asciiTheme="minorHAnsi" w:hAnsiTheme="minorHAnsi"/>
          <w:sz w:val="22"/>
          <w:szCs w:val="22"/>
        </w:rPr>
        <w:fldChar w:fldCharType="separate"/>
      </w:r>
      <w:r w:rsidR="00E20641" w:rsidRPr="00E20641">
        <w:rPr>
          <w:rFonts w:ascii="Aptos" w:hAnsi="Aptos"/>
          <w:sz w:val="22"/>
        </w:rPr>
        <w:t>(9,37)</w:t>
      </w:r>
      <w:r w:rsidR="00335B43" w:rsidRPr="00335B43">
        <w:rPr>
          <w:rFonts w:asciiTheme="minorHAnsi" w:hAnsiTheme="minorHAnsi"/>
          <w:sz w:val="22"/>
          <w:szCs w:val="22"/>
        </w:rPr>
        <w:fldChar w:fldCharType="end"/>
      </w:r>
      <w:r w:rsidR="00335B43" w:rsidRPr="00335B43">
        <w:rPr>
          <w:rFonts w:asciiTheme="minorHAnsi" w:hAnsiTheme="minorHAnsi"/>
          <w:sz w:val="22"/>
          <w:szCs w:val="22"/>
        </w:rPr>
        <w:t xml:space="preserve">. </w:t>
      </w:r>
      <w:r w:rsidRPr="00305DE4">
        <w:rPr>
          <w:rFonts w:asciiTheme="minorHAnsi" w:hAnsiTheme="minorHAnsi"/>
          <w:sz w:val="22"/>
          <w:szCs w:val="22"/>
        </w:rPr>
        <w:t>Specifically, improvement or no deterioration in Rutherford score from post-intervention baseline was used, as this reflects whether patients experienced meaningful clinical benefit over the follow-up period</w:t>
      </w:r>
      <w:r w:rsidR="00335B43" w:rsidRPr="00305DE4">
        <w:rPr>
          <w:rFonts w:asciiTheme="minorHAnsi" w:hAnsiTheme="minorHAnsi"/>
          <w:sz w:val="22"/>
          <w:szCs w:val="22"/>
        </w:rPr>
        <w:fldChar w:fldCharType="begin"/>
      </w:r>
      <w:r w:rsidR="00E20641">
        <w:rPr>
          <w:rFonts w:asciiTheme="minorHAnsi" w:hAnsiTheme="minorHAnsi"/>
          <w:sz w:val="22"/>
          <w:szCs w:val="22"/>
        </w:rPr>
        <w:instrText xml:space="preserve"> ADDIN ZOTERO_ITEM CSL_CITATION {"citationID":"qMjPEUxF","properties":{"unsorted":false,"formattedCitation":"(9,36)","plainCitation":"(9,36)","noteIndex":0},"citationItems":[{"id":16,"uris":["http://zotero.org/users/local/ebPldVBC/items/DQUXXI6N"],"itemData":{"id":16,"type":"article-journal","container-title":"Catheterization and Cardiovascular Interventions","page":"910–919","title":"Performance goals and endpoint assessments for clinical trials of femoropopliteal bare nitinol stents in patients with symptomatic peripheral arterial disease","volume":"69","author":[{"family":"Rocha-Singh","given":"K. J."},{"literal":"others"}],"issued":{"date-parts":[["2007"]]}}},{"id":10,"uris":["http://zotero.org/users/local/ebPldVBC/items/YHH6MKBT"],"itemData":{"id":10,"type":"article-journal","abstract":"Objective There is a need for improved outcomes in the endovascular treatment of patients suffering from chronic limb threatening ischaemia (CLTI), highly calcified lesions, and chronic total occlusions (CTOs). The helical centreline self expanding BioMimics 3D stent might be particularly useful in these high risk subsets, combining flexibility and fracture resistance with radial strength. Herein, the performance of the BioMimics 3D stent was assessed in these high risk subsets. Methods MIMICS-3D is a prospective, multicentre, European real world registry. This was a post hoc analysis, comparing patients with CLTI vs. intermittent claudication (IC), lesions with bilateral calcification vs. those without (peripheral arterial calcium scoring system [PACSS] 3,4 vs. PACSS 0 – 2), and CTO vs. no CTO. Propensity score matching was performed to reduce the impact of baseline variables. The 36 month endpoints were clinically driven target lesion revascularisation (CD-TLR), death, major target limb amputation, and stent patency. Results A total of 507 patients were enrolled. At 36 months, patients with CLTI had lower freedom from major amputation than patients with IC (92.6% vs. 100%, p &lt; .001). In terms of primary patency, patients with CTO had lower patency rates than those without (63.9% vs. 77.8%, p = .003), but the difference reduced after propensity score matching (70.5% vs. 76.8%, p = .43). Primary patency was not impaired for patients with PACSS 3,4 or patients with CLTI. Freedom from CD-TLR was not significantly different among the groups and was 73.8% for CLTI vs. 78.9% for IC (p = .15), 77.6% for PACSS 3,4 vs. 78.7% for PACSS 0 – 2 (p = .55), and 75.6% for CTO vs. 81.0% for no CTO (p = .11). Conclusions The outcome of the MIMICS-3D registry suggests that the BioMimics 3D stent is effective in the endovascular treatment of complex femoropopliteal lesions and in CLTI. Future randomised controlled trials should confirm its non-inferiority or superiority compared with existing alternatives.","container-title":"European Journal of Vascular and Endovascular Surgery","DOI":"https://doi.org/10.1016/j.ejvs.2024.02.043","ISSN":"1078-5884","issue":"6","page":"923-932","title":"The BioMimics 3D Helical Centreline Nitinol Stent in Chronic Limb Threatening Ischaemia and Complex Lesions: Three Year Outcomes of the MIMICS-3D Registry","volume":"67","author":[{"family":"Rammos","given":"Christos"},{"family":"Zeller","given":"Thomas"},{"family":"Piorkowski","given":"Michael"},{"family":"Deloose","given":"Koen"},{"family":"Hertting","given":"Klaus"},{"family":"Sesselmann","given":"Volker"},{"family":"Tepe","given":"Gunnar"},{"family":"Gaines","given":"Peter"},{"family":"Lichtenberg","given":"Michael"}],"issued":{"date-parts":[["2024"]]}}}],"schema":"https://github.com/citation-style-language/schema/raw/master/csl-citation.json"} </w:instrText>
      </w:r>
      <w:r w:rsidR="00335B43" w:rsidRPr="00305DE4">
        <w:rPr>
          <w:rFonts w:asciiTheme="minorHAnsi" w:hAnsiTheme="minorHAnsi"/>
          <w:sz w:val="22"/>
          <w:szCs w:val="22"/>
        </w:rPr>
        <w:fldChar w:fldCharType="separate"/>
      </w:r>
      <w:r w:rsidR="00E20641" w:rsidRPr="00E20641">
        <w:rPr>
          <w:rFonts w:ascii="Aptos" w:hAnsi="Aptos"/>
          <w:sz w:val="22"/>
        </w:rPr>
        <w:t>(9,36)</w:t>
      </w:r>
      <w:r w:rsidR="00335B43" w:rsidRPr="00305DE4">
        <w:rPr>
          <w:rFonts w:asciiTheme="minorHAnsi" w:hAnsiTheme="minorHAnsi"/>
          <w:sz w:val="22"/>
          <w:szCs w:val="22"/>
        </w:rPr>
        <w:fldChar w:fldCharType="end"/>
      </w:r>
      <w:r w:rsidRPr="00305DE4">
        <w:rPr>
          <w:rFonts w:asciiTheme="minorHAnsi" w:hAnsiTheme="minorHAnsi"/>
          <w:sz w:val="22"/>
          <w:szCs w:val="22"/>
        </w:rPr>
        <w:t>.</w:t>
      </w:r>
    </w:p>
    <w:p w14:paraId="619DB14B" w14:textId="6315FD29" w:rsidR="00335B43" w:rsidRDefault="00305DE4" w:rsidP="00305DE4">
      <w:pPr>
        <w:pStyle w:val="NormalWeb"/>
        <w:rPr>
          <w:rFonts w:asciiTheme="minorHAnsi" w:hAnsiTheme="minorHAnsi"/>
          <w:sz w:val="22"/>
          <w:szCs w:val="22"/>
        </w:rPr>
      </w:pPr>
      <w:r w:rsidRPr="00305DE4">
        <w:rPr>
          <w:rFonts w:asciiTheme="minorHAnsi" w:hAnsiTheme="minorHAnsi"/>
          <w:sz w:val="22"/>
          <w:szCs w:val="22"/>
        </w:rPr>
        <w:t>The selected endpoints were therefore the 30-day composite of all-cause mortality, major amputation and target vessel revascularisation for safety, and improvement or no deterioration in Rutherford classification score at 12 months for efficacy.</w:t>
      </w:r>
    </w:p>
    <w:p w14:paraId="08D4EDE0" w14:textId="77777777" w:rsidR="004B1419" w:rsidRPr="00305DE4" w:rsidRDefault="004B1419" w:rsidP="00305DE4">
      <w:pPr>
        <w:pStyle w:val="NormalWeb"/>
        <w:rPr>
          <w:rFonts w:asciiTheme="minorHAnsi" w:hAnsiTheme="minorHAnsi"/>
          <w:sz w:val="22"/>
          <w:szCs w:val="22"/>
        </w:rPr>
      </w:pPr>
    </w:p>
    <w:p w14:paraId="52022B23" w14:textId="77777777" w:rsidR="005809B0" w:rsidRDefault="005809B0" w:rsidP="005809B0">
      <w:pPr>
        <w:pStyle w:val="Heading2"/>
      </w:pPr>
      <w:bookmarkStart w:id="24" w:name="_Toc232114704"/>
      <w:r w:rsidRPr="005809B0">
        <w:t>3.3 Literature Search and Meta-analysis Data</w:t>
      </w:r>
      <w:bookmarkEnd w:id="24"/>
    </w:p>
    <w:p w14:paraId="4EEAFD78" w14:textId="77777777" w:rsidR="00335B43" w:rsidRPr="00335B43" w:rsidRDefault="00335B43" w:rsidP="00335B43">
      <w:pPr>
        <w:pStyle w:val="NormalWeb"/>
        <w:rPr>
          <w:rFonts w:asciiTheme="minorHAnsi" w:hAnsiTheme="minorHAnsi"/>
          <w:sz w:val="22"/>
          <w:szCs w:val="22"/>
        </w:rPr>
      </w:pPr>
      <w:r w:rsidRPr="00335B43">
        <w:rPr>
          <w:rFonts w:asciiTheme="minorHAnsi" w:hAnsiTheme="minorHAnsi"/>
          <w:sz w:val="22"/>
          <w:szCs w:val="22"/>
        </w:rPr>
        <w:t xml:space="preserve">The same guidance document was used to determine justifiable </w:t>
      </w:r>
      <w:r w:rsidRPr="00335B43">
        <w:rPr>
          <w:rFonts w:asciiTheme="minorHAnsi" w:hAnsiTheme="minorHAnsi"/>
          <w:sz w:val="22"/>
          <w:szCs w:val="22"/>
          <w:lang w:val="en-GB"/>
        </w:rPr>
        <w:t>performance goal values for both the safety and efficacy endpoints.</w:t>
      </w:r>
      <w:r w:rsidRPr="00335B43">
        <w:rPr>
          <w:rFonts w:asciiTheme="minorHAnsi" w:hAnsiTheme="minorHAnsi"/>
          <w:sz w:val="22"/>
          <w:szCs w:val="22"/>
        </w:rPr>
        <w:t xml:space="preserve"> </w:t>
      </w:r>
    </w:p>
    <w:p w14:paraId="280AC57A" w14:textId="1FBBF0AD" w:rsidR="00335B43" w:rsidRPr="00335B43" w:rsidRDefault="00335B43" w:rsidP="00335B43">
      <w:pPr>
        <w:pStyle w:val="NormalWeb"/>
        <w:rPr>
          <w:rFonts w:asciiTheme="minorHAnsi" w:hAnsiTheme="minorHAnsi"/>
          <w:sz w:val="22"/>
          <w:szCs w:val="22"/>
        </w:rPr>
      </w:pPr>
      <w:r w:rsidRPr="00335B43">
        <w:rPr>
          <w:rFonts w:asciiTheme="minorHAnsi" w:hAnsiTheme="minorHAnsi"/>
          <w:sz w:val="22"/>
          <w:szCs w:val="22"/>
        </w:rPr>
        <w:t>For each relevant study, aggregate-level outcome data were extracted. This included the number of patients experiencing the endpoint and the number of patients assessed at the relevant follow-up time. Outcomes were grouped according to endpoint definition and time point before pooling. The time-point distinction was important because early safety outcomes at 30 days and longer-term efficacy outcomes at 12 months measure different aspects of device performance and cannot be combined into a single estimate</w:t>
      </w:r>
      <w:r w:rsidRPr="00335B43">
        <w:rPr>
          <w:rFonts w:asciiTheme="minorHAnsi" w:hAnsiTheme="minorHAnsi"/>
          <w:sz w:val="22"/>
          <w:szCs w:val="22"/>
        </w:rPr>
        <w:fldChar w:fldCharType="begin"/>
      </w:r>
      <w:r w:rsidR="00E20641">
        <w:rPr>
          <w:rFonts w:asciiTheme="minorHAnsi" w:hAnsiTheme="minorHAnsi"/>
          <w:sz w:val="22"/>
          <w:szCs w:val="22"/>
        </w:rPr>
        <w:instrText xml:space="preserve"> ADDIN ZOTERO_ITEM CSL_CITATION {"citationID":"WteetQ2p","properties":{"unsorted":false,"formattedCitation":"(9,36)","plainCitation":"(9,36)","noteIndex":0},"citationItems":[{"id":16,"uris":["http://zotero.org/users/local/ebPldVBC/items/DQUXXI6N"],"itemData":{"id":16,"type":"article-journal","container-title":"Catheterization and Cardiovascular Interventions","page":"910–919","title":"Performance goals and endpoint assessments for clinical trials of femoropopliteal bare nitinol stents in patients with symptomatic peripheral arterial disease","volume":"69","author":[{"family":"Rocha-Singh","given":"K. J."},{"literal":"others"}],"issued":{"date-parts":[["2007"]]}}},{"id":10,"uris":["http://zotero.org/users/local/ebPldVBC/items/YHH6MKBT"],"itemData":{"id":10,"type":"article-journal","abstract":"Objective There is a need for improved outcomes in the endovascular treatment of patients suffering from chronic limb threatening ischaemia (CLTI), highly calcified lesions, and chronic total occlusions (CTOs). The helical centreline self expanding BioMimics 3D stent might be particularly useful in these high risk subsets, combining flexibility and fracture resistance with radial strength. Herein, the performance of the BioMimics 3D stent was assessed in these high risk subsets. Methods MIMICS-3D is a prospective, multicentre, European real world registry. This was a post hoc analysis, comparing patients with CLTI vs. intermittent claudication (IC), lesions with bilateral calcification vs. those without (peripheral arterial calcium scoring system [PACSS] 3,4 vs. PACSS 0 – 2), and CTO vs. no CTO. Propensity score matching was performed to reduce the impact of baseline variables. The 36 month endpoints were clinically driven target lesion revascularisation (CD-TLR), death, major target limb amputation, and stent patency. Results A total of 507 patients were enrolled. At 36 months, patients with CLTI had lower freedom from major amputation than patients with IC (92.6% vs. 100%, p &lt; .001). In terms of primary patency, patients with CTO had lower patency rates than those without (63.9% vs. 77.8%, p = .003), but the difference reduced after propensity score matching (70.5% vs. 76.8%, p = .43). Primary patency was not impaired for patients with PACSS 3,4 or patients with CLTI. Freedom from CD-TLR was not significantly different among the groups and was 73.8% for CLTI vs. 78.9% for IC (p = .15), 77.6% for PACSS 3,4 vs. 78.7% for PACSS 0 – 2 (p = .55), and 75.6% for CTO vs. 81.0% for no CTO (p = .11). Conclusions The outcome of the MIMICS-3D registry suggests that the BioMimics 3D stent is effective in the endovascular treatment of complex femoropopliteal lesions and in CLTI. Future randomised controlled trials should confirm its non-inferiority or superiority compared with existing alternatives.","container-title":"European Journal of Vascular and Endovascular Surgery","DOI":"https://doi.org/10.1016/j.ejvs.2024.02.043","ISSN":"1078-5884","issue":"6","page":"923-932","title":"The BioMimics 3D Helical Centreline Nitinol Stent in Chronic Limb Threatening Ischaemia and Complex Lesions: Three Year Outcomes of the MIMICS-3D Registry","volume":"67","author":[{"family":"Rammos","given":"Christos"},{"family":"Zeller","given":"Thomas"},{"family":"Piorkowski","given":"Michael"},{"family":"Deloose","given":"Koen"},{"family":"Hertting","given":"Klaus"},{"family":"Sesselmann","given":"Volker"},{"family":"Tepe","given":"Gunnar"},{"family":"Gaines","given":"Peter"},{"family":"Lichtenberg","given":"Michael"}],"issued":{"date-parts":[["2024"]]}}}],"schema":"https://github.com/citation-style-language/schema/raw/master/csl-citation.json"} </w:instrText>
      </w:r>
      <w:r w:rsidRPr="00335B43">
        <w:rPr>
          <w:rFonts w:asciiTheme="minorHAnsi" w:hAnsiTheme="minorHAnsi"/>
          <w:sz w:val="22"/>
          <w:szCs w:val="22"/>
        </w:rPr>
        <w:fldChar w:fldCharType="separate"/>
      </w:r>
      <w:r w:rsidR="00E20641" w:rsidRPr="00E20641">
        <w:rPr>
          <w:rFonts w:ascii="Aptos" w:hAnsi="Aptos"/>
          <w:sz w:val="22"/>
        </w:rPr>
        <w:t>(9,36)</w:t>
      </w:r>
      <w:r w:rsidRPr="00335B43">
        <w:rPr>
          <w:rFonts w:asciiTheme="minorHAnsi" w:hAnsiTheme="minorHAnsi"/>
          <w:sz w:val="22"/>
          <w:szCs w:val="22"/>
        </w:rPr>
        <w:fldChar w:fldCharType="end"/>
      </w:r>
      <w:r w:rsidRPr="00335B43">
        <w:rPr>
          <w:rFonts w:asciiTheme="minorHAnsi" w:hAnsiTheme="minorHAnsi"/>
          <w:sz w:val="22"/>
          <w:szCs w:val="22"/>
        </w:rPr>
        <w:t>.</w:t>
      </w:r>
    </w:p>
    <w:p w14:paraId="4046ADD7" w14:textId="0239A43A" w:rsidR="00335B43" w:rsidRPr="00335B43" w:rsidRDefault="00335B43" w:rsidP="00335B43">
      <w:pPr>
        <w:pStyle w:val="NormalWeb"/>
        <w:rPr>
          <w:rFonts w:asciiTheme="minorHAnsi" w:hAnsiTheme="minorHAnsi"/>
          <w:sz w:val="22"/>
          <w:szCs w:val="22"/>
        </w:rPr>
      </w:pPr>
      <w:r w:rsidRPr="00335B43">
        <w:rPr>
          <w:rFonts w:asciiTheme="minorHAnsi" w:hAnsiTheme="minorHAnsi"/>
          <w:sz w:val="22"/>
          <w:szCs w:val="22"/>
        </w:rPr>
        <w:t>A logit transformation was used to stabilise the variance before pooling</w:t>
      </w:r>
      <w:r w:rsidR="004B0439">
        <w:rPr>
          <w:rFonts w:asciiTheme="minorHAnsi" w:hAnsiTheme="minorHAnsi"/>
          <w:sz w:val="22"/>
          <w:szCs w:val="22"/>
        </w:rPr>
        <w:t xml:space="preserve">. </w:t>
      </w:r>
      <w:r w:rsidRPr="00335B43">
        <w:rPr>
          <w:rFonts w:asciiTheme="minorHAnsi" w:hAnsiTheme="minorHAnsi"/>
          <w:sz w:val="22"/>
          <w:szCs w:val="22"/>
        </w:rPr>
        <w:t>This was required as the outcomes were binary proportions and because the extreme event proportions expected create boundary settings where raw proportions can behave poorly</w:t>
      </w:r>
      <w:r w:rsidRPr="00335B43">
        <w:rPr>
          <w:rFonts w:asciiTheme="minorHAnsi" w:hAnsiTheme="minorHAnsi"/>
          <w:sz w:val="22"/>
          <w:szCs w:val="22"/>
        </w:rPr>
        <w:fldChar w:fldCharType="begin"/>
      </w:r>
      <w:r w:rsidRPr="00335B43">
        <w:rPr>
          <w:rFonts w:asciiTheme="minorHAnsi" w:hAnsiTheme="minorHAnsi"/>
          <w:sz w:val="22"/>
          <w:szCs w:val="22"/>
        </w:rPr>
        <w:instrText xml:space="preserve"> ADDIN ZOTERO_ITEM CSL_CITATION {"citationID":"d7HbdDqz","properties":{"unsorted":false,"formattedCitation":"(7,17)","plainCitation":"(7,17)","noteIndex":0},"citationItems":[{"id":32,"uris":["http://zotero.org/users/local/ebPldVBC/items/7QTQGWQJ"],"itemData":{"id":32,"type":"article-journal","abstract":"Performance goals are numerical target values pertaining to effectiveness or safety endpoints in single-arm medical device clinical studies. Typically,  performance goals are determined at the planning stage of the investigational  study under consideration based on summarized outcome information from existing  relevant clinical trials. In recent years, there is a growing interest in  leveraging real-world evidence in medical product development. In this article,  we introduce a new method for proposing performance goals by leveraging  real-world evidence. The method applies entropy balancing to address possible  patient dissimilarities between the study's target patient population and  existing real-world patients, and can take into account operation differences  between clinical studies and real-world clinical practice. An illustrative  example is provided to demonstrate how to implement the proposed method for  performance goal determination while leveraging real-world evidence.","container-title":"Statistics in medicine","DOI":"10.1002/sim.9199","ISSN":"1097-0258 0277-6715","issue":"29","journalAbbreviation":"Stat Med","language":"eng","license":"© 2021 John Wiley &amp; Sons Ltd.","page":"6577-6589","PMID":"34561895","publisher-place":"England","title":"Leveraging real-world evidence for determining performance goals for medical device studies.","volume":"40","author":[{"family":"Wang","given":"Chenguang"},{"family":"Rosner","given":"Gary L."},{"family":"Bao","given":"Tingting"},{"family":"Lu","given":"Nelson"},{"family":"Chen","given":"Wei-Chen"},{"family":"Li","given":"Heng"},{"family":"Tiwari","given":"Ram"},{"family":"Xu","given":"Yunling"},{"family":"Yue","given":"Lilly Q."}],"issued":{"date-parts":[["2021",12,20]]}}},{"id":43,"uris":["http://zotero.org/users/local/ebPldVBC/items/H9KC5ZVH"],"itemData":{"id":43,"type":"article-journal","abstract":"[We revisit the problem of interval estimation of a binomial proportion. The erratic behavior of the coverage probability of the standard Wald confidence interval has previously been remarked on in the literature (Blyth and Still, Agresti and Coull, Santner and others). We begin by showing that the chaotic coverage properties of the Wald interval are far more persistent than is appreciated. Furthermore, common textbook prescriptions regarding its safety are misleading and defective in several respects and cannot be trusted. This leads us to consideration of alternative intervals. A number of natural alternatives are presented, each with its motivation and context. Each interval is examined for its coverage probability and its length. Based on this analysis, we recommend the Wilson interval or the equal-tailed Jeffreys prior interval for small n and the interval suggested in Agresti and Coull for larger n. We also provide an additional frequentist justification for use of the Jeffreys interval.]","archive":"JSTOR","container-title":"Statistical Science","ISSN":"08834237, 21688745","issue":"2","page":"101-117","publisher":"Institute of Mathematical Statistics","title":"Interval Estimation for a Binomial Proportion","volume":"16","author":[{"family":"Brown","given":"Lawrence D."},{"family":"Cai","given":"T. Tony"},{"family":"DasGupta","given":"Anirban"}],"issued":{"date-parts":[["2001"]]}}}],"schema":"https://github.com/citation-style-language/schema/raw/master/csl-citation.json"} </w:instrText>
      </w:r>
      <w:r w:rsidRPr="00335B43">
        <w:rPr>
          <w:rFonts w:asciiTheme="minorHAnsi" w:hAnsiTheme="minorHAnsi"/>
          <w:sz w:val="22"/>
          <w:szCs w:val="22"/>
        </w:rPr>
        <w:fldChar w:fldCharType="separate"/>
      </w:r>
      <w:r w:rsidRPr="00335B43">
        <w:rPr>
          <w:rFonts w:ascii="Aptos" w:hAnsi="Aptos"/>
          <w:sz w:val="22"/>
        </w:rPr>
        <w:t>(7,17)</w:t>
      </w:r>
      <w:r w:rsidRPr="00335B43">
        <w:rPr>
          <w:rFonts w:asciiTheme="minorHAnsi" w:hAnsiTheme="minorHAnsi"/>
          <w:sz w:val="22"/>
          <w:szCs w:val="22"/>
        </w:rPr>
        <w:fldChar w:fldCharType="end"/>
      </w:r>
      <w:r w:rsidRPr="00335B43">
        <w:rPr>
          <w:rFonts w:asciiTheme="minorHAnsi" w:hAnsiTheme="minorHAnsi"/>
          <w:sz w:val="22"/>
          <w:szCs w:val="22"/>
        </w:rPr>
        <w:t>.</w:t>
      </w:r>
    </w:p>
    <w:p w14:paraId="7287E6BF" w14:textId="7BB3F3F6" w:rsidR="00335B43" w:rsidRPr="00335B43" w:rsidRDefault="00335B43" w:rsidP="00335B43">
      <w:pPr>
        <w:pStyle w:val="NormalWeb"/>
        <w:rPr>
          <w:rFonts w:asciiTheme="minorHAnsi" w:hAnsiTheme="minorHAnsi"/>
          <w:sz w:val="22"/>
          <w:szCs w:val="22"/>
        </w:rPr>
      </w:pPr>
      <w:r w:rsidRPr="00335B43">
        <w:rPr>
          <w:rFonts w:asciiTheme="minorHAnsi" w:hAnsiTheme="minorHAnsi"/>
          <w:sz w:val="22"/>
          <w:szCs w:val="22"/>
        </w:rPr>
        <w:t xml:space="preserve">A generalised linear mixed model with a binomial likelihood was applied to pool study-level proportions. This approach was selected because the extracted data consisted of event counts versus study sample sizes and additionally handled extreme proportions more appropriately than simple normal approximations. A random-effects structure was </w:t>
      </w:r>
      <w:r w:rsidRPr="00335B43">
        <w:rPr>
          <w:rFonts w:asciiTheme="minorHAnsi" w:hAnsiTheme="minorHAnsi"/>
          <w:sz w:val="22"/>
          <w:szCs w:val="22"/>
          <w:lang w:val="en-GB"/>
        </w:rPr>
        <w:t>employed</w:t>
      </w:r>
      <w:r w:rsidRPr="00335B43">
        <w:rPr>
          <w:rFonts w:asciiTheme="minorHAnsi" w:hAnsiTheme="minorHAnsi"/>
          <w:sz w:val="22"/>
          <w:szCs w:val="22"/>
        </w:rPr>
        <w:t xml:space="preserve"> to allow for between-study heterogeneity rather than assuming that all studies estimated the same underlying event proportion. This was important because the historical studies differed in design, population, endpoint reporting and follow-up</w:t>
      </w:r>
      <w:r w:rsidRPr="00335B43">
        <w:rPr>
          <w:rFonts w:asciiTheme="minorHAnsi" w:hAnsiTheme="minorHAnsi"/>
          <w:sz w:val="22"/>
          <w:szCs w:val="22"/>
        </w:rPr>
        <w:fldChar w:fldCharType="begin"/>
      </w:r>
      <w:r w:rsidR="00216609">
        <w:rPr>
          <w:rFonts w:asciiTheme="minorHAnsi" w:hAnsiTheme="minorHAnsi"/>
          <w:sz w:val="22"/>
          <w:szCs w:val="22"/>
        </w:rPr>
        <w:instrText xml:space="preserve"> ADDIN ZOTERO_ITEM CSL_CITATION {"citationID":"vfu82PBX","properties":{"unsorted":false,"formattedCitation":"(7,10)","plainCitation":"(7,10)","noteIndex":0},"citationItems":[{"id":32,"uris":["http://zotero.org/users/local/ebPldVBC/items/7QTQGWQJ"],"itemData":{"id":32,"type":"article-journal","abstract":"Performance goals are numerical target values pertaining to effectiveness or safety endpoints in single-arm medical device clinical studies. Typically,  performance goals are determined at the planning stage of the investigational  study under consideration based on summarized outcome information from existing  relevant clinical trials. In recent years, there is a growing interest in  leveraging real-world evidence in medical product development. In this article,  we introduce a new method for proposing performance goals by leveraging  real-world evidence. The method applies entropy balancing to address possible  patient dissimilarities between the study's target patient population and  existing real-world patients, and can take into account operation differences  between clinical studies and real-world clinical practice. An illustrative  example is provided to demonstrate how to implement the proposed method for  performance goal determination while leveraging real-world evidence.","container-title":"Statistics in medicine","DOI":"10.1002/sim.9199","ISSN":"1097-0258 0277-6715","issue":"29","journalAbbreviation":"Stat Med","language":"eng","license":"© 2021 John Wiley &amp; Sons Ltd.","page":"6577-6589","PMID":"34561895","publisher-place":"England","title":"Leveraging real-world evidence for determining performance goals for medical device studies.","volume":"40","author":[{"family":"Wang","given":"Chenguang"},{"family":"Rosner","given":"Gary L."},{"family":"Bao","given":"Tingting"},{"family":"Lu","given":"Nelson"},{"family":"Chen","given":"Wei-Chen"},{"family":"Li","given":"Heng"},{"family":"Tiwari","given":"Ram"},{"family":"Xu","given":"Yunling"},{"family":"Yue","given":"Lilly Q."}],"issued":{"date-parts":[["2021",12,20]]}}},{"id":21,"uris":["http://zotero.org/users/local/ebPldVBC/items/SLWFMSIE"],"itemData":{"id":21,"type":"article-journal","abstract":"Although single-arm trials (SATs) can serve as a pivotal study design for evaluating drug efficacy in specific scenarios, they are accompanied by inherent limitations and challenges. This paper explores the challenges of validity, reliability, statistical power, and the use of external control in SATs from a statistical perspective. We reflect on the rationale for employing SATs to support efficacy assessments, and provide recommendations based on their limitations and potential biases. The objective is to offer guidance for the improved design and implementation of SATs in future research.","container-title":"BMC Medical Research Methodology","DOI":"10.1186/s12874-025-02660-9","ISSN":"1471-2288","issue":"1","journalAbbreviation":"BMC Medical Research Methodology","page":"233","title":"Estimating comparative effectiveness using Single-Arm trials: A challenge in the field of agnosticism","volume":"25","author":[{"family":"Cao","given":"Shang"},{"family":"Kan","given":"Hongwei"},{"family":"Lu","given":"Mingliang"},{"family":"Pan","given":"Jianhong"}],"issued":{"date-parts":[["2025",10,21]]}}}],"schema":"https://github.com/citation-style-language/schema/raw/master/csl-citation.json"} </w:instrText>
      </w:r>
      <w:r w:rsidRPr="00335B43">
        <w:rPr>
          <w:rFonts w:asciiTheme="minorHAnsi" w:hAnsiTheme="minorHAnsi"/>
          <w:sz w:val="22"/>
          <w:szCs w:val="22"/>
        </w:rPr>
        <w:fldChar w:fldCharType="separate"/>
      </w:r>
      <w:r w:rsidR="00216609" w:rsidRPr="00216609">
        <w:rPr>
          <w:rFonts w:ascii="Aptos" w:hAnsi="Aptos"/>
          <w:sz w:val="22"/>
        </w:rPr>
        <w:t>(7,10)</w:t>
      </w:r>
      <w:r w:rsidRPr="00335B43">
        <w:rPr>
          <w:rFonts w:asciiTheme="minorHAnsi" w:hAnsiTheme="minorHAnsi"/>
          <w:sz w:val="22"/>
          <w:szCs w:val="22"/>
        </w:rPr>
        <w:fldChar w:fldCharType="end"/>
      </w:r>
      <w:r w:rsidRPr="00335B43">
        <w:rPr>
          <w:rFonts w:asciiTheme="minorHAnsi" w:hAnsiTheme="minorHAnsi"/>
          <w:sz w:val="22"/>
          <w:szCs w:val="22"/>
        </w:rPr>
        <w:t>.</w:t>
      </w:r>
    </w:p>
    <w:p w14:paraId="62AC1ED4" w14:textId="77777777" w:rsidR="00335B43" w:rsidRPr="00335B43" w:rsidRDefault="00335B43" w:rsidP="00335B43">
      <w:pPr>
        <w:pStyle w:val="NormalWeb"/>
        <w:rPr>
          <w:rFonts w:asciiTheme="minorHAnsi" w:hAnsiTheme="minorHAnsi"/>
          <w:sz w:val="22"/>
          <w:szCs w:val="22"/>
        </w:rPr>
      </w:pPr>
      <w:r w:rsidRPr="00335B43">
        <w:rPr>
          <w:rFonts w:asciiTheme="minorHAnsi" w:hAnsiTheme="minorHAnsi"/>
          <w:sz w:val="22"/>
          <w:szCs w:val="22"/>
        </w:rPr>
        <w:lastRenderedPageBreak/>
        <w:t>Thus, the resulting estimates used to construct candidate performance goals were:</w:t>
      </w:r>
    </w:p>
    <w:p w14:paraId="5C437433" w14:textId="4FDA609B" w:rsidR="00D40556" w:rsidRDefault="00335B43" w:rsidP="00D40556">
      <w:pPr>
        <w:pStyle w:val="NormalWeb"/>
        <w:numPr>
          <w:ilvl w:val="0"/>
          <w:numId w:val="9"/>
        </w:numPr>
        <w:rPr>
          <w:rFonts w:asciiTheme="minorHAnsi" w:hAnsiTheme="minorHAnsi"/>
          <w:sz w:val="22"/>
          <w:szCs w:val="22"/>
        </w:rPr>
      </w:pPr>
      <w:r w:rsidRPr="00335B43">
        <w:rPr>
          <w:rFonts w:asciiTheme="minorHAnsi" w:hAnsiTheme="minorHAnsi"/>
          <w:sz w:val="22"/>
          <w:szCs w:val="22"/>
        </w:rPr>
        <w:t xml:space="preserve">For the 30-day safety composite endpoint, the pooled estimate was approximately 6%, with the upper confidence limit extending to approximately 12%. Values between the pooled point estimate and the upper confidence limit were considered as the </w:t>
      </w:r>
      <w:r w:rsidR="00C0132A" w:rsidRPr="00335B43">
        <w:rPr>
          <w:rFonts w:asciiTheme="minorHAnsi" w:hAnsiTheme="minorHAnsi"/>
          <w:sz w:val="22"/>
          <w:szCs w:val="22"/>
        </w:rPr>
        <w:t>safety</w:t>
      </w:r>
      <w:r w:rsidRPr="00335B43">
        <w:rPr>
          <w:rFonts w:asciiTheme="minorHAnsi" w:hAnsiTheme="minorHAnsi"/>
          <w:sz w:val="22"/>
          <w:szCs w:val="22"/>
        </w:rPr>
        <w:t xml:space="preserve"> performance goal, giving a benchmark of approximately 6-12% for the maximum acceptable proportion of patients with an early composite event.</w:t>
      </w:r>
    </w:p>
    <w:p w14:paraId="5B8D50EA" w14:textId="77777777" w:rsidR="00D40556" w:rsidRPr="00D40556" w:rsidRDefault="00D40556" w:rsidP="00D40556">
      <w:pPr>
        <w:pStyle w:val="NormalWeb"/>
        <w:ind w:left="720"/>
        <w:rPr>
          <w:rFonts w:asciiTheme="minorHAnsi" w:hAnsiTheme="minorHAnsi"/>
          <w:sz w:val="22"/>
          <w:szCs w:val="22"/>
        </w:rPr>
      </w:pPr>
    </w:p>
    <w:p w14:paraId="072C16B8" w14:textId="77777777" w:rsidR="00335B43" w:rsidRPr="00335B43" w:rsidRDefault="00335B43" w:rsidP="00D40556">
      <w:pPr>
        <w:pStyle w:val="NormalWeb"/>
        <w:numPr>
          <w:ilvl w:val="0"/>
          <w:numId w:val="9"/>
        </w:numPr>
        <w:rPr>
          <w:rFonts w:asciiTheme="minorHAnsi" w:hAnsiTheme="minorHAnsi"/>
          <w:sz w:val="22"/>
          <w:szCs w:val="22"/>
        </w:rPr>
      </w:pPr>
      <w:r w:rsidRPr="00335B43">
        <w:rPr>
          <w:rFonts w:asciiTheme="minorHAnsi" w:hAnsiTheme="minorHAnsi"/>
          <w:sz w:val="22"/>
          <w:szCs w:val="22"/>
        </w:rPr>
        <w:t>For the 12-month stable or improved Rutherford classification endpoint, the pooled estimate was approximately 95.8%, with the lower confidence limit extending to approximately 88%. Values between the pooled point estimate and the lower confidence limit were considered as the efficacy performance goal, giving a benchmark of approximately 95.8-88% for the minimum acceptable proportion of patients with stable or improved Rutherford classification.</w:t>
      </w:r>
    </w:p>
    <w:p w14:paraId="4E1D2396" w14:textId="77777777" w:rsidR="00335B43" w:rsidRPr="00335B43" w:rsidRDefault="00335B43" w:rsidP="00335B43"/>
    <w:p w14:paraId="46D42E0E" w14:textId="77777777" w:rsidR="005809B0" w:rsidRPr="005809B0" w:rsidRDefault="005809B0" w:rsidP="005809B0">
      <w:pPr>
        <w:pStyle w:val="Heading2"/>
      </w:pPr>
      <w:bookmarkStart w:id="25" w:name="_Toc232114705"/>
      <w:r w:rsidRPr="005809B0">
        <w:t>3.4 Derivation of Performance Goals</w:t>
      </w:r>
      <w:bookmarkEnd w:id="25"/>
    </w:p>
    <w:p w14:paraId="54F7B237" w14:textId="5366A224" w:rsidR="005809B0" w:rsidRPr="005809B0" w:rsidRDefault="005809B0" w:rsidP="005809B0">
      <w:pPr>
        <w:pStyle w:val="NormalWeb"/>
        <w:rPr>
          <w:rFonts w:asciiTheme="minorHAnsi" w:hAnsiTheme="minorHAnsi"/>
          <w:sz w:val="22"/>
          <w:szCs w:val="22"/>
        </w:rPr>
      </w:pPr>
      <w:r w:rsidRPr="005809B0">
        <w:rPr>
          <w:rFonts w:asciiTheme="minorHAnsi" w:hAnsiTheme="minorHAnsi"/>
          <w:sz w:val="22"/>
          <w:szCs w:val="22"/>
        </w:rPr>
        <w:t xml:space="preserve">In principle, the pooled point estimate from the historical studies represents the </w:t>
      </w:r>
      <w:r w:rsidR="00FC0B3C">
        <w:rPr>
          <w:rFonts w:asciiTheme="minorHAnsi" w:hAnsiTheme="minorHAnsi"/>
          <w:sz w:val="22"/>
          <w:szCs w:val="22"/>
        </w:rPr>
        <w:t xml:space="preserve">weighted average or best estimate of </w:t>
      </w:r>
      <w:r w:rsidRPr="005809B0">
        <w:rPr>
          <w:rFonts w:asciiTheme="minorHAnsi" w:hAnsiTheme="minorHAnsi"/>
          <w:sz w:val="22"/>
          <w:szCs w:val="22"/>
        </w:rPr>
        <w:t xml:space="preserve">expected performance in the available </w:t>
      </w:r>
      <w:r w:rsidR="00302450" w:rsidRPr="005809B0">
        <w:rPr>
          <w:rFonts w:asciiTheme="minorHAnsi" w:hAnsiTheme="minorHAnsi"/>
          <w:sz w:val="22"/>
          <w:szCs w:val="22"/>
        </w:rPr>
        <w:t>evidence</w:t>
      </w:r>
      <w:r w:rsidRPr="005809B0">
        <w:rPr>
          <w:rFonts w:asciiTheme="minorHAnsi" w:hAnsiTheme="minorHAnsi"/>
          <w:sz w:val="22"/>
          <w:szCs w:val="22"/>
        </w:rPr>
        <w:t>. However, using the point estimate directly as the performance goal would ignore uncertainty in the historical data</w:t>
      </w:r>
      <w:r w:rsidR="006F14B2">
        <w:rPr>
          <w:rFonts w:asciiTheme="minorHAnsi" w:hAnsiTheme="minorHAnsi"/>
          <w:sz w:val="22"/>
          <w:szCs w:val="22"/>
        </w:rPr>
        <w:fldChar w:fldCharType="begin"/>
      </w:r>
      <w:r w:rsidR="006F14B2">
        <w:rPr>
          <w:rFonts w:asciiTheme="minorHAnsi" w:hAnsiTheme="minorHAnsi"/>
          <w:sz w:val="22"/>
          <w:szCs w:val="22"/>
        </w:rPr>
        <w:instrText xml:space="preserve"> ADDIN ZOTERO_ITEM CSL_CITATION {"citationID":"jVUT7rbX","properties":{"unsorted":false,"formattedCitation":"(7)","plainCitation":"(7)","noteIndex":0},"citationItems":[{"id":32,"uris":["http://zotero.org/users/local/ebPldVBC/items/7QTQGWQJ"],"itemData":{"id":32,"type":"article-journal","abstract":"Performance goals are numerical target values pertaining to effectiveness or safety endpoints in single-arm medical device clinical studies. Typically,  performance goals are determined at the planning stage of the investigational  study under consideration based on summarized outcome information from existing  relevant clinical trials. In recent years, there is a growing interest in  leveraging real-world evidence in medical product development. In this article,  we introduce a new method for proposing performance goals by leveraging  real-world evidence. The method applies entropy balancing to address possible  patient dissimilarities between the study's target patient population and  existing real-world patients, and can take into account operation differences  between clinical studies and real-world clinical practice. An illustrative  example is provided to demonstrate how to implement the proposed method for  performance goal determination while leveraging real-world evidence.","container-title":"Statistics in medicine","DOI":"10.1002/sim.9199","ISSN":"1097-0258 0277-6715","issue":"29","journalAbbreviation":"Stat Med","language":"eng","license":"© 2021 John Wiley &amp; Sons Ltd.","page":"6577-6589","PMID":"34561895","publisher-place":"England","title":"Leveraging real-world evidence for determining performance goals for medical device studies.","volume":"40","author":[{"family":"Wang","given":"Chenguang"},{"family":"Rosner","given":"Gary L."},{"family":"Bao","given":"Tingting"},{"family":"Lu","given":"Nelson"},{"family":"Chen","given":"Wei-Chen"},{"family":"Li","given":"Heng"},{"family":"Tiwari","given":"Ram"},{"family":"Xu","given":"Yunling"},{"family":"Yue","given":"Lilly Q."}],"issued":{"date-parts":[["2021",12,20]]}}}],"schema":"https://github.com/citation-style-language/schema/raw/master/csl-citation.json"} </w:instrText>
      </w:r>
      <w:r w:rsidR="006F14B2">
        <w:rPr>
          <w:rFonts w:asciiTheme="minorHAnsi" w:hAnsiTheme="minorHAnsi"/>
          <w:sz w:val="22"/>
          <w:szCs w:val="22"/>
        </w:rPr>
        <w:fldChar w:fldCharType="separate"/>
      </w:r>
      <w:r w:rsidR="006F14B2" w:rsidRPr="006F14B2">
        <w:rPr>
          <w:rFonts w:ascii="Aptos" w:hAnsi="Aptos"/>
          <w:sz w:val="22"/>
        </w:rPr>
        <w:t>(7)</w:t>
      </w:r>
      <w:r w:rsidR="006F14B2">
        <w:rPr>
          <w:rFonts w:asciiTheme="minorHAnsi" w:hAnsiTheme="minorHAnsi"/>
          <w:sz w:val="22"/>
          <w:szCs w:val="22"/>
        </w:rPr>
        <w:fldChar w:fldCharType="end"/>
      </w:r>
      <w:r w:rsidRPr="005809B0">
        <w:rPr>
          <w:rFonts w:asciiTheme="minorHAnsi" w:hAnsiTheme="minorHAnsi"/>
          <w:sz w:val="22"/>
          <w:szCs w:val="22"/>
        </w:rPr>
        <w:t xml:space="preserve">. This is problematic </w:t>
      </w:r>
      <w:r w:rsidR="00FC0B3C">
        <w:rPr>
          <w:rFonts w:asciiTheme="minorHAnsi" w:hAnsiTheme="minorHAnsi"/>
          <w:sz w:val="22"/>
          <w:szCs w:val="22"/>
        </w:rPr>
        <w:t xml:space="preserve">when </w:t>
      </w:r>
      <w:r w:rsidRPr="005809B0">
        <w:rPr>
          <w:rFonts w:asciiTheme="minorHAnsi" w:hAnsiTheme="minorHAnsi"/>
          <w:sz w:val="22"/>
          <w:szCs w:val="22"/>
        </w:rPr>
        <w:t>the available evidence may be based on a small number of studies with limited sample sizes and differing endpoint definitions</w:t>
      </w:r>
      <w:r w:rsidR="006F14B2">
        <w:rPr>
          <w:rFonts w:asciiTheme="minorHAnsi" w:hAnsiTheme="minorHAnsi"/>
          <w:sz w:val="22"/>
          <w:szCs w:val="22"/>
        </w:rPr>
        <w:fldChar w:fldCharType="begin"/>
      </w:r>
      <w:r w:rsidR="001235BB">
        <w:rPr>
          <w:rFonts w:asciiTheme="minorHAnsi" w:hAnsiTheme="minorHAnsi"/>
          <w:sz w:val="22"/>
          <w:szCs w:val="22"/>
        </w:rPr>
        <w:instrText xml:space="preserve"> ADDIN ZOTERO_ITEM CSL_CITATION {"citationID":"iU4Ficon","properties":{"unsorted":false,"formattedCitation":"(5,7,10)","plainCitation":"(5,7,10)","noteIndex":0},"citationItems":[{"id":28,"uris":["http://zotero.org/users/local/ebPldVBC/items/R5QCUM6Y"],"itemData":{"id":28,"type":"report","genre":"Guideline","language":"en","publisher":"International Council for Harmonisation (ICH)","source":"Zotero","title":"Statistical Principles for Clinical Trials E9","URL":"https://www.ich.org/page/efficacy-guidelines","author":[{"family":"International Council for Harmonisation","given":""}],"accessed":{"date-parts":[["2026",5,12]]},"issued":{"date-parts":[["1998"]]}}},{"id":32,"uris":["http://zotero.org/users/local/ebPldVBC/items/7QTQGWQJ"],"itemData":{"id":32,"type":"article-journal","abstract":"Performance goals are numerical target values pertaining to effectiveness or safety endpoints in single-arm medical device clinical studies. Typically,  performance goals are determined at the planning stage of the investigational  study under consideration based on summarized outcome information from existing  relevant clinical trials. In recent years, there is a growing interest in  leveraging real-world evidence in medical product development. In this article,  we introduce a new method for proposing performance goals by leveraging  real-world evidence. The method applies entropy balancing to address possible  patient dissimilarities between the study's target patient population and  existing real-world patients, and can take into account operation differences  between clinical studies and real-world clinical practice. An illustrative  example is provided to demonstrate how to implement the proposed method for  performance goal determination while leveraging real-world evidence.","container-title":"Statistics in medicine","DOI":"10.1002/sim.9199","ISSN":"1097-0258 0277-6715","issue":"29","journalAbbreviation":"Stat Med","language":"eng","license":"© 2021 John Wiley &amp; Sons Ltd.","page":"6577-6589","PMID":"34561895","publisher-place":"England","title":"Leveraging real-world evidence for determining performance goals for medical device studies.","volume":"40","author":[{"family":"Wang","given":"Chenguang"},{"family":"Rosner","given":"Gary L."},{"family":"Bao","given":"Tingting"},{"family":"Lu","given":"Nelson"},{"family":"Chen","given":"Wei-Chen"},{"family":"Li","given":"Heng"},{"family":"Tiwari","given":"Ram"},{"family":"Xu","given":"Yunling"},{"family":"Yue","given":"Lilly Q."}],"issued":{"date-parts":[["2021",12,20]]}}},{"id":21,"uris":["http://zotero.org/users/local/ebPldVBC/items/SLWFMSIE"],"itemData":{"id":21,"type":"article-journal","abstract":"Although single-arm trials (SATs) can serve as a pivotal study design for evaluating drug efficacy in specific scenarios, they are accompanied by inherent limitations and challenges. This paper explores the challenges of validity, reliability, statistical power, and the use of external control in SATs from a statistical perspective. We reflect on the rationale for employing SATs to support efficacy assessments, and provide recommendations based on their limitations and potential biases. The objective is to offer guidance for the improved design and implementation of SATs in future research.","container-title":"BMC Medical Research Methodology","DOI":"10.1186/s12874-025-02660-9","ISSN":"1471-2288","issue":"1","journalAbbreviation":"BMC Medical Research Methodology","page":"233","title":"Estimating comparative effectiveness using Single-Arm trials: A challenge in the field of agnosticism","volume":"25","author":[{"family":"Cao","given":"Shang"},{"family":"Kan","given":"Hongwei"},{"family":"Lu","given":"Mingliang"},{"family":"Pan","given":"Jianhong"}],"issued":{"date-parts":[["2025",10,21]]}}}],"schema":"https://github.com/citation-style-language/schema/raw/master/csl-citation.json"} </w:instrText>
      </w:r>
      <w:r w:rsidR="006F14B2">
        <w:rPr>
          <w:rFonts w:asciiTheme="minorHAnsi" w:hAnsiTheme="minorHAnsi"/>
          <w:sz w:val="22"/>
          <w:szCs w:val="22"/>
        </w:rPr>
        <w:fldChar w:fldCharType="separate"/>
      </w:r>
      <w:r w:rsidR="00C86E1B" w:rsidRPr="00C86E1B">
        <w:rPr>
          <w:rFonts w:ascii="Aptos" w:hAnsi="Aptos"/>
          <w:sz w:val="22"/>
        </w:rPr>
        <w:t>(5,7,10)</w:t>
      </w:r>
      <w:r w:rsidR="006F14B2">
        <w:rPr>
          <w:rFonts w:asciiTheme="minorHAnsi" w:hAnsiTheme="minorHAnsi"/>
          <w:sz w:val="22"/>
          <w:szCs w:val="22"/>
        </w:rPr>
        <w:fldChar w:fldCharType="end"/>
      </w:r>
      <w:r w:rsidRPr="005809B0">
        <w:rPr>
          <w:rFonts w:asciiTheme="minorHAnsi" w:hAnsiTheme="minorHAnsi"/>
          <w:sz w:val="22"/>
          <w:szCs w:val="22"/>
        </w:rPr>
        <w:t>.</w:t>
      </w:r>
    </w:p>
    <w:p w14:paraId="7BD99018" w14:textId="55A95D7E" w:rsidR="00923FF1" w:rsidRDefault="005809B0" w:rsidP="006803C8">
      <w:pPr>
        <w:pStyle w:val="NormalWeb"/>
        <w:rPr>
          <w:rFonts w:asciiTheme="minorHAnsi" w:hAnsiTheme="minorHAnsi"/>
          <w:sz w:val="22"/>
          <w:szCs w:val="22"/>
        </w:rPr>
      </w:pPr>
      <w:r w:rsidRPr="005809B0">
        <w:rPr>
          <w:rFonts w:asciiTheme="minorHAnsi" w:hAnsiTheme="minorHAnsi"/>
          <w:sz w:val="22"/>
          <w:szCs w:val="22"/>
        </w:rPr>
        <w:t>For this reason, the</w:t>
      </w:r>
      <w:r w:rsidR="00FC0B3C">
        <w:rPr>
          <w:rFonts w:asciiTheme="minorHAnsi" w:hAnsiTheme="minorHAnsi"/>
          <w:sz w:val="22"/>
          <w:szCs w:val="22"/>
        </w:rPr>
        <w:t xml:space="preserve"> proposed</w:t>
      </w:r>
      <w:r w:rsidRPr="005809B0">
        <w:rPr>
          <w:rFonts w:asciiTheme="minorHAnsi" w:hAnsiTheme="minorHAnsi"/>
          <w:sz w:val="22"/>
          <w:szCs w:val="22"/>
        </w:rPr>
        <w:t xml:space="preserve"> performance goals in this </w:t>
      </w:r>
      <w:r w:rsidR="006C0F99">
        <w:rPr>
          <w:rFonts w:asciiTheme="minorHAnsi" w:hAnsiTheme="minorHAnsi"/>
          <w:sz w:val="22"/>
          <w:szCs w:val="22"/>
        </w:rPr>
        <w:t>study</w:t>
      </w:r>
      <w:r w:rsidRPr="005809B0">
        <w:rPr>
          <w:rFonts w:asciiTheme="minorHAnsi" w:hAnsiTheme="minorHAnsi"/>
          <w:sz w:val="22"/>
          <w:szCs w:val="22"/>
        </w:rPr>
        <w:t xml:space="preserve"> were based on confidence interval boundaries </w:t>
      </w:r>
      <w:r w:rsidR="00FC0B3C">
        <w:rPr>
          <w:rFonts w:asciiTheme="minorHAnsi" w:hAnsiTheme="minorHAnsi"/>
          <w:sz w:val="22"/>
          <w:szCs w:val="22"/>
        </w:rPr>
        <w:t>not the</w:t>
      </w:r>
      <w:r w:rsidRPr="005809B0">
        <w:rPr>
          <w:rFonts w:asciiTheme="minorHAnsi" w:hAnsiTheme="minorHAnsi"/>
          <w:sz w:val="22"/>
          <w:szCs w:val="22"/>
        </w:rPr>
        <w:t xml:space="preserve"> pooled point estimates. For the safety endpoint, the upper confidence limit was used because</w:t>
      </w:r>
      <w:r w:rsidR="00923FF1">
        <w:rPr>
          <w:rFonts w:asciiTheme="minorHAnsi" w:hAnsiTheme="minorHAnsi"/>
          <w:sz w:val="22"/>
          <w:szCs w:val="22"/>
        </w:rPr>
        <w:t xml:space="preserve"> it </w:t>
      </w:r>
      <w:r w:rsidRPr="005809B0">
        <w:rPr>
          <w:rFonts w:asciiTheme="minorHAnsi" w:hAnsiTheme="minorHAnsi"/>
          <w:sz w:val="22"/>
          <w:szCs w:val="22"/>
        </w:rPr>
        <w:t xml:space="preserve">allows for uncertainty around the estimated historical event </w:t>
      </w:r>
      <w:r w:rsidR="00923FF1">
        <w:rPr>
          <w:rFonts w:asciiTheme="minorHAnsi" w:hAnsiTheme="minorHAnsi"/>
          <w:sz w:val="22"/>
          <w:szCs w:val="22"/>
        </w:rPr>
        <w:t>proportion</w:t>
      </w:r>
      <w:r w:rsidR="006F14B2">
        <w:rPr>
          <w:rFonts w:asciiTheme="minorHAnsi" w:hAnsiTheme="minorHAnsi"/>
          <w:sz w:val="22"/>
          <w:szCs w:val="22"/>
        </w:rPr>
        <w:fldChar w:fldCharType="begin"/>
      </w:r>
      <w:r w:rsidR="00C86E1B">
        <w:rPr>
          <w:rFonts w:asciiTheme="minorHAnsi" w:hAnsiTheme="minorHAnsi"/>
          <w:sz w:val="22"/>
          <w:szCs w:val="22"/>
        </w:rPr>
        <w:instrText xml:space="preserve"> ADDIN ZOTERO_ITEM CSL_CITATION {"citationID":"QfKuI42n","properties":{"unsorted":false,"formattedCitation":"(7,9)","plainCitation":"(7,9)","noteIndex":0},"citationItems":[{"id":32,"uris":["http://zotero.org/users/local/ebPldVBC/items/7QTQGWQJ"],"itemData":{"id":32,"type":"article-journal","abstract":"Performance goals are numerical target values pertaining to effectiveness or safety endpoints in single-arm medical device clinical studies. Typically,  performance goals are determined at the planning stage of the investigational  study under consideration based on summarized outcome information from existing  relevant clinical trials. In recent years, there is a growing interest in  leveraging real-world evidence in medical product development. In this article,  we introduce a new method for proposing performance goals by leveraging  real-world evidence. The method applies entropy balancing to address possible  patient dissimilarities between the study's target patient population and  existing real-world patients, and can take into account operation differences  between clinical studies and real-world clinical practice. An illustrative  example is provided to demonstrate how to implement the proposed method for  performance goal determination while leveraging real-world evidence.","container-title":"Statistics in medicine","DOI":"10.1002/sim.9199","ISSN":"1097-0258 0277-6715","issue":"29","journalAbbreviation":"Stat Med","language":"eng","license":"© 2021 John Wiley &amp; Sons Ltd.","page":"6577-6589","PMID":"34561895","publisher-place":"England","title":"Leveraging real-world evidence for determining performance goals for medical device studies.","volume":"40","author":[{"family":"Wang","given":"Chenguang"},{"family":"Rosner","given":"Gary L."},{"family":"Bao","given":"Tingting"},{"family":"Lu","given":"Nelson"},{"family":"Chen","given":"Wei-Chen"},{"family":"Li","given":"Heng"},{"family":"Tiwari","given":"Ram"},{"family":"Xu","given":"Yunling"},{"family":"Yue","given":"Lilly Q."}],"issued":{"date-parts":[["2021",12,20]]}}},{"id":16,"uris":["http://zotero.org/users/local/ebPldVBC/items/DQUXXI6N"],"itemData":{"id":16,"type":"article-journal","container-title":"Catheterization and Cardiovascular Interventions","page":"910–919","title":"Performance goals and endpoint assessments for clinical trials of femoropopliteal bare nitinol stents in patients with symptomatic peripheral arterial disease","volume":"69","author":[{"family":"Rocha-Singh","given":"K. J."},{"literal":"others"}],"issued":{"date-parts":[["2007"]]}}}],"schema":"https://github.com/citation-style-language/schema/raw/master/csl-citation.json"} </w:instrText>
      </w:r>
      <w:r w:rsidR="006F14B2">
        <w:rPr>
          <w:rFonts w:asciiTheme="minorHAnsi" w:hAnsiTheme="minorHAnsi"/>
          <w:sz w:val="22"/>
          <w:szCs w:val="22"/>
        </w:rPr>
        <w:fldChar w:fldCharType="separate"/>
      </w:r>
      <w:r w:rsidR="00C86E1B" w:rsidRPr="00C86E1B">
        <w:rPr>
          <w:rFonts w:ascii="Aptos" w:hAnsi="Aptos"/>
          <w:sz w:val="22"/>
        </w:rPr>
        <w:t>(7,9)</w:t>
      </w:r>
      <w:r w:rsidR="006F14B2">
        <w:rPr>
          <w:rFonts w:asciiTheme="minorHAnsi" w:hAnsiTheme="minorHAnsi"/>
          <w:sz w:val="22"/>
          <w:szCs w:val="22"/>
        </w:rPr>
        <w:fldChar w:fldCharType="end"/>
      </w:r>
      <w:r w:rsidRPr="005809B0">
        <w:rPr>
          <w:rFonts w:asciiTheme="minorHAnsi" w:hAnsiTheme="minorHAnsi"/>
          <w:sz w:val="22"/>
          <w:szCs w:val="22"/>
        </w:rPr>
        <w:t xml:space="preserve">. For the efficacy endpoint, the lower confidence limit was used because </w:t>
      </w:r>
      <w:r w:rsidR="00923FF1">
        <w:rPr>
          <w:rFonts w:asciiTheme="minorHAnsi" w:hAnsiTheme="minorHAnsi"/>
          <w:sz w:val="22"/>
          <w:szCs w:val="22"/>
        </w:rPr>
        <w:t>it allows for greater uncertainty around the estimated success proportion</w:t>
      </w:r>
      <w:r w:rsidR="006F14B2">
        <w:rPr>
          <w:rFonts w:asciiTheme="minorHAnsi" w:hAnsiTheme="minorHAnsi"/>
          <w:sz w:val="22"/>
          <w:szCs w:val="22"/>
        </w:rPr>
        <w:fldChar w:fldCharType="begin"/>
      </w:r>
      <w:r w:rsidR="00C86E1B">
        <w:rPr>
          <w:rFonts w:asciiTheme="minorHAnsi" w:hAnsiTheme="minorHAnsi"/>
          <w:sz w:val="22"/>
          <w:szCs w:val="22"/>
        </w:rPr>
        <w:instrText xml:space="preserve"> ADDIN ZOTERO_ITEM CSL_CITATION {"citationID":"zV8p9SBD","properties":{"unsorted":false,"formattedCitation":"(7,9)","plainCitation":"(7,9)","noteIndex":0},"citationItems":[{"id":32,"uris":["http://zotero.org/users/local/ebPldVBC/items/7QTQGWQJ"],"itemData":{"id":32,"type":"article-journal","abstract":"Performance goals are numerical target values pertaining to effectiveness or safety endpoints in single-arm medical device clinical studies. Typically,  performance goals are determined at the planning stage of the investigational  study under consideration based on summarized outcome information from existing  relevant clinical trials. In recent years, there is a growing interest in  leveraging real-world evidence in medical product development. In this article,  we introduce a new method for proposing performance goals by leveraging  real-world evidence. The method applies entropy balancing to address possible  patient dissimilarities between the study's target patient population and  existing real-world patients, and can take into account operation differences  between clinical studies and real-world clinical practice. An illustrative  example is provided to demonstrate how to implement the proposed method for  performance goal determination while leveraging real-world evidence.","container-title":"Statistics in medicine","DOI":"10.1002/sim.9199","ISSN":"1097-0258 0277-6715","issue":"29","journalAbbreviation":"Stat Med","language":"eng","license":"© 2021 John Wiley &amp; Sons Ltd.","page":"6577-6589","PMID":"34561895","publisher-place":"England","title":"Leveraging real-world evidence for determining performance goals for medical device studies.","volume":"40","author":[{"family":"Wang","given":"Chenguang"},{"family":"Rosner","given":"Gary L."},{"family":"Bao","given":"Tingting"},{"family":"Lu","given":"Nelson"},{"family":"Chen","given":"Wei-Chen"},{"family":"Li","given":"Heng"},{"family":"Tiwari","given":"Ram"},{"family":"Xu","given":"Yunling"},{"family":"Yue","given":"Lilly Q."}],"issued":{"date-parts":[["2021",12,20]]}}},{"id":16,"uris":["http://zotero.org/users/local/ebPldVBC/items/DQUXXI6N"],"itemData":{"id":16,"type":"article-journal","container-title":"Catheterization and Cardiovascular Interventions","page":"910–919","title":"Performance goals and endpoint assessments for clinical trials of femoropopliteal bare nitinol stents in patients with symptomatic peripheral arterial disease","volume":"69","author":[{"family":"Rocha-Singh","given":"K. J."},{"literal":"others"}],"issued":{"date-parts":[["2007"]]}}}],"schema":"https://github.com/citation-style-language/schema/raw/master/csl-citation.json"} </w:instrText>
      </w:r>
      <w:r w:rsidR="006F14B2">
        <w:rPr>
          <w:rFonts w:asciiTheme="minorHAnsi" w:hAnsiTheme="minorHAnsi"/>
          <w:sz w:val="22"/>
          <w:szCs w:val="22"/>
        </w:rPr>
        <w:fldChar w:fldCharType="separate"/>
      </w:r>
      <w:r w:rsidR="00C86E1B" w:rsidRPr="00C86E1B">
        <w:rPr>
          <w:rFonts w:ascii="Aptos" w:hAnsi="Aptos"/>
          <w:sz w:val="22"/>
        </w:rPr>
        <w:t>(7,9)</w:t>
      </w:r>
      <w:r w:rsidR="006F14B2">
        <w:rPr>
          <w:rFonts w:asciiTheme="minorHAnsi" w:hAnsiTheme="minorHAnsi"/>
          <w:sz w:val="22"/>
          <w:szCs w:val="22"/>
        </w:rPr>
        <w:fldChar w:fldCharType="end"/>
      </w:r>
      <w:r w:rsidR="00923FF1">
        <w:rPr>
          <w:rFonts w:asciiTheme="minorHAnsi" w:hAnsiTheme="minorHAnsi"/>
          <w:sz w:val="22"/>
          <w:szCs w:val="22"/>
        </w:rPr>
        <w:t xml:space="preserve">. </w:t>
      </w:r>
    </w:p>
    <w:p w14:paraId="4CF9545A" w14:textId="77777777" w:rsidR="004B1419" w:rsidRPr="00C86E1B" w:rsidRDefault="004B1419" w:rsidP="005809B0">
      <w:pPr>
        <w:pStyle w:val="NormalWeb"/>
        <w:rPr>
          <w:rFonts w:asciiTheme="minorHAnsi" w:hAnsiTheme="minorHAnsi"/>
          <w:sz w:val="22"/>
          <w:szCs w:val="22"/>
          <w:highlight w:val="magenta"/>
        </w:rPr>
      </w:pPr>
    </w:p>
    <w:p w14:paraId="318D62E8" w14:textId="0D6BA0C1" w:rsidR="00D03B3E" w:rsidRDefault="001744AD" w:rsidP="004A3582">
      <w:pPr>
        <w:pStyle w:val="Heading1"/>
        <w:numPr>
          <w:ilvl w:val="0"/>
          <w:numId w:val="4"/>
        </w:numPr>
        <w:spacing w:line="276" w:lineRule="auto"/>
      </w:pPr>
      <w:bookmarkStart w:id="26" w:name="_Toc232114706"/>
      <w:r>
        <w:t>Methods</w:t>
      </w:r>
      <w:bookmarkEnd w:id="26"/>
    </w:p>
    <w:p w14:paraId="61B8A007" w14:textId="321D2BBB" w:rsidR="001B3D1E" w:rsidRDefault="00D47EA4" w:rsidP="00D47EA4">
      <w:pPr>
        <w:pStyle w:val="Heading2"/>
      </w:pPr>
      <w:bookmarkStart w:id="27" w:name="_Toc232114707"/>
      <w:r>
        <w:t xml:space="preserve">4.1 </w:t>
      </w:r>
      <w:r w:rsidR="001B3D1E">
        <w:t>Simulation Study</w:t>
      </w:r>
      <w:bookmarkEnd w:id="27"/>
    </w:p>
    <w:p w14:paraId="152DE4C4" w14:textId="76F6C502" w:rsidR="00AF16DD" w:rsidRPr="00AF16DD" w:rsidRDefault="000F0B7E" w:rsidP="00AF16DD">
      <w:pPr>
        <w:spacing w:line="276" w:lineRule="auto"/>
      </w:pPr>
      <w:r w:rsidRPr="000F0B7E">
        <w:t>To evaluate the confidence interval methods introduced in Section 2.3, a simulation study was designed following the approach of Pires and Amado (2008). The aim was to compare coverage probability and expected interval width across a range of true event proportions and sample sizes, before applying these methods within the performance goal framework.</w:t>
      </w:r>
      <w:r w:rsidR="00206CD7">
        <w:fldChar w:fldCharType="begin"/>
      </w:r>
      <w:r w:rsidR="00FA228E">
        <w:instrText xml:space="preserve"> ADDIN ZOTERO_ITEM CSL_CITATION {"citationID":"wImkgUzb","properties":{"unsorted":false,"formattedCitation":"(22)","plainCitation":"(22)","noteIndex":0},"citationItems":[{"id":54,"uris":["http://zotero.org/users/local/ebPldVBC/items/BPNCJX2D"],"itemData":{"id":54,"type":"article-journal","container-title":"REVSTAT-Statistical Journal","ISSN":"2183-0371","issue":"2","journalAbbreviation":"REVSTAT-Statistical Journal","page":"165-197","title":"Interval estimators for a binomial proportion: Comparison of twenty methods","volume":"6","author":[{"family":"Pires","given":"Ana M"},{"family":"Amado","given":"Conceiçao"}],"issued":{"date-parts":[["2008"]]}}}],"schema":"https://github.com/citation-style-language/schema/raw/master/csl-citation.json"} </w:instrText>
      </w:r>
      <w:r w:rsidR="00206CD7">
        <w:fldChar w:fldCharType="separate"/>
      </w:r>
      <w:r w:rsidR="00FA228E" w:rsidRPr="00FA228E">
        <w:rPr>
          <w:rFonts w:ascii="Aptos" w:hAnsi="Aptos"/>
        </w:rPr>
        <w:t>(22)</w:t>
      </w:r>
      <w:r w:rsidR="00206CD7">
        <w:fldChar w:fldCharType="end"/>
      </w:r>
      <w:r w:rsidR="00AF16DD" w:rsidRPr="00AF16DD">
        <w:t>.</w:t>
      </w:r>
    </w:p>
    <w:p w14:paraId="1CADFFA2" w14:textId="7C030D13" w:rsidR="00AF16DD" w:rsidRDefault="000F0B7E" w:rsidP="00AF16DD">
      <w:pPr>
        <w:spacing w:line="276" w:lineRule="auto"/>
      </w:pPr>
      <w:r w:rsidRPr="000F0B7E">
        <w:t>For each scenario, the number of observed events was assumed to follow a binomial distribution,</w:t>
      </w:r>
    </w:p>
    <w:p w14:paraId="37F35E49" w14:textId="351EAE2C" w:rsidR="00507D1E" w:rsidRPr="000F0B7E" w:rsidRDefault="00507D1E" w:rsidP="00AF16DD">
      <w:pPr>
        <w:spacing w:line="276" w:lineRule="auto"/>
        <w:rPr>
          <w:rFonts w:eastAsiaTheme="minorEastAsia"/>
        </w:rPr>
      </w:pPr>
      <m:oMathPara>
        <m:oMath>
          <m:r>
            <w:rPr>
              <w:rFonts w:ascii="Cambria Math" w:hAnsi="Cambria Math"/>
            </w:rPr>
            <m:t>X∼Binomial(n,p)</m:t>
          </m:r>
        </m:oMath>
      </m:oMathPara>
    </w:p>
    <w:p w14:paraId="3012E212" w14:textId="77777777" w:rsidR="000F0B7E" w:rsidRDefault="000F0B7E" w:rsidP="00AF16DD">
      <w:pPr>
        <w:spacing w:line="276" w:lineRule="auto"/>
      </w:pPr>
    </w:p>
    <w:p w14:paraId="3116DF15" w14:textId="43F47BA1" w:rsidR="00AF16DD" w:rsidRPr="00AF16DD" w:rsidRDefault="000F0B7E" w:rsidP="00AF16DD">
      <w:pPr>
        <w:spacing w:line="276" w:lineRule="auto"/>
      </w:pPr>
      <w:r w:rsidRPr="000F0B7E">
        <w:lastRenderedPageBreak/>
        <w:t xml:space="preserve">where </w:t>
      </w:r>
      <m:oMath>
        <m:r>
          <w:rPr>
            <w:rFonts w:ascii="Cambria Math" w:hAnsi="Cambria Math"/>
          </w:rPr>
          <m:t xml:space="preserve">X </m:t>
        </m:r>
      </m:oMath>
      <w:r w:rsidRPr="000F0B7E">
        <w:t xml:space="preserve">is the number of observed events, </w:t>
      </w:r>
      <m:oMath>
        <m:r>
          <w:rPr>
            <w:rFonts w:ascii="Cambria Math" w:hAnsi="Cambria Math"/>
          </w:rPr>
          <m:t>n</m:t>
        </m:r>
      </m:oMath>
      <w:r w:rsidRPr="000F0B7E">
        <w:t xml:space="preserve"> is the sample size and </w:t>
      </w:r>
      <m:oMath>
        <m:r>
          <w:rPr>
            <w:rFonts w:ascii="Cambria Math" w:hAnsi="Cambria Math"/>
          </w:rPr>
          <m:t>p</m:t>
        </m:r>
      </m:oMath>
      <w:r w:rsidRPr="000F0B7E">
        <w:t xml:space="preserve"> is the true underlying event probability</w:t>
      </w:r>
      <w:r>
        <w:t xml:space="preserve"> </w:t>
      </w:r>
      <w:r w:rsidR="00206CD7">
        <w:fldChar w:fldCharType="begin"/>
      </w:r>
      <w:r w:rsidR="00206CD7">
        <w:instrText xml:space="preserve"> ADDIN ZOTERO_ITEM CSL_CITATION {"citationID":"q97VxQyr","properties":{"unsorted":false,"formattedCitation":"(17)","plainCitation":"(17)","noteIndex":0},"citationItems":[{"id":43,"uris":["http://zotero.org/users/local/ebPldVBC/items/H9KC5ZVH"],"itemData":{"id":43,"type":"article-journal","abstract":"[We revisit the problem of interval estimation of a binomial proportion. The erratic behavior of the coverage probability of the standard Wald confidence interval has previously been remarked on in the literature (Blyth and Still, Agresti and Coull, Santner and others). We begin by showing that the chaotic coverage properties of the Wald interval are far more persistent than is appreciated. Furthermore, common textbook prescriptions regarding its safety are misleading and defective in several respects and cannot be trusted. This leads us to consideration of alternative intervals. A number of natural alternatives are presented, each with its motivation and context. Each interval is examined for its coverage probability and its length. Based on this analysis, we recommend the Wilson interval or the equal-tailed Jeffreys prior interval for small n and the interval suggested in Agresti and Coull for larger n. We also provide an additional frequentist justification for use of the Jeffreys interval.]","archive":"JSTOR","container-title":"Statistical Science","ISSN":"08834237, 21688745","issue":"2","page":"101-117","publisher":"Institute of Mathematical Statistics","title":"Interval Estimation for a Binomial Proportion","volume":"16","author":[{"family":"Brown","given":"Lawrence D."},{"family":"Cai","given":"T. Tony"},{"family":"DasGupta","given":"Anirban"}],"issued":{"date-parts":[["2001"]]}}}],"schema":"https://github.com/citation-style-language/schema/raw/master/csl-citation.json"} </w:instrText>
      </w:r>
      <w:r w:rsidR="00206CD7">
        <w:fldChar w:fldCharType="separate"/>
      </w:r>
      <w:r w:rsidR="00206CD7" w:rsidRPr="00206CD7">
        <w:rPr>
          <w:rFonts w:ascii="Aptos" w:hAnsi="Aptos"/>
        </w:rPr>
        <w:t>(17)</w:t>
      </w:r>
      <w:r w:rsidR="00206CD7">
        <w:fldChar w:fldCharType="end"/>
      </w:r>
      <w:r w:rsidR="00AF16DD" w:rsidRPr="00AF16DD">
        <w:t xml:space="preserve">. </w:t>
      </w:r>
      <w:r w:rsidRPr="000F0B7E">
        <w:t xml:space="preserve">Rather than evaluating performance at a single fixed proportion, a grid of true proportions was used so that interval behaviour could be examined across a range of clinically plausible event rates. Given that the </w:t>
      </w:r>
      <w:proofErr w:type="spellStart"/>
      <w:r w:rsidRPr="000F0B7E">
        <w:t>BioMimics</w:t>
      </w:r>
      <w:proofErr w:type="spellEnd"/>
      <w:r w:rsidRPr="000F0B7E">
        <w:t xml:space="preserve"> 3D endpoints involve either low complication rates or high success rates, the simulation focused on the range</w:t>
      </w:r>
      <w:r w:rsidR="00206CD7">
        <w:fldChar w:fldCharType="begin"/>
      </w:r>
      <w:r w:rsidR="00FA228E">
        <w:instrText xml:space="preserve"> ADDIN ZOTERO_ITEM CSL_CITATION {"citationID":"mdPNRYhl","properties":{"unsorted":false,"formattedCitation":"(17,22)","plainCitation":"(17,22)","noteIndex":0},"citationItems":[{"id":43,"uris":["http://zotero.org/users/local/ebPldVBC/items/H9KC5ZVH"],"itemData":{"id":43,"type":"article-journal","abstract":"[We revisit the problem of interval estimation of a binomial proportion. The erratic behavior of the coverage probability of the standard Wald confidence interval has previously been remarked on in the literature (Blyth and Still, Agresti and Coull, Santner and others). We begin by showing that the chaotic coverage properties of the Wald interval are far more persistent than is appreciated. Furthermore, common textbook prescriptions regarding its safety are misleading and defective in several respects and cannot be trusted. This leads us to consideration of alternative intervals. A number of natural alternatives are presented, each with its motivation and context. Each interval is examined for its coverage probability and its length. Based on this analysis, we recommend the Wilson interval or the equal-tailed Jeffreys prior interval for small n and the interval suggested in Agresti and Coull for larger n. We also provide an additional frequentist justification for use of the Jeffreys interval.]","archive":"JSTOR","container-title":"Statistical Science","ISSN":"08834237, 21688745","issue":"2","page":"101-117","publisher":"Institute of Mathematical Statistics","title":"Interval Estimation for a Binomial Proportion","volume":"16","author":[{"family":"Brown","given":"Lawrence D."},{"family":"Cai","given":"T. Tony"},{"family":"DasGupta","given":"Anirban"}],"issued":{"date-parts":[["2001"]]}}},{"id":54,"uris":["http://zotero.org/users/local/ebPldVBC/items/BPNCJX2D"],"itemData":{"id":54,"type":"article-journal","container-title":"REVSTAT-Statistical Journal","ISSN":"2183-0371","issue":"2","journalAbbreviation":"REVSTAT-Statistical Journal","page":"165-197","title":"Interval estimators for a binomial proportion: Comparison of twenty methods","volume":"6","author":[{"family":"Pires","given":"Ana M"},{"family":"Amado","given":"Conceiçao"}],"issued":{"date-parts":[["2008"]]}}}],"schema":"https://github.com/citation-style-language/schema/raw/master/csl-citation.json"} </w:instrText>
      </w:r>
      <w:r w:rsidR="00206CD7">
        <w:fldChar w:fldCharType="separate"/>
      </w:r>
      <w:r w:rsidR="00FA228E" w:rsidRPr="00FA228E">
        <w:rPr>
          <w:rFonts w:ascii="Aptos" w:hAnsi="Aptos"/>
        </w:rPr>
        <w:t>(17,22)</w:t>
      </w:r>
      <w:r w:rsidR="00206CD7">
        <w:fldChar w:fldCharType="end"/>
      </w:r>
      <w:r w:rsidR="00AF16DD" w:rsidRPr="00AF16DD">
        <w:t>.</w:t>
      </w:r>
    </w:p>
    <w:p w14:paraId="55790085" w14:textId="77777777" w:rsidR="00AF16DD" w:rsidRPr="00AF16DD" w:rsidRDefault="00AF16DD" w:rsidP="00AF16DD">
      <w:pPr>
        <w:spacing w:line="276" w:lineRule="auto"/>
      </w:pPr>
      <w:r w:rsidRPr="00AF16DD">
        <w:t>The simulation grid was defined as:</w:t>
      </w:r>
    </w:p>
    <w:p w14:paraId="1C3C16A9" w14:textId="1FD6D2E7" w:rsidR="00507D1E" w:rsidRPr="000F0B7E" w:rsidRDefault="00507D1E" w:rsidP="00AF16DD">
      <w:pPr>
        <w:spacing w:line="276" w:lineRule="auto"/>
        <w:rPr>
          <w:rFonts w:eastAsiaTheme="minorEastAsia"/>
        </w:rPr>
      </w:pPr>
      <m:oMathPara>
        <m:oMath>
          <m:r>
            <w:rPr>
              <w:rFonts w:ascii="Cambria Math" w:hAnsi="Cambria Math"/>
            </w:rPr>
            <m:t>p∈{0.001,0.002,…,0.200}</m:t>
          </m:r>
        </m:oMath>
      </m:oMathPara>
    </w:p>
    <w:p w14:paraId="2DFB5D65" w14:textId="77777777" w:rsidR="009448EA" w:rsidRDefault="009448EA" w:rsidP="00AF16DD">
      <w:pPr>
        <w:spacing w:line="276" w:lineRule="auto"/>
      </w:pPr>
    </w:p>
    <w:p w14:paraId="5D1A33DA" w14:textId="77777777" w:rsidR="000F0B7E" w:rsidRDefault="000F0B7E" w:rsidP="00AF16DD">
      <w:pPr>
        <w:spacing w:line="276" w:lineRule="auto"/>
      </w:pPr>
      <w:r w:rsidRPr="000F0B7E">
        <w:t>Methods were evaluated at three sample sizes, n = 20, 50 and 100, reflecting the small to moderate study sizes typical of single-arm performance goal studies</w:t>
      </w:r>
      <w:r w:rsidR="00206CD7">
        <w:fldChar w:fldCharType="begin"/>
      </w:r>
      <w:r w:rsidR="00206CD7">
        <w:instrText xml:space="preserve"> ADDIN ZOTERO_ITEM CSL_CITATION {"citationID":"GAPaEfBK","properties":{"unsorted":false,"formattedCitation":"(7,8)","plainCitation":"(7,8)","noteIndex":0},"citationItems":[{"id":32,"uris":["http://zotero.org/users/local/ebPldVBC/items/7QTQGWQJ"],"itemData":{"id":32,"type":"article-journal","abstract":"Performance goals are numerical target values pertaining to effectiveness or safety endpoints in single-arm medical device clinical studies. Typically,  performance goals are determined at the planning stage of the investigational  study under consideration based on summarized outcome information from existing  relevant clinical trials. In recent years, there is a growing interest in  leveraging real-world evidence in medical product development. In this article,  we introduce a new method for proposing performance goals by leveraging  real-world evidence. The method applies entropy balancing to address possible  patient dissimilarities between the study's target patient population and  existing real-world patients, and can take into account operation differences  between clinical studies and real-world clinical practice. An illustrative  example is provided to demonstrate how to implement the proposed method for  performance goal determination while leveraging real-world evidence.","container-title":"Statistics in medicine","DOI":"10.1002/sim.9199","ISSN":"1097-0258 0277-6715","issue":"29","journalAbbreviation":"Stat Med","language":"eng","license":"© 2021 John Wiley &amp; Sons Ltd.","page":"6577-6589","PMID":"34561895","publisher-place":"England","title":"Leveraging real-world evidence for determining performance goals for medical device studies.","volume":"40","author":[{"family":"Wang","given":"Chenguang"},{"family":"Rosner","given":"Gary L."},{"family":"Bao","given":"Tingting"},{"family":"Lu","given":"Nelson"},{"family":"Chen","given":"Wei-Chen"},{"family":"Li","given":"Heng"},{"family":"Tiwari","given":"Ram"},{"family":"Xu","given":"Yunling"},{"family":"Yue","given":"Lilly Q."}],"issued":{"date-parts":[["2021",12,20]]}}},{"id":20,"uris":["http://zotero.org/users/local/ebPldVBC/items/4GQAW2H3"],"itemData":{"id":20,"type":"article-journal","abstract":"Although randomised controlled trials are considered the gold standard in clinical research, they are not always feasible due to limitations in the study  population, challenges in obtaining evidence, high costs and ethical  considerations. As a result, single-arm trial designs have emerged as one of the  methods to address these issues. Single-arm trials are commonly applied to study  advanced-stage cancer, rare diseases, emerging infectious diseases, new treatment  methods and medical devices. Single-arm trials have certain ethical advantages  over randomised controlled trials, such as providing equitable treatment,  respecting patient preferences, addressing rare diseases and timely management of  adverse events. While single-arm trials do not adhere to the principles of  randomisation and blinding in terms of scientific rigour, they still incorporate  principles of control, balance and replication, making the design scientifically  reasonable. Compared with randomised controlled trials, single-arm trials require  fewer sample sizes and have shorter trial durations, which can help save costs.  Compared with cohort studies, single-arm trials involve intervention measures and  reduce external interference, resulting in higher levels of evidence. However,  single-arm trials also have limitations. Without a parallel control group, there  may be biases in interpreting the results. In addition, single-arm trials cannot  meet the requirements of randomisation and blinding, thereby limiting their  evidence capacity compared with randomised controlled trials. Therefore,  researchers consider using single-arm trials as a trial design method only when  randomised controlled trials are not feasible.","container-title":"BMJ supportive &amp; palliative care","DOI":"10.1136/spcare-2024-004984","ISSN":"2045-4368 2045-435X","issue":"1","journalAbbreviation":"BMJ Support Palliat Care","language":"eng","license":"© Author(s) (or their employer(s)) 2025. Re-use permitted under CC BY-NC. No commercial re-use. See rights and permissions. Published by BMJ Group.","page":"46-54","PMID":"38834238","PMCID":"PMC11874317","publisher-place":"England","title":"Single-arm clinical trials: design, ethics, principles.","volume":"15","author":[{"family":"Wang","given":"Minyan"},{"family":"Ma","given":"Huan"},{"family":"Shi","given":"Yun"},{"family":"Ni","given":"Haojie"},{"family":"Qin","given":"Chu"},{"family":"Ji","given":"Conghua"}],"issued":{"date-parts":[["2024",12,25]]}}}],"schema":"https://github.com/citation-style-language/schema/raw/master/csl-citation.json"} </w:instrText>
      </w:r>
      <w:r w:rsidR="00206CD7">
        <w:fldChar w:fldCharType="separate"/>
      </w:r>
      <w:r w:rsidR="00206CD7" w:rsidRPr="00206CD7">
        <w:rPr>
          <w:rFonts w:ascii="Aptos" w:hAnsi="Aptos"/>
        </w:rPr>
        <w:t>(7,8)</w:t>
      </w:r>
      <w:r w:rsidR="00206CD7">
        <w:fldChar w:fldCharType="end"/>
      </w:r>
      <w:r w:rsidR="00AF16DD" w:rsidRPr="00AF16DD">
        <w:t>.</w:t>
      </w:r>
    </w:p>
    <w:p w14:paraId="27609288" w14:textId="053244B3" w:rsidR="00AF16DD" w:rsidRPr="00AF16DD" w:rsidRDefault="000F0B7E" w:rsidP="00AF16DD">
      <w:pPr>
        <w:spacing w:line="276" w:lineRule="auto"/>
      </w:pPr>
      <w:r w:rsidRPr="000F0B7E">
        <w:t xml:space="preserve">For each combination of </w:t>
      </w:r>
      <m:oMath>
        <m:r>
          <w:rPr>
            <w:rFonts w:ascii="Cambria Math" w:hAnsi="Cambria Math"/>
          </w:rPr>
          <m:t>n</m:t>
        </m:r>
      </m:oMath>
      <w:r w:rsidRPr="000F0B7E">
        <w:t xml:space="preserve">, </w:t>
      </w:r>
      <m:oMath>
        <m:r>
          <w:rPr>
            <w:rFonts w:ascii="Cambria Math" w:hAnsi="Cambria Math"/>
          </w:rPr>
          <m:t>p</m:t>
        </m:r>
      </m:oMath>
      <w:r w:rsidRPr="000F0B7E">
        <w:t xml:space="preserve"> and confidence interval method, the confidence limits were calculated across all possible values of </w:t>
      </w:r>
      <m:oMath>
        <m:r>
          <w:rPr>
            <w:rFonts w:ascii="Cambria Math" w:hAnsi="Cambria Math"/>
          </w:rPr>
          <m:t>X</m:t>
        </m:r>
      </m:oMath>
      <w:r w:rsidRPr="000F0B7E">
        <w:t>. Two operating characteristics were then used to assess performance: coverage probability and expected interval width</w:t>
      </w:r>
      <w:r w:rsidR="00206CD7">
        <w:fldChar w:fldCharType="begin"/>
      </w:r>
      <w:r w:rsidR="00FA228E">
        <w:instrText xml:space="preserve"> ADDIN ZOTERO_ITEM CSL_CITATION {"citationID":"n77n390R","properties":{"unsorted":false,"formattedCitation":"(17,22)","plainCitation":"(17,22)","noteIndex":0},"citationItems":[{"id":43,"uris":["http://zotero.org/users/local/ebPldVBC/items/H9KC5ZVH"],"itemData":{"id":43,"type":"article-journal","abstract":"[We revisit the problem of interval estimation of a binomial proportion. The erratic behavior of the coverage probability of the standard Wald confidence interval has previously been remarked on in the literature (Blyth and Still, Agresti and Coull, Santner and others). We begin by showing that the chaotic coverage properties of the Wald interval are far more persistent than is appreciated. Furthermore, common textbook prescriptions regarding its safety are misleading and defective in several respects and cannot be trusted. This leads us to consideration of alternative intervals. A number of natural alternatives are presented, each with its motivation and context. Each interval is examined for its coverage probability and its length. Based on this analysis, we recommend the Wilson interval or the equal-tailed Jeffreys prior interval for small n and the interval suggested in Agresti and Coull for larger n. We also provide an additional frequentist justification for use of the Jeffreys interval.]","archive":"JSTOR","container-title":"Statistical Science","ISSN":"08834237, 21688745","issue":"2","page":"101-117","publisher":"Institute of Mathematical Statistics","title":"Interval Estimation for a Binomial Proportion","volume":"16","author":[{"family":"Brown","given":"Lawrence D."},{"family":"Cai","given":"T. Tony"},{"family":"DasGupta","given":"Anirban"}],"issued":{"date-parts":[["2001"]]}}},{"id":54,"uris":["http://zotero.org/users/local/ebPldVBC/items/BPNCJX2D"],"itemData":{"id":54,"type":"article-journal","container-title":"REVSTAT-Statistical Journal","ISSN":"2183-0371","issue":"2","journalAbbreviation":"REVSTAT-Statistical Journal","page":"165-197","title":"Interval estimators for a binomial proportion: Comparison of twenty methods","volume":"6","author":[{"family":"Pires","given":"Ana M"},{"family":"Amado","given":"Conceiçao"}],"issued":{"date-parts":[["2008"]]}}}],"schema":"https://github.com/citation-style-language/schema/raw/master/csl-citation.json"} </w:instrText>
      </w:r>
      <w:r w:rsidR="00206CD7">
        <w:fldChar w:fldCharType="separate"/>
      </w:r>
      <w:r w:rsidR="00FA228E" w:rsidRPr="00FA228E">
        <w:rPr>
          <w:rFonts w:ascii="Aptos" w:hAnsi="Aptos"/>
        </w:rPr>
        <w:t>(17,22)</w:t>
      </w:r>
      <w:r w:rsidR="00206CD7">
        <w:fldChar w:fldCharType="end"/>
      </w:r>
      <w:r w:rsidR="00AF16DD" w:rsidRPr="00AF16DD">
        <w:t>.</w:t>
      </w:r>
    </w:p>
    <w:p w14:paraId="3EE241F3" w14:textId="738C4730" w:rsidR="00AF16DD" w:rsidRPr="00AF16DD" w:rsidRDefault="000F0B7E" w:rsidP="00AF16DD">
      <w:pPr>
        <w:spacing w:line="276" w:lineRule="auto"/>
      </w:pPr>
      <w:r w:rsidRPr="000F0B7E">
        <w:t>Coverage probability is the probability that the constructed interval contains the true value of p</w:t>
      </w:r>
      <m:oMath>
        <m:r>
          <w:rPr>
            <w:rFonts w:ascii="Cambria Math" w:hAnsi="Cambria Math"/>
            <w:i/>
          </w:rPr>
          <w:fldChar w:fldCharType="begin"/>
        </m:r>
        <m:r>
          <m:rPr>
            <m:sty m:val="p"/>
          </m:rPr>
          <w:rPr>
            <w:rFonts w:ascii="Cambria Math" w:hAnsi="Cambria Math"/>
          </w:rPr>
          <m:t xml:space="preserve"> ADDIN ZOTERO_ITEM CSL_CITATION {"citationID":"k1wKYbxf","properties":{"unsorted":false,"formattedCitation":"(17)","plainCitation":"(17)","noteIndex":0},"citationItems":[{"id":43,"uris":["http://zotero.org/users/local/ebPldVBC/items/H9KC5ZVH"],"itemData":{"id":43,"type":"article-journal","abstract":"[We revisit the problem of interval estimation of a binomial proportion. The erratic behavior of the coverage probability of the standard Wald confidence interval has previously been remarked on in the literature (Blyth and Still, Agresti and Coull, Santner and others). We begin by showing that the chaotic coverage properties of the Wald interval are far more persistent than is appreciated. Furthermore, common textbook prescriptions regarding its safety are misleading and defective in several respects and cannot be trusted. This leads us to consideration of alternative intervals. A number of natural alternatives are presented, each with its motivation and context. Each interval is examined for its coverage probability and its length. Based on this analysis, we recommend the Wilson interval or the equal-tailed Jeffreys prior interval for small n and the interval suggested in Agresti and Coull for larger n. We also provide an additional frequentist justification for use of the Jeffreys interval.]","archive":"JSTOR","container-title":"Statistical Science","ISSN":"08834237, 21688745","issue":"2","page":"101-117","publisher":"Institute of Mathematical Statistics","title":"Interval Estimation for a Binomial Proportion","volume":"16","author":[{"family":"Brown","given":"Lawrence D."},{"family":"Cai","given":"T. Tony"},{"family":"DasGupta","given":"Anirban"}],"issued":{"date-parts":[["2001"]]}}}],"schema":"https://github.com/citation-style-language/schema/raw/master/csl-citation.json"} </m:t>
        </m:r>
        <m:r>
          <w:rPr>
            <w:rFonts w:ascii="Cambria Math" w:hAnsi="Cambria Math"/>
            <w:i/>
          </w:rPr>
          <w:fldChar w:fldCharType="separate"/>
        </m:r>
        <m:r>
          <m:rPr>
            <m:sty m:val="p"/>
          </m:rPr>
          <w:rPr>
            <w:rFonts w:ascii="Cambria Math" w:hAnsi="Cambria Math"/>
          </w:rPr>
          <m:t>(17)</m:t>
        </m:r>
        <m:r>
          <w:rPr>
            <w:rFonts w:ascii="Cambria Math" w:hAnsi="Cambria Math"/>
            <w:i/>
          </w:rPr>
          <w:fldChar w:fldCharType="end"/>
        </m:r>
      </m:oMath>
      <w:r>
        <w:rPr>
          <w:rFonts w:eastAsiaTheme="minorEastAsia"/>
        </w:rPr>
        <w:t>,</w:t>
      </w:r>
    </w:p>
    <w:p w14:paraId="4FEFA8E9" w14:textId="398114CF" w:rsidR="000F0B7E" w:rsidRPr="00AF2784" w:rsidRDefault="00507D1E" w:rsidP="00AF16DD">
      <w:pPr>
        <w:spacing w:line="276" w:lineRule="auto"/>
        <w:rPr>
          <w:rFonts w:eastAsiaTheme="minorEastAsia"/>
        </w:rPr>
      </w:pPr>
      <m:oMathPara>
        <m:oMath>
          <m:r>
            <w:rPr>
              <w:rFonts w:ascii="Cambria Math" w:hAnsi="Cambria Math"/>
            </w:rPr>
            <m:t>CP(p)=Pp​(L(X,n)≤p≤U(X,n))</m:t>
          </m:r>
        </m:oMath>
      </m:oMathPara>
    </w:p>
    <w:p w14:paraId="57FEED4A" w14:textId="77777777" w:rsidR="00AF2784" w:rsidRDefault="00AF2784" w:rsidP="00AF16DD">
      <w:pPr>
        <w:spacing w:line="276" w:lineRule="auto"/>
        <w:rPr>
          <w:rFonts w:eastAsiaTheme="minorEastAsia"/>
        </w:rPr>
      </w:pPr>
    </w:p>
    <w:p w14:paraId="3FF18FD9" w14:textId="1425DB70" w:rsidR="001333DF" w:rsidRDefault="00AF2784" w:rsidP="00AF2784">
      <w:pPr>
        <w:spacing w:line="276" w:lineRule="auto"/>
        <w:rPr>
          <w:rFonts w:eastAsiaTheme="minorEastAsia"/>
        </w:rPr>
      </w:pPr>
      <w:r w:rsidRPr="00AF2784">
        <w:rPr>
          <w:rFonts w:eastAsiaTheme="minorEastAsia"/>
        </w:rPr>
        <w:t xml:space="preserve">where </w:t>
      </w:r>
      <m:oMath>
        <m:r>
          <w:rPr>
            <w:rFonts w:ascii="Cambria Math" w:eastAsiaTheme="minorEastAsia" w:hAnsi="Cambria Math"/>
          </w:rPr>
          <m:t>L(X, n)</m:t>
        </m:r>
      </m:oMath>
      <w:r w:rsidRPr="00AF2784">
        <w:rPr>
          <w:rFonts w:eastAsiaTheme="minorEastAsia"/>
        </w:rPr>
        <w:t xml:space="preserve"> and </w:t>
      </w:r>
      <m:oMath>
        <m:r>
          <w:rPr>
            <w:rFonts w:ascii="Cambria Math" w:eastAsiaTheme="minorEastAsia" w:hAnsi="Cambria Math"/>
          </w:rPr>
          <m:t>U(X, n)</m:t>
        </m:r>
      </m:oMath>
      <w:r w:rsidRPr="00AF2784">
        <w:rPr>
          <w:rFonts w:eastAsiaTheme="minorEastAsia"/>
        </w:rPr>
        <w:t xml:space="preserve"> are the lower and upper confidence limits. Since the target nominal level was 95%, a well-performing method should produce coverage close to 0.95 across the evaluated range. To summarise behaviour across the full grid, both the average coverage probability and the minimum coverage probability were recorded. The average captures typical performance, while the minimum identifies whether any method fell substantially below the nominal level at specific values of </w:t>
      </w:r>
      <m:oMath>
        <m:r>
          <w:rPr>
            <w:rFonts w:ascii="Cambria Math" w:eastAsiaTheme="minorEastAsia" w:hAnsi="Cambria Math"/>
          </w:rPr>
          <m:t>p</m:t>
        </m:r>
      </m:oMath>
      <w:r w:rsidRPr="00AF2784">
        <w:rPr>
          <w:rFonts w:eastAsiaTheme="minorEastAsia"/>
        </w:rPr>
        <w:t>.</w:t>
      </w:r>
    </w:p>
    <w:p w14:paraId="64720879" w14:textId="5A67701B" w:rsidR="00E73DC7" w:rsidRPr="00E73DC7" w:rsidRDefault="00E73DC7" w:rsidP="00AF2784">
      <w:pPr>
        <w:spacing w:line="276" w:lineRule="auto"/>
        <w:rPr>
          <w:rFonts w:eastAsiaTheme="minorEastAsia"/>
        </w:rPr>
      </w:pPr>
      <m:oMathPara>
        <m:oMath>
          <m:r>
            <w:rPr>
              <w:rFonts w:ascii="Cambria Math" w:eastAsiaTheme="minorEastAsia" w:hAnsi="Cambria Math"/>
            </w:rPr>
            <m:t>Ep​</m:t>
          </m:r>
          <m:d>
            <m:dPr>
              <m:begChr m:val="["/>
              <m:endChr m:val="]"/>
              <m:ctrlPr>
                <w:rPr>
                  <w:rFonts w:ascii="Cambria Math" w:eastAsiaTheme="minorEastAsia" w:hAnsi="Cambria Math"/>
                  <w:i/>
                </w:rPr>
              </m:ctrlPr>
            </m:dPr>
            <m:e>
              <m:r>
                <w:rPr>
                  <w:rFonts w:ascii="Cambria Math" w:eastAsiaTheme="minorEastAsia" w:hAnsi="Cambria Math"/>
                </w:rPr>
                <m:t>W</m:t>
              </m:r>
              <m:d>
                <m:dPr>
                  <m:ctrlPr>
                    <w:rPr>
                      <w:rFonts w:ascii="Cambria Math" w:eastAsiaTheme="minorEastAsia" w:hAnsi="Cambria Math"/>
                      <w:i/>
                    </w:rPr>
                  </m:ctrlPr>
                </m:dPr>
                <m:e>
                  <m:r>
                    <w:rPr>
                      <w:rFonts w:ascii="Cambria Math" w:eastAsiaTheme="minorEastAsia" w:hAnsi="Cambria Math"/>
                    </w:rPr>
                    <m:t>X,n</m:t>
                  </m:r>
                </m:e>
              </m:d>
            </m:e>
          </m:d>
          <m:r>
            <w:rPr>
              <w:rFonts w:ascii="Cambria Math" w:eastAsiaTheme="minorEastAsia" w:hAnsi="Cambria Math"/>
            </w:rPr>
            <m:t>=x=0∑n​</m:t>
          </m:r>
          <m:d>
            <m:dPr>
              <m:begChr m:val="{"/>
              <m:endChr m:val="}"/>
              <m:ctrlPr>
                <w:rPr>
                  <w:rFonts w:ascii="Cambria Math" w:eastAsiaTheme="minorEastAsia" w:hAnsi="Cambria Math"/>
                  <w:i/>
                </w:rPr>
              </m:ctrlPr>
            </m:dPr>
            <m:e>
              <m:r>
                <w:rPr>
                  <w:rFonts w:ascii="Cambria Math" w:eastAsiaTheme="minorEastAsia" w:hAnsi="Cambria Math"/>
                </w:rPr>
                <m:t>U</m:t>
              </m:r>
              <m:d>
                <m:dPr>
                  <m:ctrlPr>
                    <w:rPr>
                      <w:rFonts w:ascii="Cambria Math" w:eastAsiaTheme="minorEastAsia" w:hAnsi="Cambria Math"/>
                      <w:i/>
                    </w:rPr>
                  </m:ctrlPr>
                </m:dPr>
                <m:e>
                  <m:r>
                    <w:rPr>
                      <w:rFonts w:ascii="Cambria Math" w:eastAsiaTheme="minorEastAsia" w:hAnsi="Cambria Math"/>
                    </w:rPr>
                    <m:t>x,n</m:t>
                  </m:r>
                </m:e>
              </m:d>
              <m:r>
                <w:rPr>
                  <w:rFonts w:ascii="Cambria Math" w:eastAsiaTheme="minorEastAsia" w:hAnsi="Cambria Math"/>
                </w:rPr>
                <m:t>-L</m:t>
              </m:r>
              <m:d>
                <m:dPr>
                  <m:ctrlPr>
                    <w:rPr>
                      <w:rFonts w:ascii="Cambria Math" w:eastAsiaTheme="minorEastAsia" w:hAnsi="Cambria Math"/>
                      <w:i/>
                    </w:rPr>
                  </m:ctrlPr>
                </m:dPr>
                <m:e>
                  <m:r>
                    <w:rPr>
                      <w:rFonts w:ascii="Cambria Math" w:eastAsiaTheme="minorEastAsia" w:hAnsi="Cambria Math"/>
                    </w:rPr>
                    <m:t>x,n</m:t>
                  </m:r>
                </m:e>
              </m:d>
            </m:e>
          </m:d>
          <m:d>
            <m:dPr>
              <m:ctrlPr>
                <w:rPr>
                  <w:rFonts w:ascii="Cambria Math" w:eastAsiaTheme="minorEastAsia" w:hAnsi="Cambria Math"/>
                  <w:i/>
                </w:rPr>
              </m:ctrlPr>
            </m:dPr>
            <m:e>
              <m:r>
                <w:rPr>
                  <w:rFonts w:ascii="Cambria Math" w:eastAsiaTheme="minorEastAsia" w:hAnsi="Cambria Math"/>
                </w:rPr>
                <m:t>xn​</m:t>
              </m:r>
            </m:e>
          </m:d>
          <m:r>
            <w:rPr>
              <w:rFonts w:ascii="Cambria Math" w:eastAsiaTheme="minorEastAsia" w:hAnsi="Cambria Math"/>
            </w:rPr>
            <m:t>px</m:t>
          </m:r>
          <m:d>
            <m:dPr>
              <m:ctrlPr>
                <w:rPr>
                  <w:rFonts w:ascii="Cambria Math" w:eastAsiaTheme="minorEastAsia" w:hAnsi="Cambria Math"/>
                  <w:i/>
                </w:rPr>
              </m:ctrlPr>
            </m:dPr>
            <m:e>
              <m:r>
                <w:rPr>
                  <w:rFonts w:ascii="Cambria Math" w:eastAsiaTheme="minorEastAsia" w:hAnsi="Cambria Math"/>
                </w:rPr>
                <m:t>1-p</m:t>
              </m:r>
            </m:e>
          </m:d>
          <m:r>
            <w:rPr>
              <w:rFonts w:ascii="Cambria Math" w:eastAsiaTheme="minorEastAsia" w:hAnsi="Cambria Math"/>
            </w:rPr>
            <m:t>n-x</m:t>
          </m:r>
        </m:oMath>
      </m:oMathPara>
    </w:p>
    <w:p w14:paraId="546064A0" w14:textId="77777777" w:rsidR="00E73DC7" w:rsidRPr="00E73DC7" w:rsidRDefault="00E73DC7" w:rsidP="00AF2784">
      <w:pPr>
        <w:spacing w:line="276" w:lineRule="auto"/>
        <w:rPr>
          <w:rFonts w:eastAsiaTheme="minorEastAsia"/>
        </w:rPr>
      </w:pPr>
    </w:p>
    <w:p w14:paraId="4C1E8309" w14:textId="77777777" w:rsidR="001333DF" w:rsidRDefault="001333DF" w:rsidP="001333DF">
      <w:pPr>
        <w:spacing w:line="276" w:lineRule="auto"/>
        <w:rPr>
          <w:rFonts w:eastAsiaTheme="minorEastAsia"/>
        </w:rPr>
      </w:pPr>
      <w:r w:rsidRPr="001333DF">
        <w:rPr>
          <w:rFonts w:eastAsiaTheme="minorEastAsia"/>
        </w:rPr>
        <w:t>and averaged across the simulation grid to give an overall summary of interval length for each method.</w:t>
      </w:r>
    </w:p>
    <w:p w14:paraId="744D2190" w14:textId="09636957" w:rsidR="00E73DC7" w:rsidRDefault="00E73DC7" w:rsidP="001333DF">
      <w:pPr>
        <w:spacing w:line="276" w:lineRule="auto"/>
        <w:rPr>
          <w:rFonts w:eastAsiaTheme="minorEastAsia"/>
        </w:rPr>
      </w:pPr>
      <m:oMathPara>
        <m:oMath>
          <m:r>
            <w:rPr>
              <w:rFonts w:ascii="Cambria Math" w:eastAsiaTheme="minorEastAsia" w:hAnsi="Cambria Math"/>
            </w:rPr>
            <m:t>Wˉ=m1​j=1∑m​Epj​​[W(X,n)]</m:t>
          </m:r>
        </m:oMath>
      </m:oMathPara>
    </w:p>
    <w:p w14:paraId="5D072A90" w14:textId="77777777" w:rsidR="006803C8" w:rsidRPr="001333DF" w:rsidRDefault="006803C8" w:rsidP="001333DF">
      <w:pPr>
        <w:spacing w:line="276" w:lineRule="auto"/>
        <w:rPr>
          <w:rFonts w:eastAsiaTheme="minorEastAsia"/>
        </w:rPr>
      </w:pPr>
    </w:p>
    <w:p w14:paraId="4995C5C3" w14:textId="36CF4585" w:rsidR="001333DF" w:rsidRPr="001333DF" w:rsidRDefault="001333DF" w:rsidP="001333DF">
      <w:pPr>
        <w:spacing w:line="276" w:lineRule="auto"/>
        <w:rPr>
          <w:rFonts w:eastAsiaTheme="minorEastAsia"/>
        </w:rPr>
      </w:pPr>
      <w:r w:rsidRPr="001333DF">
        <w:rPr>
          <w:rFonts w:eastAsiaTheme="minorEastAsia"/>
        </w:rPr>
        <w:t>Results were summarised graphically. Coverage probability was plotted against the true proportion p for each method and sample size, with a dashed reference line at the nominal 95% level. Combined plots were also produced to allow direct comparison across methods on the same axes. A second set of plots compared average coverage probability against average expected interval width, providing a summary of the trade-off between reliability and precision for each method. The findings from this simulation informed the selection of confidence interval methods used in the sample size calculations in Section 4.2.</w:t>
      </w:r>
    </w:p>
    <w:p w14:paraId="04127B23" w14:textId="77777777" w:rsidR="001333DF" w:rsidRDefault="001333DF" w:rsidP="00AF2784">
      <w:pPr>
        <w:spacing w:line="276" w:lineRule="auto"/>
        <w:rPr>
          <w:rFonts w:eastAsiaTheme="minorEastAsia"/>
        </w:rPr>
      </w:pPr>
    </w:p>
    <w:p w14:paraId="119CA5FC" w14:textId="17BC226F" w:rsidR="00FC44E3" w:rsidRDefault="00DB425B" w:rsidP="00FC44E3">
      <w:pPr>
        <w:pStyle w:val="Heading2"/>
      </w:pPr>
      <w:bookmarkStart w:id="28" w:name="_Toc232114708"/>
      <w:r>
        <w:lastRenderedPageBreak/>
        <w:t xml:space="preserve">4.2 </w:t>
      </w:r>
      <w:r w:rsidR="001B3D1E">
        <w:t>Sample Size Calculation</w:t>
      </w:r>
      <w:bookmarkEnd w:id="28"/>
    </w:p>
    <w:p w14:paraId="271C8508" w14:textId="3E7DB25A" w:rsidR="00D65B2B" w:rsidRPr="00D65B2B" w:rsidRDefault="00D65B2B" w:rsidP="00D65B2B">
      <w:pPr>
        <w:spacing w:line="276" w:lineRule="auto"/>
      </w:pPr>
      <w:r w:rsidRPr="00D65B2B">
        <w:t xml:space="preserve">Sample size calculations were carried out for the </w:t>
      </w:r>
      <w:proofErr w:type="spellStart"/>
      <w:r w:rsidRPr="00D65B2B">
        <w:t>BioMimics</w:t>
      </w:r>
      <w:proofErr w:type="spellEnd"/>
      <w:r w:rsidRPr="00D65B2B">
        <w:t xml:space="preserve"> 3D case study using the single-arm performance goal framework described in Section 2.4</w:t>
      </w:r>
      <w:r>
        <w:fldChar w:fldCharType="begin"/>
      </w:r>
      <w:r>
        <w:instrText xml:space="preserve"> ADDIN ZOTERO_ITEM CSL_CITATION {"citationID":"qJ7URCUQ","properties":{"unsorted":false,"formattedCitation":"(7,9)","plainCitation":"(7,9)","noteIndex":0},"citationItems":[{"id":32,"uris":["http://zotero.org/users/local/ebPldVBC/items/7QTQGWQJ"],"itemData":{"id":32,"type":"article-journal","abstract":"Performance goals are numerical target values pertaining to effectiveness or safety endpoints in single-arm medical device clinical studies. Typically,  performance goals are determined at the planning stage of the investigational  study under consideration based on summarized outcome information from existing  relevant clinical trials. In recent years, there is a growing interest in  leveraging real-world evidence in medical product development. In this article,  we introduce a new method for proposing performance goals by leveraging  real-world evidence. The method applies entropy balancing to address possible  patient dissimilarities between the study's target patient population and  existing real-world patients, and can take into account operation differences  between clinical studies and real-world clinical practice. An illustrative  example is provided to demonstrate how to implement the proposed method for  performance goal determination while leveraging real-world evidence.","container-title":"Statistics in medicine","DOI":"10.1002/sim.9199","ISSN":"1097-0258 0277-6715","issue":"29","journalAbbreviation":"Stat Med","language":"eng","license":"© 2021 John Wiley &amp; Sons Ltd.","page":"6577-6589","PMID":"34561895","publisher-place":"England","title":"Leveraging real-world evidence for determining performance goals for medical device studies.","volume":"40","author":[{"family":"Wang","given":"Chenguang"},{"family":"Rosner","given":"Gary L."},{"family":"Bao","given":"Tingting"},{"family":"Lu","given":"Nelson"},{"family":"Chen","given":"Wei-Chen"},{"family":"Li","given":"Heng"},{"family":"Tiwari","given":"Ram"},{"family":"Xu","given":"Yunling"},{"family":"Yue","given":"Lilly Q."}],"issued":{"date-parts":[["2021",12,20]]}}},{"id":16,"uris":["http://zotero.org/users/local/ebPldVBC/items/DQUXXI6N"],"itemData":{"id":16,"type":"article-journal","container-title":"Catheterization and Cardiovascular Interventions","page":"910–919","title":"Performance goals and endpoint assessments for clinical trials of femoropopliteal bare nitinol stents in patients with symptomatic peripheral arterial disease","volume":"69","author":[{"family":"Rocha-Singh","given":"K. J."},{"literal":"others"}],"issued":{"date-parts":[["2007"]]}}}],"schema":"https://github.com/citation-style-language/schema/raw/master/csl-citation.json"} </w:instrText>
      </w:r>
      <w:r>
        <w:fldChar w:fldCharType="separate"/>
      </w:r>
      <w:r w:rsidRPr="00D65B2B">
        <w:rPr>
          <w:rFonts w:ascii="Aptos" w:hAnsi="Aptos"/>
        </w:rPr>
        <w:t>(7,9)</w:t>
      </w:r>
      <w:r>
        <w:fldChar w:fldCharType="end"/>
      </w:r>
      <w:r w:rsidRPr="00D65B2B">
        <w:t xml:space="preserve">. </w:t>
      </w:r>
      <w:r w:rsidRPr="00D65B2B">
        <w:t>The performance goal values</w:t>
      </w:r>
      <w:r w:rsidRPr="00D65B2B">
        <w:t xml:space="preserve"> assumed true event proportion and endpoint were determined from the meta-analysis and clinical discussions described in Sections 3.1 and 3.3, with results reported in Section 5.2.</w:t>
      </w:r>
    </w:p>
    <w:p w14:paraId="0C283C8E" w14:textId="15F67E9E" w:rsidR="00D65B2B" w:rsidRPr="00D65B2B" w:rsidRDefault="00D65B2B" w:rsidP="00D65B2B">
      <w:pPr>
        <w:spacing w:line="276" w:lineRule="auto"/>
      </w:pPr>
      <w:r w:rsidRPr="00D65B2B">
        <w:t>A target power of 90% was used throughout, which is conventional in medical device studies where 80% power, common in pharmaceutical trials, is considered insufficient to support a regulatory submission</w:t>
      </w:r>
      <w:r>
        <w:fldChar w:fldCharType="begin"/>
      </w:r>
      <w:r w:rsidR="00FA228E">
        <w:instrText xml:space="preserve"> ADDIN ZOTERO_ITEM CSL_CITATION {"citationID":"8AbmrvNk","properties":{"unsorted":false,"formattedCitation":"(13,16,24,31)","plainCitation":"(13,16,24,31)","noteIndex":0},"citationItems":[{"id":38,"uris":["http://zotero.org/users/local/ebPldVBC/items/4KW5E62I"],"itemData":{"id":38,"type":"book","ISBN":"1-315-18308-0","publisher":"chapman and hall/CRC","title":"Sample size calculations in clinical research","author":[{"family":"Chow","given":"Shein-Chung"},{"family":"Shao","given":"Jun"},{"family":"Wang","given":"Hansheng"},{"family":"Lokhnygina","given":"Yuliya"}],"issued":{"date-parts":[["2017"]]}}},{"id":37,"uris":["http://zotero.org/users/local/ebPldVBC/items/APGW42QD"],"itemData":{"id":37,"type":"article-journal","abstract":"Sample size determination is an essential step in planning a clinical study. It is critical to understand that different study designs need different methods of sample size estimation. Although there is a vast literature discussing sample size estimation, incorrect or improper formulas continue to be applied. This article reviews basic statistical concepts in sample size estimation, discusses statistical considerations in the choice of a sample size for randomized controlled trials and observational studies, and provides strategies for reducing sample size when planning a study. To assist clinical researchers in performing sample size calculations, we have developed an online calculator for common clinical study designs. The calculator is available at http://riskcalc.org:3838/samplesize/. Finally, we offer our recommendations on reporting sample size determination in clinical studies.","container-title":"An Overview of Study Design and Statistical Considerations","DOI":"10.1016/j.chest.2020.03.010","ISSN":"0012-3692","issue":"1, Supplement","journalAbbreviation":"Chest","page":"S12-S20","title":"Sample Size Estimation in Clinical Research: From Randomized Controlled Trials to Observational Studies","volume":"158","author":[{"family":"Wang","given":"Xiaofeng"},{"family":"Ji","given":"Xinge"}],"issued":{"date-parts":[["2020",7,1]]}}},{"id":50,"uris":["http://zotero.org/users/local/ebPldVBC/items/LY97CCPP"],"itemData":{"id":50,"type":"article-journal","container-title":"Statistics in medicine","ISSN":"0277-6715","issue":"12","journalAbbreviation":"Statistics in medicine","page":"1921-1986","publisher":"Wiley Online Library","title":"Sample sizes for clinical trials with normal data","volume":"23","author":[{"family":"Julious","given":"Steven A"}],"issued":{"date-parts":[["2004"]]}}},{"id":59,"uris":["http://zotero.org/users/local/ebPldVBC/items/CEGYXA59"],"itemData":{"id":59,"type":"article-journal","container-title":"Maryland: US Food and Drug Administration","journalAbbreviation":"Maryland: US Food and Drug Administration","title":"Guidance for the use of Bayesian statistics in medical device clinical trials","author":[{"literal":"US Food and Drug Administration"}],"issued":{"date-parts":[["2010"]]}}}],"schema":"https://github.com/citation-style-language/schema/raw/master/csl-citation.json"} </w:instrText>
      </w:r>
      <w:r>
        <w:fldChar w:fldCharType="separate"/>
      </w:r>
      <w:r w:rsidR="00FA228E" w:rsidRPr="00FA228E">
        <w:rPr>
          <w:rFonts w:ascii="Aptos" w:hAnsi="Aptos"/>
        </w:rPr>
        <w:t>(13,16,24,31)</w:t>
      </w:r>
      <w:r>
        <w:fldChar w:fldCharType="end"/>
      </w:r>
      <w:r w:rsidRPr="00D65B2B">
        <w:t xml:space="preserve">. A one-sided significance level of </w:t>
      </w:r>
      <m:oMath>
        <m:r>
          <w:rPr>
            <w:rFonts w:ascii="Cambria Math" w:hAnsi="Cambria Math"/>
          </w:rPr>
          <m:t>α=0.025</m:t>
        </m:r>
      </m:oMath>
      <w:r>
        <w:rPr>
          <w:rFonts w:eastAsiaTheme="minorEastAsia"/>
        </w:rPr>
        <w:t xml:space="preserve"> </w:t>
      </w:r>
      <w:r w:rsidRPr="00D65B2B">
        <w:t>was used, corresponding to a 95% one-sided confidence interval and consistent with the decision rule framework described in Section 2.2</w:t>
      </w:r>
      <w:r w:rsidR="0091762B">
        <w:fldChar w:fldCharType="begin"/>
      </w:r>
      <w:r w:rsidR="00FA228E">
        <w:instrText xml:space="preserve"> ADDIN ZOTERO_ITEM CSL_CITATION {"citationID":"Ja7A8tJg","properties":{"unsorted":false,"formattedCitation":"(3,31)","plainCitation":"(3,31)","noteIndex":0},"citationItems":[{"id":31,"uris":["http://zotero.org/users/local/ebPldVBC/items/2MBTWGM4"],"itemData":{"id":31,"type":"article-journal","abstract":"A noninferiority trial is designed to demonstrate that an experimental therapy is not worse than an active control. Although noninferiority trials are  superficially similar to conventional superiority trials, there are fundamental  differences. In particular, aspects of a study that make the therapies appear  more similar than they actually are can falsely bias the study toward  demonstrating noninferiority. This has important implications for methodologic  techniques such as blinding and statistical analysis based on the  intention-to-treat principle. When applying the results of noninferiority trials,  clinicians should be judicious in determining whether the degree of  noninferiority demonstrated is clinically acceptable and whether the ancillary  benefits of the treatment justify its use.","container-title":"Open medicine : a peer-reviewed, independent, open-access journal","ISSN":"1911-2092","issue":"2","journalAbbreviation":"Open Med","language":"eng","page":"e67-72","PMID":"25009686","PMCID":"PMC4085087","publisher-place":"Canada","title":"A clinician's guide to the assessment and interpretation of noninferiority trials for novel therapies.","volume":"8","author":[{"family":"Oczkowski","given":"Simon J. W."}],"issued":{"date-parts":[["2014"]]}}},{"id":59,"uris":["http://zotero.org/users/local/ebPldVBC/items/CEGYXA59"],"itemData":{"id":59,"type":"article-journal","container-title":"Maryland: US Food and Drug Administration","journalAbbreviation":"Maryland: US Food and Drug Administration","title":"Guidance for the use of Bayesian statistics in medical device clinical trials","author":[{"literal":"US Food and Drug Administration"}],"issued":{"date-parts":[["2010"]]}}}],"schema":"https://github.com/citation-style-language/schema/raw/master/csl-citation.json"} </w:instrText>
      </w:r>
      <w:r w:rsidR="0091762B">
        <w:fldChar w:fldCharType="separate"/>
      </w:r>
      <w:r w:rsidR="00FA228E" w:rsidRPr="00FA228E">
        <w:rPr>
          <w:rFonts w:ascii="Aptos" w:hAnsi="Aptos"/>
        </w:rPr>
        <w:t>(3,31)</w:t>
      </w:r>
      <w:r w:rsidR="0091762B">
        <w:fldChar w:fldCharType="end"/>
      </w:r>
      <w:r w:rsidRPr="00D65B2B">
        <w:t>.</w:t>
      </w:r>
    </w:p>
    <w:p w14:paraId="6A06D809" w14:textId="17FDBD14" w:rsidR="00DB425B" w:rsidRDefault="0091762B" w:rsidP="0091762B">
      <w:pPr>
        <w:spacing w:line="276" w:lineRule="auto"/>
      </w:pPr>
      <w:r w:rsidRPr="0091762B">
        <w:t>Sample size was determined through simulation rather than closed-form calculation, as exact analytical solutions are not always available when the confidence interval method forms part of the decision rule</w:t>
      </w:r>
      <w:r>
        <w:fldChar w:fldCharType="begin"/>
      </w:r>
      <w:r>
        <w:instrText xml:space="preserve"> ADDIN ZOTERO_ITEM CSL_CITATION {"citationID":"eJfLpQLS","properties":{"unsorted":false,"formattedCitation":"(13,17,19)","plainCitation":"(13,17,19)","noteIndex":0},"citationItems":[{"id":38,"uris":["http://zotero.org/users/local/ebPldVBC/items/4KW5E62I"],"itemData":{"id":38,"type":"book","ISBN":"1-315-18308-0","publisher":"chapman and hall/CRC","title":"Sample size calculations in clinical research","author":[{"family":"Chow","given":"Shein-Chung"},{"family":"Shao","given":"Jun"},{"family":"Wang","given":"Hansheng"},{"family":"Lokhnygina","given":"Yuliya"}],"issued":{"date-parts":[["2017"]]}}},{"id":43,"uris":["http://zotero.org/users/local/ebPldVBC/items/H9KC5ZVH"],"itemData":{"id":43,"type":"article-journal","abstract":"[We revisit the problem of interval estimation of a binomial proportion. The erratic behavior of the coverage probability of the standard Wald confidence interval has previously been remarked on in the literature (Blyth and Still, Agresti and Coull, Santner and others). We begin by showing that the chaotic coverage properties of the Wald interval are far more persistent than is appreciated. Furthermore, common textbook prescriptions regarding its safety are misleading and defective in several respects and cannot be trusted. This leads us to consideration of alternative intervals. A number of natural alternatives are presented, each with its motivation and context. Each interval is examined for its coverage probability and its length. Based on this analysis, we recommend the Wilson interval or the equal-tailed Jeffreys prior interval for small n and the interval suggested in Agresti and Coull for larger n. We also provide an additional frequentist justification for use of the Jeffreys interval.]","archive":"JSTOR","container-title":"Statistical Science","ISSN":"08834237, 21688745","issue":"2","page":"101-117","publisher":"Institute of Mathematical Statistics","title":"Interval Estimation for a Binomial Proportion","volume":"16","author":[{"family":"Brown","given":"Lawrence D."},{"family":"Cai","given":"T. Tony"},{"family":"DasGupta","given":"Anirban"}],"issued":{"date-parts":[["2001"]]}}},{"id":47,"uris":["http://zotero.org/users/local/ebPldVBC/items/9R42W4LB"],"itemData":{"id":47,"type":"article-journal","container-title":"The American Statistician","ISSN":"0003-1305","issue":"2","journalAbbreviation":"The American Statistician","page":"119-126","publisher":"Taylor &amp; Francis","title":"Approximate is better than “exact” for interval estimation of binomial proportions","volume":"52","author":[{"family":"Agresti","given":"Alan"},{"family":"Coull","given":"Brent A"}],"issued":{"date-parts":[["1998"]]}}}],"schema":"https://github.com/citation-style-language/schema/raw/master/csl-citation.json"} </w:instrText>
      </w:r>
      <w:r>
        <w:fldChar w:fldCharType="separate"/>
      </w:r>
      <w:r w:rsidRPr="0091762B">
        <w:rPr>
          <w:rFonts w:ascii="Aptos" w:hAnsi="Aptos"/>
        </w:rPr>
        <w:t>(13,17,19)</w:t>
      </w:r>
      <w:r>
        <w:fldChar w:fldCharType="end"/>
      </w:r>
      <w:r w:rsidRPr="0091762B">
        <w:t>. Simulation provides a flexible alternative that mirrors the planned primary analysis directly and is the approach implemented in PG-Power, described in Section 4.3.</w:t>
      </w:r>
    </w:p>
    <w:p w14:paraId="4CB504C9" w14:textId="77777777" w:rsidR="0091762B" w:rsidRDefault="0091762B" w:rsidP="0091762B">
      <w:pPr>
        <w:spacing w:line="276" w:lineRule="auto"/>
      </w:pPr>
    </w:p>
    <w:p w14:paraId="5EEDBF00" w14:textId="362DD28A" w:rsidR="001B3D1E" w:rsidRDefault="00631AD0" w:rsidP="00631AD0">
      <w:pPr>
        <w:pStyle w:val="Heading2"/>
      </w:pPr>
      <w:bookmarkStart w:id="29" w:name="_Toc232114709"/>
      <w:r>
        <w:t xml:space="preserve">4.3 </w:t>
      </w:r>
      <w:r w:rsidR="001B3D1E">
        <w:t>Shiny Application</w:t>
      </w:r>
      <w:r w:rsidR="008E7621">
        <w:t>: PG-Power</w:t>
      </w:r>
      <w:bookmarkEnd w:id="29"/>
    </w:p>
    <w:p w14:paraId="18AF367B" w14:textId="6FA131C9" w:rsidR="0091762B" w:rsidRPr="0091762B" w:rsidRDefault="0091762B" w:rsidP="0091762B">
      <w:r w:rsidRPr="0091762B">
        <w:t xml:space="preserve">PG-Power is an interactive R Shiny application developed as part of this thesis to implement the simulation-based sample size framework described in Section 4.2 for single-arm performance goal studies. For each candidate sample size, the application simulates a large number of trials under the assumed true event proportion, applies the selected confidence interval method, and estimates power as the proportion of simulated trials satisfying the performance goal rule. The smallest </w:t>
      </w:r>
      <m:oMath>
        <m:r>
          <w:rPr>
            <w:rFonts w:ascii="Cambria Math" w:hAnsi="Cambria Math"/>
          </w:rPr>
          <m:t>n</m:t>
        </m:r>
      </m:oMath>
      <w:r w:rsidRPr="0091762B">
        <w:t>achieving the target power is returned as the required sample size.</w:t>
      </w:r>
    </w:p>
    <w:p w14:paraId="14C9D9DD" w14:textId="77777777" w:rsidR="0091762B" w:rsidRPr="0091762B" w:rsidRDefault="0091762B" w:rsidP="0091762B">
      <w:r w:rsidRPr="0091762B">
        <w:t xml:space="preserve">The application was used to carry out the </w:t>
      </w:r>
      <w:proofErr w:type="spellStart"/>
      <w:r w:rsidRPr="0091762B">
        <w:t>BioMimics</w:t>
      </w:r>
      <w:proofErr w:type="spellEnd"/>
      <w:r w:rsidRPr="0091762B">
        <w:t xml:space="preserve"> 3D sample size calculations and to compare the six confidence interval methods introduced in Section 2.3 under the same design assumptions, allowing the effect of interval choice on required sample size and achieved power to be examined consistently. Results are reported in Section 5.2. The full source code and documentation are available in the GitHub repository listed in the Appendix.</w:t>
      </w:r>
    </w:p>
    <w:p w14:paraId="1EA61A4E" w14:textId="77777777" w:rsidR="00246BF1" w:rsidRDefault="00246BF1" w:rsidP="00246BF1"/>
    <w:p w14:paraId="66F20579" w14:textId="08EF9FBA" w:rsidR="008E7621" w:rsidRDefault="00631AD0" w:rsidP="00631AD0">
      <w:pPr>
        <w:pStyle w:val="Heading2"/>
      </w:pPr>
      <w:bookmarkStart w:id="30" w:name="_Toc232114710"/>
      <w:r w:rsidRPr="00631AD0">
        <w:t xml:space="preserve">4.4 </w:t>
      </w:r>
      <w:r w:rsidR="00635FBC" w:rsidRPr="00635FBC">
        <w:t>Applying Bayesian Borrowing to the Safety Endpoin</w:t>
      </w:r>
      <w:r w:rsidR="008E4317">
        <w:t>t</w:t>
      </w:r>
      <w:bookmarkEnd w:id="30"/>
    </w:p>
    <w:p w14:paraId="337CA053" w14:textId="716DEEC1" w:rsidR="00635FBC" w:rsidRPr="00635FBC" w:rsidRDefault="00313F36" w:rsidP="00635FBC">
      <w:r w:rsidRPr="00313F36">
        <w:t>The frequentist sample size calculations in Section 4.2 made no use of the historical studies identified in Section 3.3 beyond their role in deriving the performance goal. This section examines whether formally incorporating that evidence as a prior distribution reduces the required sample size relative to the frequentist result obtained in Section 4.3</w:t>
      </w:r>
      <w:r w:rsidR="008D5607">
        <w:fldChar w:fldCharType="begin"/>
      </w:r>
      <w:r w:rsidR="00FA228E">
        <w:instrText xml:space="preserve"> ADDIN ZOTERO_ITEM CSL_CITATION {"citationID":"ptC2S5LU","properties":{"unsorted":false,"formattedCitation":"(29,31)","plainCitation":"(29,31)","noteIndex":0},"citationItems":[{"id":60,"uris":["http://zotero.org/users/local/ebPldVBC/items/3VI73HMX"],"itemData":{"id":60,"type":"article-journal","container-title":"Journal of biopharmaceutical statistics","ISSN":"1054-3406","issue":"5","journalAbbreviation":"Journal of biopharmaceutical statistics","page":"871-887","publisher":"Taylor &amp; Francis","title":"Bayesian statistics in medical devices: innovation sparked by the FDA","volume":"21","author":[{"family":"Campbell","given":"Gregory"}],"issued":{"date-parts":[["2011"]]}}},{"id":59,"uris":["http://zotero.org/users/local/ebPldVBC/items/CEGYXA59"],"itemData":{"id":59,"type":"article-journal","container-title":"Maryland: US Food and Drug Administration","journalAbbreviation":"Maryland: US Food and Drug Administration","title":"Guidance for the use of Bayesian statistics in medical device clinical trials","author":[{"literal":"US Food and Drug Administration"}],"issued":{"date-parts":[["2010"]]}}}],"schema":"https://github.com/citation-style-language/schema/raw/master/csl-citation.json"} </w:instrText>
      </w:r>
      <w:r w:rsidR="008D5607">
        <w:fldChar w:fldCharType="separate"/>
      </w:r>
      <w:r w:rsidR="00FA228E" w:rsidRPr="00FA228E">
        <w:rPr>
          <w:rFonts w:ascii="Aptos" w:hAnsi="Aptos"/>
        </w:rPr>
        <w:t>(29,31)</w:t>
      </w:r>
      <w:r w:rsidR="008D5607">
        <w:fldChar w:fldCharType="end"/>
      </w:r>
      <w:r w:rsidR="00635FBC" w:rsidRPr="00635FBC">
        <w:t>.</w:t>
      </w:r>
    </w:p>
    <w:p w14:paraId="4F1F70E2" w14:textId="1E5337D7" w:rsidR="00635FBC" w:rsidRPr="00635FBC" w:rsidRDefault="00313F36" w:rsidP="00635FBC">
      <w:r w:rsidRPr="00313F36">
        <w:t>To construct a concrete and interpretable prior, a hypothetical Phase II dataset of 50 participants with 2 observed events was used, producing a Beta(2, 48) prior with an estimated event proportion of approximately 4% and an effective sample size of 50</w:t>
      </w:r>
      <w:r w:rsidR="008D5607">
        <w:fldChar w:fldCharType="begin"/>
      </w:r>
      <w:r w:rsidR="00FA228E">
        <w:instrText xml:space="preserve"> ADDIN ZOTERO_ITEM CSL_CITATION {"citationID":"LapOdpTN","properties":{"unsorted":false,"formattedCitation":"(31)","plainCitation":"(31)","noteIndex":0},"citationItems":[{"id":59,"uris":["http://zotero.org/users/local/ebPldVBC/items/CEGYXA59"],"itemData":{"id":59,"type":"article-journal","container-title":"Maryland: US Food and Drug Administration","journalAbbreviation":"Maryland: US Food and Drug Administration","title":"Guidance for the use of Bayesian statistics in medical device clinical trials","author":[{"literal":"US Food and Drug Administration"}],"issued":{"date-parts":[["2010"]]}}}],"schema":"https://github.com/citation-style-language/schema/raw/master/csl-citation.json"} </w:instrText>
      </w:r>
      <w:r w:rsidR="008D5607">
        <w:fldChar w:fldCharType="separate"/>
      </w:r>
      <w:r w:rsidR="00FA228E" w:rsidRPr="00FA228E">
        <w:rPr>
          <w:rFonts w:ascii="Aptos" w:hAnsi="Aptos"/>
        </w:rPr>
        <w:t>(31)</w:t>
      </w:r>
      <w:r w:rsidR="008D5607">
        <w:fldChar w:fldCharType="end"/>
      </w:r>
      <w:r w:rsidR="00635FBC" w:rsidRPr="00635FBC">
        <w:t>. The choice of a hypothetical dataset rather than the historical studies directly was deliberate</w:t>
      </w:r>
      <w:r w:rsidR="008D5607">
        <w:t>,</w:t>
      </w:r>
      <w:r w:rsidR="00635FBC" w:rsidRPr="00635FBC">
        <w:t xml:space="preserve"> the meta-analysis in Section 4.1 identified wide uncertainty around the heterogeneity estimates and only three contributing studies, making a fully justified prior difficult to construct</w:t>
      </w:r>
      <w:r w:rsidR="008D5607">
        <w:fldChar w:fldCharType="begin"/>
      </w:r>
      <w:r w:rsidR="00FA228E">
        <w:instrText xml:space="preserve"> ADDIN ZOTERO_ITEM CSL_CITATION {"citationID":"qKsy1Q7H","properties":{"unsorted":false,"formattedCitation":"(30\\uc0\\u8211{}32)","plainCitation":"(30–32)","noteIndex":0},"citationItems":[{"id":61,"uris":["http://zotero.org/users/local/ebPldVBC/items/3Q2SXPRP"],"itemData":{"id":61,"type":"article-journal","container-title":"Statistical Science","ISSN":"0883-4237","journalAbbreviation":"Statistical Science","page":"46-60","publisher":"JSTOR","title":"Power prior distributions for regression models","author":[{"family":"Ibrahim","given":"Joseph G"},{"family":"Chen","given":"Ming-Hui"}],"issued":{"date-parts":[["2000"]]}}},{"id":59,"uris":["http://zotero.org/users/local/ebPldVBC/items/CEGYXA59"],"itemData":{"id":59,"type":"article-journal","container-title":"Maryland: US Food and Drug Administration","journalAbbreviation":"Maryland: US Food and Drug Administration","title":"Guidance for the use of Bayesian statistics in medical device clinical trials","author":[{"literal":"US Food and Drug Administration"}],"issued":{"date-parts":[["2010"]]}}},{"id":58,"uris":["http://zotero.org/users/local/ebPldVBC/items/XFYBFFNT"],"itemData":{"id":58,"type":"article-journal","container-title":"BMC Medical Research Methodology","ISSN":"1471-2288","issue":"1","journalAbbreviation":"BMC Medical Research Methodology","page":"78","publisher":"Springer","title":"Bayesian dynamic borrowing in group-sequential design for medical device studies","volume":"25","author":[{"family":"Chiaruttini","given":"Maria Vittoria"},{"family":"Lorenzoni","given":"Giulia"},{"family":"Gregori","given":"Dario"}],"issued":{"date-parts":[["2025"]]}}}],"schema":"https://github.com/citation-style-language/schema/raw/master/csl-citation.json"} </w:instrText>
      </w:r>
      <w:r w:rsidR="008D5607">
        <w:fldChar w:fldCharType="separate"/>
      </w:r>
      <w:r w:rsidR="00FA228E" w:rsidRPr="00FA228E">
        <w:rPr>
          <w:rFonts w:ascii="Aptos" w:hAnsi="Aptos" w:cs="Times New Roman"/>
          <w:kern w:val="0"/>
        </w:rPr>
        <w:t>(30–32)</w:t>
      </w:r>
      <w:r w:rsidR="008D5607">
        <w:fldChar w:fldCharType="end"/>
      </w:r>
      <w:r w:rsidR="00635FBC" w:rsidRPr="00635FBC">
        <w:t xml:space="preserve">. The </w:t>
      </w:r>
      <w:r w:rsidR="00635FBC" w:rsidRPr="00635FBC">
        <w:lastRenderedPageBreak/>
        <w:t>hypothetical prior therefore serves as an illustrative example of how borrowing would operate under plausible assumptions, rather than as a formal design recommendation</w:t>
      </w:r>
      <w:r w:rsidR="008D5607">
        <w:fldChar w:fldCharType="begin"/>
      </w:r>
      <w:r w:rsidR="00FA228E">
        <w:instrText xml:space="preserve"> ADDIN ZOTERO_ITEM CSL_CITATION {"citationID":"DqhqO06B","properties":{"unsorted":false,"formattedCitation":"(29,32)","plainCitation":"(29,32)","noteIndex":0},"citationItems":[{"id":60,"uris":["http://zotero.org/users/local/ebPldVBC/items/3VI73HMX"],"itemData":{"id":60,"type":"article-journal","container-title":"Journal of biopharmaceutical statistics","ISSN":"1054-3406","issue":"5","journalAbbreviation":"Journal of biopharmaceutical statistics","page":"871-887","publisher":"Taylor &amp; Francis","title":"Bayesian statistics in medical devices: innovation sparked by the FDA","volume":"21","author":[{"family":"Campbell","given":"Gregory"}],"issued":{"date-parts":[["2011"]]}}},{"id":58,"uris":["http://zotero.org/users/local/ebPldVBC/items/XFYBFFNT"],"itemData":{"id":58,"type":"article-journal","container-title":"BMC Medical Research Methodology","ISSN":"1471-2288","issue":"1","journalAbbreviation":"BMC Medical Research Methodology","page":"78","publisher":"Springer","title":"Bayesian dynamic borrowing in group-sequential design for medical device studies","volume":"25","author":[{"family":"Chiaruttini","given":"Maria Vittoria"},{"family":"Lorenzoni","given":"Giulia"},{"family":"Gregori","given":"Dario"}],"issued":{"date-parts":[["2025"]]}}}],"schema":"https://github.com/citation-style-language/schema/raw/master/csl-citation.json"} </w:instrText>
      </w:r>
      <w:r w:rsidR="008D5607">
        <w:fldChar w:fldCharType="separate"/>
      </w:r>
      <w:r w:rsidR="00FA228E" w:rsidRPr="00FA228E">
        <w:rPr>
          <w:rFonts w:ascii="Aptos" w:hAnsi="Aptos"/>
        </w:rPr>
        <w:t>(29,32)</w:t>
      </w:r>
      <w:r w:rsidR="008D5607">
        <w:fldChar w:fldCharType="end"/>
      </w:r>
      <w:r w:rsidR="00635FBC" w:rsidRPr="00635FBC">
        <w:t>.</w:t>
      </w:r>
    </w:p>
    <w:p w14:paraId="70CE307A" w14:textId="0CFE9922" w:rsidR="00631AD0" w:rsidRDefault="00635FBC" w:rsidP="00631AD0">
      <w:r w:rsidRPr="00635FBC">
        <w:t xml:space="preserve">Under the Beta-Binomial model introduced in Section 2.5, incorporating </w:t>
      </w:r>
      <m:oMath>
        <m:r>
          <w:rPr>
            <w:rFonts w:ascii="Cambria Math" w:hAnsi="Cambria Math"/>
          </w:rPr>
          <m:t>s</m:t>
        </m:r>
      </m:oMath>
      <w:r w:rsidRPr="00635FBC">
        <w:t xml:space="preserve">events and </w:t>
      </w:r>
      <m:oMath>
        <m:r>
          <w:rPr>
            <w:rFonts w:ascii="Cambria Math" w:hAnsi="Cambria Math"/>
          </w:rPr>
          <m:t>f</m:t>
        </m:r>
      </m:oMath>
      <w:r w:rsidR="00313F36">
        <w:rPr>
          <w:rFonts w:eastAsiaTheme="minorEastAsia"/>
        </w:rPr>
        <w:t xml:space="preserve"> </w:t>
      </w:r>
      <w:r w:rsidRPr="00635FBC">
        <w:t>non-events from the current trial updates the prior to</w:t>
      </w:r>
      <w:r w:rsidR="008D5607">
        <w:fldChar w:fldCharType="begin"/>
      </w:r>
      <w:r w:rsidR="00FA228E">
        <w:instrText xml:space="preserve"> ADDIN ZOTERO_ITEM CSL_CITATION {"citationID":"WPK6QRt5","properties":{"unsorted":false,"formattedCitation":"(23,31)","plainCitation":"(23,31)","noteIndex":0},"citationItems":[{"id":49,"uris":["http://zotero.org/users/local/ebPldVBC/items/WDIC986I"],"itemData":{"id":49,"type":"article-journal","title":"Harold Jeffreys’s theory of probability revisited","author":[{"family":"Robert","given":"Christian P"},{"family":"Chopin","given":"Nicolas"},{"family":"Rousseau","given":"Judith"}],"issued":{"date-parts":[["2009"]]}}},{"id":59,"uris":["http://zotero.org/users/local/ebPldVBC/items/CEGYXA59"],"itemData":{"id":59,"type":"article-journal","container-title":"Maryland: US Food and Drug Administration","journalAbbreviation":"Maryland: US Food and Drug Administration","title":"Guidance for the use of Bayesian statistics in medical device clinical trials","author":[{"literal":"US Food and Drug Administration"}],"issued":{"date-parts":[["2010"]]}}}],"schema":"https://github.com/citation-style-language/schema/raw/master/csl-citation.json"} </w:instrText>
      </w:r>
      <w:r w:rsidR="008D5607">
        <w:fldChar w:fldCharType="separate"/>
      </w:r>
      <w:r w:rsidR="00FA228E" w:rsidRPr="00FA228E">
        <w:rPr>
          <w:rFonts w:ascii="Aptos" w:hAnsi="Aptos"/>
        </w:rPr>
        <w:t>(23,31)</w:t>
      </w:r>
      <w:r w:rsidR="008D5607">
        <w:fldChar w:fldCharType="end"/>
      </w:r>
      <w:r w:rsidRPr="00635FBC">
        <w:t>:</w:t>
      </w:r>
    </w:p>
    <w:p w14:paraId="655B53E4" w14:textId="337B7EA4" w:rsidR="00635FBC" w:rsidRDefault="00635FBC" w:rsidP="00631AD0">
      <m:oMathPara>
        <m:oMath>
          <m:r>
            <w:rPr>
              <w:rFonts w:ascii="Cambria Math" w:hAnsi="Cambria Math"/>
            </w:rPr>
            <m:t>p</m:t>
          </m:r>
          <m:r>
            <w:rPr>
              <w:rFonts w:ascii="Cambria Math" w:hAnsi="Cambria Math" w:cs="Cambria Math"/>
            </w:rPr>
            <m:t>∣</m:t>
          </m:r>
          <m:r>
            <w:rPr>
              <w:rFonts w:ascii="Cambria Math" w:hAnsi="Cambria Math"/>
            </w:rPr>
            <m:t>s,f</m:t>
          </m:r>
          <m:r>
            <w:rPr>
              <w:rFonts w:ascii="Cambria Math" w:hAnsi="Cambria Math" w:cs="Cambria Math"/>
            </w:rPr>
            <m:t>∼</m:t>
          </m:r>
          <m:r>
            <w:rPr>
              <w:rFonts w:ascii="Cambria Math" w:hAnsi="Cambria Math"/>
            </w:rPr>
            <m:t>Beta(2+s,48+f)</m:t>
          </m:r>
        </m:oMath>
      </m:oMathPara>
    </w:p>
    <w:p w14:paraId="68D8682B" w14:textId="77777777" w:rsidR="00635FBC" w:rsidRDefault="00635FBC" w:rsidP="00631AD0"/>
    <w:p w14:paraId="208EB9A8" w14:textId="0EFA74D5" w:rsidR="00635FBC" w:rsidRDefault="00635FBC" w:rsidP="00631AD0">
      <w:r w:rsidRPr="00635FBC">
        <w:t>For inference, the posterior probability that the true event proportion falls below the performance goal was evaluated against a decision threshold of 0.95</w:t>
      </w:r>
      <w:r w:rsidR="008D5607">
        <w:fldChar w:fldCharType="begin"/>
      </w:r>
      <w:r w:rsidR="00FA228E">
        <w:instrText xml:space="preserve"> ADDIN ZOTERO_ITEM CSL_CITATION {"citationID":"StectdaS","properties":{"unsorted":false,"formattedCitation":"(29,31)","plainCitation":"(29,31)","noteIndex":0},"citationItems":[{"id":60,"uris":["http://zotero.org/users/local/ebPldVBC/items/3VI73HMX"],"itemData":{"id":60,"type":"article-journal","container-title":"Journal of biopharmaceutical statistics","ISSN":"1054-3406","issue":"5","journalAbbreviation":"Journal of biopharmaceutical statistics","page":"871-887","publisher":"Taylor &amp; Francis","title":"Bayesian statistics in medical devices: innovation sparked by the FDA","volume":"21","author":[{"family":"Campbell","given":"Gregory"}],"issued":{"date-parts":[["2011"]]}}},{"id":59,"uris":["http://zotero.org/users/local/ebPldVBC/items/CEGYXA59"],"itemData":{"id":59,"type":"article-journal","container-title":"Maryland: US Food and Drug Administration","journalAbbreviation":"Maryland: US Food and Drug Administration","title":"Guidance for the use of Bayesian statistics in medical device clinical trials","author":[{"literal":"US Food and Drug Administration"}],"issued":{"date-parts":[["2010"]]}}}],"schema":"https://github.com/citation-style-language/schema/raw/master/csl-citation.json"} </w:instrText>
      </w:r>
      <w:r w:rsidR="008D5607">
        <w:fldChar w:fldCharType="separate"/>
      </w:r>
      <w:r w:rsidR="00FA228E" w:rsidRPr="00FA228E">
        <w:rPr>
          <w:rFonts w:ascii="Aptos" w:hAnsi="Aptos"/>
        </w:rPr>
        <w:t>(29,31)</w:t>
      </w:r>
      <w:r w:rsidR="008D5607">
        <w:fldChar w:fldCharType="end"/>
      </w:r>
      <w:r w:rsidRPr="00635FBC">
        <w:t>:</w:t>
      </w:r>
    </w:p>
    <w:p w14:paraId="251BA01E" w14:textId="5F4F66B1" w:rsidR="00635FBC" w:rsidRDefault="00313F36" w:rsidP="00635FBC">
      <w:r w:rsidRPr="00313F36">
        <w:t>The required sample size was determined as the smallest n for which this criterion was satisfied with at least 90% probability under the assumed true event proportion of 5%, consistent with the frequentist design assumptions in Section 4.2.</w:t>
      </w:r>
      <w:r w:rsidR="002C59A7">
        <w:fldChar w:fldCharType="begin"/>
      </w:r>
      <w:r w:rsidR="00FA228E">
        <w:instrText xml:space="preserve"> ADDIN ZOTERO_ITEM CSL_CITATION {"citationID":"lDAU8tYt","properties":{"unsorted":false,"formattedCitation":"(13,31)","plainCitation":"(13,31)","noteIndex":0},"citationItems":[{"id":38,"uris":["http://zotero.org/users/local/ebPldVBC/items/4KW5E62I"],"itemData":{"id":38,"type":"book","ISBN":"1-315-18308-0","publisher":"chapman and hall/CRC","title":"Sample size calculations in clinical research","author":[{"family":"Chow","given":"Shein-Chung"},{"family":"Shao","given":"Jun"},{"family":"Wang","given":"Hansheng"},{"family":"Lokhnygina","given":"Yuliya"}],"issued":{"date-parts":[["2017"]]}}},{"id":59,"uris":["http://zotero.org/users/local/ebPldVBC/items/CEGYXA59"],"itemData":{"id":59,"type":"article-journal","container-title":"Maryland: US Food and Drug Administration","journalAbbreviation":"Maryland: US Food and Drug Administration","title":"Guidance for the use of Bayesian statistics in medical device clinical trials","author":[{"literal":"US Food and Drug Administration"}],"issued":{"date-parts":[["2010"]]}}}],"schema":"https://github.com/citation-style-language/schema/raw/master/csl-citation.json"} </w:instrText>
      </w:r>
      <w:r w:rsidR="002C59A7">
        <w:fldChar w:fldCharType="separate"/>
      </w:r>
      <w:r w:rsidR="00FA228E" w:rsidRPr="00FA228E">
        <w:rPr>
          <w:rFonts w:ascii="Aptos" w:hAnsi="Aptos"/>
        </w:rPr>
        <w:t>(13,31)</w:t>
      </w:r>
      <w:r w:rsidR="002C59A7">
        <w:fldChar w:fldCharType="end"/>
      </w:r>
      <w:r w:rsidR="00635FBC" w:rsidRPr="00635FBC">
        <w:t>.</w:t>
      </w:r>
    </w:p>
    <w:p w14:paraId="45E99BBC" w14:textId="6D0B46C5" w:rsidR="00313F36" w:rsidRPr="00635FBC" w:rsidRDefault="00313F36" w:rsidP="00635FBC">
      <w:r w:rsidRPr="00313F36">
        <w:t>To examine sensitivity to prior weight, three prior distributions were compared</w:t>
      </w:r>
      <w:r>
        <w:t>:</w:t>
      </w:r>
      <w:r w:rsidRPr="00313F36">
        <w:t xml:space="preserve"> </w:t>
      </w:r>
      <m:oMath>
        <m:r>
          <w:rPr>
            <w:rFonts w:ascii="Cambria Math" w:hAnsi="Cambria Math"/>
          </w:rPr>
          <m:t>Beta(0.2, 4.8)</m:t>
        </m:r>
      </m:oMath>
      <w:r w:rsidRPr="00313F36">
        <w:t xml:space="preserve">, </w:t>
      </w:r>
      <m:oMath>
        <m:r>
          <w:rPr>
            <w:rFonts w:ascii="Cambria Math" w:hAnsi="Cambria Math"/>
          </w:rPr>
          <m:t>Beta(2, 48)</m:t>
        </m:r>
      </m:oMath>
      <w:r w:rsidRPr="00313F36">
        <w:t xml:space="preserve"> and </w:t>
      </w:r>
      <m:oMath>
        <m:r>
          <w:rPr>
            <w:rFonts w:ascii="Cambria Math" w:hAnsi="Cambria Math"/>
          </w:rPr>
          <m:t>Beta(20, 480)</m:t>
        </m:r>
      </m:oMath>
      <w:r>
        <w:t>.</w:t>
      </w:r>
      <w:r w:rsidRPr="00313F36">
        <w:t xml:space="preserve"> </w:t>
      </w:r>
      <w:r>
        <w:t>E</w:t>
      </w:r>
      <w:r w:rsidRPr="00313F36">
        <w:t>ncoding the same event ratio of approximately 1:24 but corresponding to effective sample sizes of approximately 5, 50 and 500, representing weak, moderate and strong borrowing respectively</w:t>
      </w:r>
      <w:r>
        <w:fldChar w:fldCharType="begin"/>
      </w:r>
      <w:r w:rsidR="00FA228E">
        <w:instrText xml:space="preserve"> ADDIN ZOTERO_ITEM CSL_CITATION {"citationID":"QA6k3MrC","properties":{"unsorted":false,"formattedCitation":"(30\\uc0\\u8211{}32)","plainCitation":"(30–32)","noteIndex":0},"citationItems":[{"id":61,"uris":["http://zotero.org/users/local/ebPldVBC/items/3Q2SXPRP"],"itemData":{"id":61,"type":"article-journal","container-title":"Statistical Science","ISSN":"0883-4237","journalAbbreviation":"Statistical Science","page":"46-60","publisher":"JSTOR","title":"Power prior distributions for regression models","author":[{"family":"Ibrahim","given":"Joseph G"},{"family":"Chen","given":"Ming-Hui"}],"issued":{"date-parts":[["2000"]]}}},{"id":59,"uris":["http://zotero.org/users/local/ebPldVBC/items/CEGYXA59"],"itemData":{"id":59,"type":"article-journal","container-title":"Maryland: US Food and Drug Administration","journalAbbreviation":"Maryland: US Food and Drug Administration","title":"Guidance for the use of Bayesian statistics in medical device clinical trials","author":[{"literal":"US Food and Drug Administration"}],"issued":{"date-parts":[["2010"]]}}},{"id":58,"uris":["http://zotero.org/users/local/ebPldVBC/items/XFYBFFNT"],"itemData":{"id":58,"type":"article-journal","container-title":"BMC Medical Research Methodology","ISSN":"1471-2288","issue":"1","journalAbbreviation":"BMC Medical Research Methodology","page":"78","publisher":"Springer","title":"Bayesian dynamic borrowing in group-sequential design for medical device studies","volume":"25","author":[{"family":"Chiaruttini","given":"Maria Vittoria"},{"family":"Lorenzoni","given":"Giulia"},{"family":"Gregori","given":"Dario"}],"issued":{"date-parts":[["2025"]]}}}],"schema":"https://github.com/citation-style-language/schema/raw/master/csl-citation.json"} </w:instrText>
      </w:r>
      <w:r>
        <w:fldChar w:fldCharType="separate"/>
      </w:r>
      <w:r w:rsidR="00FA228E" w:rsidRPr="00FA228E">
        <w:rPr>
          <w:rFonts w:ascii="Aptos" w:hAnsi="Aptos" w:cs="Times New Roman"/>
          <w:kern w:val="0"/>
        </w:rPr>
        <w:t>(30–32)</w:t>
      </w:r>
      <w:r>
        <w:fldChar w:fldCharType="end"/>
      </w:r>
      <w:r w:rsidRPr="00313F36">
        <w:t>.</w:t>
      </w:r>
    </w:p>
    <w:p w14:paraId="168F3F32" w14:textId="640DA36F" w:rsidR="008E7621" w:rsidRDefault="00626153" w:rsidP="00313F36">
      <w:pPr>
        <w:pStyle w:val="Heading1"/>
        <w:numPr>
          <w:ilvl w:val="0"/>
          <w:numId w:val="4"/>
        </w:numPr>
        <w:spacing w:line="276" w:lineRule="auto"/>
      </w:pPr>
      <w:bookmarkStart w:id="31" w:name="_Toc232114711"/>
      <w:r>
        <w:t>Results</w:t>
      </w:r>
      <w:bookmarkEnd w:id="31"/>
    </w:p>
    <w:p w14:paraId="7E272A92" w14:textId="419541D3" w:rsidR="00D40556" w:rsidRDefault="00313F36" w:rsidP="00BD518F">
      <w:pPr>
        <w:pStyle w:val="Heading2"/>
      </w:pPr>
      <w:bookmarkStart w:id="32" w:name="_Toc232114712"/>
      <w:r>
        <w:t>5</w:t>
      </w:r>
      <w:r w:rsidR="00BD518F">
        <w:t xml:space="preserve">.1 </w:t>
      </w:r>
      <w:r w:rsidR="00626153">
        <w:t xml:space="preserve">Meta-Analysis </w:t>
      </w:r>
      <w:r>
        <w:t>R</w:t>
      </w:r>
      <w:r w:rsidR="00626153">
        <w:t>esults</w:t>
      </w:r>
      <w:bookmarkEnd w:id="32"/>
    </w:p>
    <w:p w14:paraId="055F1C83" w14:textId="1B266D9D" w:rsidR="0091762B" w:rsidRDefault="0091762B" w:rsidP="00986752">
      <w:pPr>
        <w:spacing w:line="276" w:lineRule="auto"/>
      </w:pPr>
      <w:r w:rsidRPr="0091762B">
        <w:t xml:space="preserve">The meta-analysis of the three femoropopliteal bare nitinol stent studies described in Section 3.3 produced pooled estimates for both endpoints. The results are summarised in </w:t>
      </w:r>
      <w:r w:rsidR="006803C8">
        <w:t>Figure</w:t>
      </w:r>
      <w:r w:rsidRPr="0091762B">
        <w:t xml:space="preserve"> </w:t>
      </w:r>
      <w:r w:rsidR="006803C8">
        <w:t>3</w:t>
      </w:r>
      <w:r w:rsidRPr="0091762B">
        <w:t xml:space="preserve"> and Figure </w:t>
      </w:r>
      <w:r w:rsidR="006803C8">
        <w:t>4</w:t>
      </w:r>
      <w:r w:rsidRPr="0091762B">
        <w:t>.</w:t>
      </w:r>
    </w:p>
    <w:p w14:paraId="09FFF4C9" w14:textId="77777777" w:rsidR="002C3AD2" w:rsidRDefault="0084261D" w:rsidP="002C3AD2">
      <w:pPr>
        <w:keepNext/>
        <w:spacing w:line="276" w:lineRule="auto"/>
        <w:jc w:val="center"/>
      </w:pPr>
      <w:r>
        <w:rPr>
          <w:noProof/>
        </w:rPr>
        <w:drawing>
          <wp:inline distT="0" distB="0" distL="0" distR="0" wp14:anchorId="5CD8403E" wp14:editId="43B84F14">
            <wp:extent cx="6188442" cy="2293620"/>
            <wp:effectExtent l="0" t="0" r="3175" b="0"/>
            <wp:docPr id="156488610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886103" name="Picture 9"/>
                    <pic:cNvPicPr/>
                  </pic:nvPicPr>
                  <pic:blipFill>
                    <a:blip r:embed="rId11">
                      <a:extLst>
                        <a:ext uri="{28A0092B-C50C-407E-A947-70E740481C1C}">
                          <a14:useLocalDpi xmlns:a14="http://schemas.microsoft.com/office/drawing/2010/main" val="0"/>
                        </a:ext>
                      </a:extLst>
                    </a:blip>
                    <a:stretch>
                      <a:fillRect/>
                    </a:stretch>
                  </pic:blipFill>
                  <pic:spPr>
                    <a:xfrm>
                      <a:off x="0" y="0"/>
                      <a:ext cx="6201203" cy="2298350"/>
                    </a:xfrm>
                    <a:prstGeom prst="rect">
                      <a:avLst/>
                    </a:prstGeom>
                  </pic:spPr>
                </pic:pic>
              </a:graphicData>
            </a:graphic>
          </wp:inline>
        </w:drawing>
      </w:r>
    </w:p>
    <w:p w14:paraId="45D72149" w14:textId="48BB93AC" w:rsidR="003F28A2" w:rsidRDefault="002C3AD2" w:rsidP="003F28A2">
      <w:pPr>
        <w:pStyle w:val="Caption"/>
        <w:jc w:val="center"/>
      </w:pPr>
      <w:bookmarkStart w:id="33" w:name="_Toc232114733"/>
      <w:r>
        <w:t xml:space="preserve">Figure </w:t>
      </w:r>
      <w:r>
        <w:fldChar w:fldCharType="begin"/>
      </w:r>
      <w:r>
        <w:instrText xml:space="preserve"> SEQ Figure \* ARABIC </w:instrText>
      </w:r>
      <w:r>
        <w:fldChar w:fldCharType="separate"/>
      </w:r>
      <w:r w:rsidR="007F77B6">
        <w:rPr>
          <w:noProof/>
        </w:rPr>
        <w:t>3</w:t>
      </w:r>
      <w:r>
        <w:fldChar w:fldCharType="end"/>
      </w:r>
      <w:r>
        <w:t xml:space="preserve"> </w:t>
      </w:r>
      <w:r w:rsidR="003F28A2" w:rsidRPr="003F28A2">
        <w:t xml:space="preserve">Proposed performance goals for the </w:t>
      </w:r>
      <w:proofErr w:type="spellStart"/>
      <w:r w:rsidR="003F28A2" w:rsidRPr="003F28A2">
        <w:t>BioMimics</w:t>
      </w:r>
      <w:proofErr w:type="spellEnd"/>
      <w:r w:rsidR="003F28A2" w:rsidRPr="003F28A2">
        <w:t xml:space="preserve"> 3D vascular stent pivotal study derived from meta-analysis of historical femoropopliteal bare nitinol stent studies.</w:t>
      </w:r>
      <w:bookmarkEnd w:id="33"/>
    </w:p>
    <w:p w14:paraId="79C6B4CF" w14:textId="77777777" w:rsidR="003F28A2" w:rsidRDefault="0084261D" w:rsidP="003F28A2">
      <w:pPr>
        <w:keepNext/>
        <w:spacing w:line="276" w:lineRule="auto"/>
      </w:pPr>
      <w:r>
        <w:rPr>
          <w:noProof/>
        </w:rPr>
        <w:lastRenderedPageBreak/>
        <w:drawing>
          <wp:inline distT="0" distB="0" distL="0" distR="0" wp14:anchorId="31CD90EA" wp14:editId="78BACA71">
            <wp:extent cx="5699760" cy="4588335"/>
            <wp:effectExtent l="0" t="0" r="0" b="3175"/>
            <wp:docPr id="134128778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287781" name="Picture 10"/>
                    <pic:cNvPicPr/>
                  </pic:nvPicPr>
                  <pic:blipFill>
                    <a:blip r:embed="rId12">
                      <a:extLst>
                        <a:ext uri="{28A0092B-C50C-407E-A947-70E740481C1C}">
                          <a14:useLocalDpi xmlns:a14="http://schemas.microsoft.com/office/drawing/2010/main" val="0"/>
                        </a:ext>
                      </a:extLst>
                    </a:blip>
                    <a:stretch>
                      <a:fillRect/>
                    </a:stretch>
                  </pic:blipFill>
                  <pic:spPr>
                    <a:xfrm>
                      <a:off x="0" y="0"/>
                      <a:ext cx="5717635" cy="4602724"/>
                    </a:xfrm>
                    <a:prstGeom prst="rect">
                      <a:avLst/>
                    </a:prstGeom>
                  </pic:spPr>
                </pic:pic>
              </a:graphicData>
            </a:graphic>
          </wp:inline>
        </w:drawing>
      </w:r>
    </w:p>
    <w:p w14:paraId="3575923D" w14:textId="3EE386D7" w:rsidR="0084261D" w:rsidRDefault="003F28A2" w:rsidP="003F28A2">
      <w:pPr>
        <w:pStyle w:val="Caption"/>
      </w:pPr>
      <w:bookmarkStart w:id="34" w:name="_Toc232114734"/>
      <w:r>
        <w:t xml:space="preserve">Figure </w:t>
      </w:r>
      <w:r>
        <w:fldChar w:fldCharType="begin"/>
      </w:r>
      <w:r>
        <w:instrText xml:space="preserve"> SEQ Figure \* ARABIC </w:instrText>
      </w:r>
      <w:r>
        <w:fldChar w:fldCharType="separate"/>
      </w:r>
      <w:r w:rsidR="007F77B6">
        <w:rPr>
          <w:noProof/>
        </w:rPr>
        <w:t>4</w:t>
      </w:r>
      <w:r>
        <w:fldChar w:fldCharType="end"/>
      </w:r>
      <w:r>
        <w:t xml:space="preserve"> </w:t>
      </w:r>
      <w:r w:rsidRPr="005310DA">
        <w:t>Pooled event proportions with 95% confidence intervals for the safety and efficacy endpoints.</w:t>
      </w:r>
      <w:bookmarkEnd w:id="34"/>
    </w:p>
    <w:p w14:paraId="16433D15" w14:textId="77777777" w:rsidR="003F28A2" w:rsidRDefault="0091762B" w:rsidP="003F28A2">
      <w:pPr>
        <w:keepNext/>
        <w:spacing w:line="276" w:lineRule="auto"/>
      </w:pPr>
      <w:r w:rsidRPr="0091762B">
        <w:lastRenderedPageBreak/>
        <w:t>The heterogeneity statistics for both endpoints are reported in Table A and Table B.</w:t>
      </w:r>
      <w:r w:rsidR="0084261D">
        <w:rPr>
          <w:noProof/>
        </w:rPr>
        <w:drawing>
          <wp:inline distT="0" distB="0" distL="0" distR="0" wp14:anchorId="4984EE86" wp14:editId="2BC9C514">
            <wp:extent cx="3101340" cy="3734013"/>
            <wp:effectExtent l="0" t="0" r="3810" b="0"/>
            <wp:docPr id="33276578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765789" name="Picture 11"/>
                    <pic:cNvPicPr/>
                  </pic:nvPicPr>
                  <pic:blipFill>
                    <a:blip r:embed="rId13">
                      <a:extLst>
                        <a:ext uri="{28A0092B-C50C-407E-A947-70E740481C1C}">
                          <a14:useLocalDpi xmlns:a14="http://schemas.microsoft.com/office/drawing/2010/main" val="0"/>
                        </a:ext>
                      </a:extLst>
                    </a:blip>
                    <a:stretch>
                      <a:fillRect/>
                    </a:stretch>
                  </pic:blipFill>
                  <pic:spPr>
                    <a:xfrm>
                      <a:off x="0" y="0"/>
                      <a:ext cx="3107412" cy="3741323"/>
                    </a:xfrm>
                    <a:prstGeom prst="rect">
                      <a:avLst/>
                    </a:prstGeom>
                  </pic:spPr>
                </pic:pic>
              </a:graphicData>
            </a:graphic>
          </wp:inline>
        </w:drawing>
      </w:r>
    </w:p>
    <w:p w14:paraId="2A6E1075" w14:textId="5753639A" w:rsidR="0084261D" w:rsidRDefault="003F28A2" w:rsidP="003F28A2">
      <w:pPr>
        <w:pStyle w:val="Caption"/>
      </w:pPr>
      <w:bookmarkStart w:id="35" w:name="_Toc232114735"/>
      <w:r>
        <w:t xml:space="preserve">Figure </w:t>
      </w:r>
      <w:r>
        <w:fldChar w:fldCharType="begin"/>
      </w:r>
      <w:r>
        <w:instrText xml:space="preserve"> SEQ Figure \* ARABIC </w:instrText>
      </w:r>
      <w:r>
        <w:fldChar w:fldCharType="separate"/>
      </w:r>
      <w:r w:rsidR="007F77B6">
        <w:rPr>
          <w:noProof/>
        </w:rPr>
        <w:t>5</w:t>
      </w:r>
      <w:r>
        <w:fldChar w:fldCharType="end"/>
      </w:r>
      <w:r>
        <w:t xml:space="preserve"> </w:t>
      </w:r>
      <w:r w:rsidRPr="00183D9C">
        <w:t>Heterogeneity statistics from the random-effects meta-analysis for the 30-day composite safety endpoint (Table A) and the 12-month Rutherford classification efficacy endpoint (Table B).</w:t>
      </w:r>
      <w:bookmarkEnd w:id="35"/>
    </w:p>
    <w:p w14:paraId="00DCC0CF" w14:textId="4869C79C" w:rsidR="00D40556" w:rsidRDefault="0091762B" w:rsidP="0084261D">
      <w:pPr>
        <w:spacing w:line="276" w:lineRule="auto"/>
      </w:pPr>
      <w:r w:rsidRPr="0091762B">
        <w:t xml:space="preserve">For both endpoints, the estimated between-study variance </w:t>
      </w:r>
      <m:oMath>
        <m:sSup>
          <m:sSupPr>
            <m:ctrlPr>
              <w:rPr>
                <w:rFonts w:ascii="Cambria Math" w:hAnsi="Cambria Math"/>
              </w:rPr>
            </m:ctrlPr>
          </m:sSupPr>
          <m:e>
            <m:r>
              <w:rPr>
                <w:rFonts w:ascii="Cambria Math" w:hAnsi="Cambria Math"/>
              </w:rPr>
              <m:t>τ</m:t>
            </m:r>
          </m:e>
          <m:sup>
            <m:r>
              <w:rPr>
                <w:rFonts w:ascii="Cambria Math" w:hAnsi="Cambria Math"/>
              </w:rPr>
              <m:t>2</m:t>
            </m:r>
          </m:sup>
        </m:sSup>
      </m:oMath>
      <w:r w:rsidRPr="0091762B">
        <w:t xml:space="preserve">was 0 and the </w:t>
      </w:r>
      <m:oMath>
        <m:sSup>
          <m:sSupPr>
            <m:ctrlPr>
              <w:rPr>
                <w:rFonts w:ascii="Cambria Math" w:hAnsi="Cambria Math"/>
              </w:rPr>
            </m:ctrlPr>
          </m:sSupPr>
          <m:e>
            <m:r>
              <w:rPr>
                <w:rFonts w:ascii="Cambria Math" w:hAnsi="Cambria Math"/>
              </w:rPr>
              <m:t>I</m:t>
            </m:r>
          </m:e>
          <m:sup>
            <m:r>
              <w:rPr>
                <w:rFonts w:ascii="Cambria Math" w:hAnsi="Cambria Math"/>
              </w:rPr>
              <m:t>2</m:t>
            </m:r>
          </m:sup>
        </m:sSup>
      </m:oMath>
      <w:r w:rsidRPr="0091762B">
        <w:t xml:space="preserve">statistic was 0.0% (95% CI: 0.0–0.9%), with H = 1.00. Cochran's Q test produced p-values of 0.998 and 0.520 for the safety and efficacy endpoints respectively. The </w:t>
      </w:r>
      <w:r w:rsidRPr="0091762B">
        <w:t>implication</w:t>
      </w:r>
      <w:r w:rsidRPr="0091762B">
        <w:t xml:space="preserve"> of these heterogeneity estimates for the interpretation of the derived performance goals are discussed in Section </w:t>
      </w:r>
      <w:r>
        <w:t>6</w:t>
      </w:r>
      <w:r w:rsidRPr="0091762B">
        <w:t>.1.</w:t>
      </w:r>
    </w:p>
    <w:p w14:paraId="1F8E5E64" w14:textId="77777777" w:rsidR="0091762B" w:rsidRDefault="0091762B" w:rsidP="0084261D">
      <w:pPr>
        <w:spacing w:line="276" w:lineRule="auto"/>
      </w:pPr>
    </w:p>
    <w:p w14:paraId="33FB6BD6" w14:textId="6BFB50C8" w:rsidR="00626153" w:rsidRDefault="00313F36" w:rsidP="00BD518F">
      <w:pPr>
        <w:pStyle w:val="Heading2"/>
      </w:pPr>
      <w:bookmarkStart w:id="36" w:name="_Toc232114713"/>
      <w:r>
        <w:t>5</w:t>
      </w:r>
      <w:r w:rsidR="00BD518F">
        <w:t xml:space="preserve">.2 </w:t>
      </w:r>
      <w:r w:rsidR="00246BF1">
        <w:t xml:space="preserve">Simulation Study: </w:t>
      </w:r>
      <w:r w:rsidR="00626153">
        <w:t>CI Method Comparison</w:t>
      </w:r>
      <w:bookmarkEnd w:id="36"/>
    </w:p>
    <w:p w14:paraId="6E7AAE33" w14:textId="64CAC631" w:rsidR="008527B1" w:rsidRDefault="00BB6665" w:rsidP="008527B1">
      <w:pPr>
        <w:keepNext/>
      </w:pPr>
      <w:r w:rsidRPr="00BB6665">
        <w:t xml:space="preserve">Coverage probability was evaluated across a grid of true proportions p </w:t>
      </w:r>
      <w:r w:rsidRPr="00BB6665">
        <w:rPr>
          <w:rFonts w:ascii="Cambria Math" w:hAnsi="Cambria Math" w:cs="Cambria Math"/>
        </w:rPr>
        <w:t>∈</w:t>
      </w:r>
      <w:r w:rsidRPr="00BB6665">
        <w:t xml:space="preserve"> {0.001, </w:t>
      </w:r>
      <w:r w:rsidRPr="00BB6665">
        <w:rPr>
          <w:rFonts w:ascii="Aptos" w:hAnsi="Aptos" w:cs="Aptos"/>
        </w:rPr>
        <w:t>…</w:t>
      </w:r>
      <w:r w:rsidRPr="00BB6665">
        <w:t xml:space="preserve">, 0.200} for each of the six confidence interval methods at sample sizes n = 50 and n = 100. Results are </w:t>
      </w:r>
      <w:r w:rsidRPr="00BB6665">
        <w:lastRenderedPageBreak/>
        <w:t>summarised through coverage probability curves and coverage-width scatter plots.</w:t>
      </w:r>
      <w:r w:rsidR="008527B1">
        <w:rPr>
          <w:noProof/>
        </w:rPr>
        <w:drawing>
          <wp:inline distT="0" distB="0" distL="0" distR="0" wp14:anchorId="36179C46" wp14:editId="6D596BDA">
            <wp:extent cx="5731510" cy="3541395"/>
            <wp:effectExtent l="0" t="0" r="2540" b="1905"/>
            <wp:docPr id="17770570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057017" name="Picture 1777057017"/>
                    <pic:cNvPicPr/>
                  </pic:nvPicPr>
                  <pic:blipFill>
                    <a:blip r:embed="rId14">
                      <a:extLst>
                        <a:ext uri="{28A0092B-C50C-407E-A947-70E740481C1C}">
                          <a14:useLocalDpi xmlns:a14="http://schemas.microsoft.com/office/drawing/2010/main" val="0"/>
                        </a:ext>
                      </a:extLst>
                    </a:blip>
                    <a:stretch>
                      <a:fillRect/>
                    </a:stretch>
                  </pic:blipFill>
                  <pic:spPr>
                    <a:xfrm>
                      <a:off x="0" y="0"/>
                      <a:ext cx="5731510" cy="3541395"/>
                    </a:xfrm>
                    <a:prstGeom prst="rect">
                      <a:avLst/>
                    </a:prstGeom>
                  </pic:spPr>
                </pic:pic>
              </a:graphicData>
            </a:graphic>
          </wp:inline>
        </w:drawing>
      </w:r>
    </w:p>
    <w:p w14:paraId="39C196A9" w14:textId="06299242" w:rsidR="00BD518F" w:rsidRDefault="008527B1" w:rsidP="008527B1">
      <w:pPr>
        <w:pStyle w:val="Caption"/>
      </w:pPr>
      <w:bookmarkStart w:id="37" w:name="_Toc232114736"/>
      <w:r>
        <w:t xml:space="preserve">Figure </w:t>
      </w:r>
      <w:r>
        <w:fldChar w:fldCharType="begin"/>
      </w:r>
      <w:r>
        <w:instrText xml:space="preserve"> SEQ Figure \* ARABIC </w:instrText>
      </w:r>
      <w:r>
        <w:fldChar w:fldCharType="separate"/>
      </w:r>
      <w:r w:rsidR="007F77B6">
        <w:rPr>
          <w:noProof/>
        </w:rPr>
        <w:t>6</w:t>
      </w:r>
      <w:r>
        <w:fldChar w:fldCharType="end"/>
      </w:r>
      <w:r>
        <w:t xml:space="preserve"> </w:t>
      </w:r>
      <w:r w:rsidR="003F28A2" w:rsidRPr="003F28A2">
        <w:t xml:space="preserve">Coverage probability curves for six binomial confidence interval methods at n = 50, evaluated across true proportions p </w:t>
      </w:r>
      <w:r w:rsidR="003F28A2" w:rsidRPr="003F28A2">
        <w:rPr>
          <w:rFonts w:ascii="Cambria Math" w:hAnsi="Cambria Math" w:cs="Cambria Math"/>
        </w:rPr>
        <w:t>∈</w:t>
      </w:r>
      <w:r w:rsidR="003F28A2" w:rsidRPr="003F28A2">
        <w:t xml:space="preserve"> {0.001, </w:t>
      </w:r>
      <w:r w:rsidR="003F28A2" w:rsidRPr="003F28A2">
        <w:rPr>
          <w:rFonts w:ascii="Aptos" w:hAnsi="Aptos" w:cs="Aptos"/>
        </w:rPr>
        <w:t>…</w:t>
      </w:r>
      <w:r w:rsidR="003F28A2" w:rsidRPr="003F28A2">
        <w:t>, 0.200}. The dashed red line indicates the nominal 95% level.</w:t>
      </w:r>
      <w:bookmarkEnd w:id="37"/>
    </w:p>
    <w:p w14:paraId="2EFBBB40" w14:textId="466B9DA9" w:rsidR="00B529D9" w:rsidRPr="00B529D9" w:rsidRDefault="00B529D9" w:rsidP="00B529D9">
      <w:r w:rsidRPr="00B529D9">
        <w:t xml:space="preserve">At n = 50, the Wald interval produced coverage below 0.80 for true proportions near zero, only approaching the nominal level near p = 0.20. The Wilson Score interval oscillated around 0.95, with dips below 0.90 at very low proportions near p = 0.001 to 0.01. The Jeffreys interval followed a similar pattern but with more pronounced dips below nominal at very low proportions. The Wilson Score with continuity correction and Agresti-Coull </w:t>
      </w:r>
      <w:r w:rsidR="008B1F0B" w:rsidRPr="00B529D9">
        <w:t>interval-maintained</w:t>
      </w:r>
      <w:r w:rsidRPr="00B529D9">
        <w:t xml:space="preserve"> coverage above the nominal level across virtually the entire proportion range. The Clopper-Pearson interval was the most conservative, with coverage remaining above 0.97 across nearly the entire evaluated range.</w:t>
      </w:r>
    </w:p>
    <w:p w14:paraId="12CBA761" w14:textId="77777777" w:rsidR="00B529D9" w:rsidRDefault="00BB6665" w:rsidP="00B529D9">
      <w:pPr>
        <w:keepNext/>
      </w:pPr>
      <w:r>
        <w:rPr>
          <w:noProof/>
        </w:rPr>
        <w:lastRenderedPageBreak/>
        <w:drawing>
          <wp:inline distT="0" distB="0" distL="0" distR="0" wp14:anchorId="52FFE541" wp14:editId="28F79E27">
            <wp:extent cx="5731510" cy="3541395"/>
            <wp:effectExtent l="0" t="0" r="2540" b="1905"/>
            <wp:docPr id="16677788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778818" name="Picture 1667778818"/>
                    <pic:cNvPicPr/>
                  </pic:nvPicPr>
                  <pic:blipFill>
                    <a:blip r:embed="rId15">
                      <a:extLst>
                        <a:ext uri="{28A0092B-C50C-407E-A947-70E740481C1C}">
                          <a14:useLocalDpi xmlns:a14="http://schemas.microsoft.com/office/drawing/2010/main" val="0"/>
                        </a:ext>
                      </a:extLst>
                    </a:blip>
                    <a:stretch>
                      <a:fillRect/>
                    </a:stretch>
                  </pic:blipFill>
                  <pic:spPr>
                    <a:xfrm>
                      <a:off x="0" y="0"/>
                      <a:ext cx="5731510" cy="3541395"/>
                    </a:xfrm>
                    <a:prstGeom prst="rect">
                      <a:avLst/>
                    </a:prstGeom>
                  </pic:spPr>
                </pic:pic>
              </a:graphicData>
            </a:graphic>
          </wp:inline>
        </w:drawing>
      </w:r>
    </w:p>
    <w:p w14:paraId="680D45B3" w14:textId="726EFD34" w:rsidR="00BB6665" w:rsidRDefault="00B529D9" w:rsidP="00B529D9">
      <w:pPr>
        <w:pStyle w:val="Caption"/>
      </w:pPr>
      <w:bookmarkStart w:id="38" w:name="_Toc232114737"/>
      <w:r>
        <w:t xml:space="preserve">Figure </w:t>
      </w:r>
      <w:r>
        <w:fldChar w:fldCharType="begin"/>
      </w:r>
      <w:r>
        <w:instrText xml:space="preserve"> SEQ Figure \* ARABIC </w:instrText>
      </w:r>
      <w:r>
        <w:fldChar w:fldCharType="separate"/>
      </w:r>
      <w:r w:rsidR="007F77B6">
        <w:rPr>
          <w:noProof/>
        </w:rPr>
        <w:t>7</w:t>
      </w:r>
      <w:r>
        <w:fldChar w:fldCharType="end"/>
      </w:r>
      <w:r>
        <w:t xml:space="preserve"> </w:t>
      </w:r>
      <w:r w:rsidR="003F28A2" w:rsidRPr="003F28A2">
        <w:t xml:space="preserve">Coverage probability curves for six binomial confidence interval methods at n = 100, evaluated across true proportions p </w:t>
      </w:r>
      <w:r w:rsidR="003F28A2" w:rsidRPr="003F28A2">
        <w:rPr>
          <w:rFonts w:ascii="Cambria Math" w:hAnsi="Cambria Math" w:cs="Cambria Math"/>
        </w:rPr>
        <w:t>∈</w:t>
      </w:r>
      <w:r w:rsidR="003F28A2" w:rsidRPr="003F28A2">
        <w:t xml:space="preserve"> {0.001, </w:t>
      </w:r>
      <w:r w:rsidR="003F28A2" w:rsidRPr="003F28A2">
        <w:rPr>
          <w:rFonts w:ascii="Aptos" w:hAnsi="Aptos" w:cs="Aptos"/>
        </w:rPr>
        <w:t>…</w:t>
      </w:r>
      <w:r w:rsidR="003F28A2" w:rsidRPr="003F28A2">
        <w:t>, 0.200}. The dashed red line indicates the nominal 95% level.</w:t>
      </w:r>
      <w:bookmarkEnd w:id="38"/>
    </w:p>
    <w:p w14:paraId="7B685D9F" w14:textId="6DDCA85A" w:rsidR="00B529D9" w:rsidRDefault="00B529D9" w:rsidP="00BB6665">
      <w:pPr>
        <w:keepNext/>
      </w:pPr>
      <w:r w:rsidRPr="00B529D9">
        <w:t>At n = 100 the pattern was broadly similar. The Wald interval remained well below 0.95 across most of the proportion range. The remaining five methods continued to oscillate above the nominal level, with Wilson Score and Jeffreys tracking closest to 0.95 and Clopper-Pearson and Wilson Score with continuity correction remaining the most conservative.</w:t>
      </w:r>
    </w:p>
    <w:p w14:paraId="2225C8CC" w14:textId="518E04EF" w:rsidR="00BB6665" w:rsidRDefault="00BB6665" w:rsidP="00BB6665">
      <w:pPr>
        <w:keepNext/>
        <w:spacing w:line="276" w:lineRule="auto"/>
      </w:pPr>
      <w:r>
        <w:rPr>
          <w:noProof/>
        </w:rPr>
        <w:drawing>
          <wp:inline distT="0" distB="0" distL="0" distR="0" wp14:anchorId="0F099ABB" wp14:editId="6E43822A">
            <wp:extent cx="5731510" cy="3541395"/>
            <wp:effectExtent l="0" t="0" r="2540" b="1905"/>
            <wp:docPr id="95199500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995002" name="Picture 951995002"/>
                    <pic:cNvPicPr/>
                  </pic:nvPicPr>
                  <pic:blipFill>
                    <a:blip r:embed="rId16">
                      <a:extLst>
                        <a:ext uri="{28A0092B-C50C-407E-A947-70E740481C1C}">
                          <a14:useLocalDpi xmlns:a14="http://schemas.microsoft.com/office/drawing/2010/main" val="0"/>
                        </a:ext>
                      </a:extLst>
                    </a:blip>
                    <a:stretch>
                      <a:fillRect/>
                    </a:stretch>
                  </pic:blipFill>
                  <pic:spPr>
                    <a:xfrm>
                      <a:off x="0" y="0"/>
                      <a:ext cx="5731510" cy="3541395"/>
                    </a:xfrm>
                    <a:prstGeom prst="rect">
                      <a:avLst/>
                    </a:prstGeom>
                  </pic:spPr>
                </pic:pic>
              </a:graphicData>
            </a:graphic>
          </wp:inline>
        </w:drawing>
      </w:r>
    </w:p>
    <w:p w14:paraId="3CDA2994" w14:textId="748E6517" w:rsidR="00BD518F" w:rsidRDefault="00BB6665" w:rsidP="00BB6665">
      <w:pPr>
        <w:pStyle w:val="Caption"/>
      </w:pPr>
      <w:bookmarkStart w:id="39" w:name="_Toc232114738"/>
      <w:r>
        <w:t xml:space="preserve">Figure </w:t>
      </w:r>
      <w:r>
        <w:fldChar w:fldCharType="begin"/>
      </w:r>
      <w:r>
        <w:instrText xml:space="preserve"> SEQ Figure \* ARABIC </w:instrText>
      </w:r>
      <w:r>
        <w:fldChar w:fldCharType="separate"/>
      </w:r>
      <w:r w:rsidR="007F77B6">
        <w:rPr>
          <w:noProof/>
        </w:rPr>
        <w:t>8</w:t>
      </w:r>
      <w:r>
        <w:fldChar w:fldCharType="end"/>
      </w:r>
      <w:r>
        <w:t xml:space="preserve"> </w:t>
      </w:r>
      <w:r w:rsidR="003F28A2" w:rsidRPr="003F28A2">
        <w:t>Coverage probability curves for all six methods overlaid. The dashed red line indicates the nominal 95% level.</w:t>
      </w:r>
      <w:bookmarkEnd w:id="39"/>
    </w:p>
    <w:p w14:paraId="27C37DC1" w14:textId="77777777" w:rsidR="00B529D9" w:rsidRPr="00B529D9" w:rsidRDefault="00B529D9" w:rsidP="00B529D9">
      <w:pPr>
        <w:keepNext/>
        <w:spacing w:line="276" w:lineRule="auto"/>
      </w:pPr>
      <w:r w:rsidRPr="00B529D9">
        <w:lastRenderedPageBreak/>
        <w:t>The combined overlay for n = 100 shows all six methods on the same axes, illustrating the clear separation between the Wald interval and the remaining five methods across the full proportion range.</w:t>
      </w:r>
    </w:p>
    <w:p w14:paraId="11BC206B" w14:textId="77777777" w:rsidR="00B529D9" w:rsidRPr="00B529D9" w:rsidRDefault="00B529D9" w:rsidP="00B529D9">
      <w:pPr>
        <w:keepNext/>
        <w:spacing w:line="276" w:lineRule="auto"/>
      </w:pPr>
      <w:r w:rsidRPr="00B529D9">
        <w:t>The coverage-width scatter plots summarise the trade-off between average coverage probability and average expected interval width at each sample size.</w:t>
      </w:r>
    </w:p>
    <w:p w14:paraId="2A3876A2" w14:textId="77777777" w:rsidR="00BB6665" w:rsidRDefault="00BB6665" w:rsidP="00BB6665">
      <w:pPr>
        <w:keepNext/>
        <w:spacing w:line="276" w:lineRule="auto"/>
      </w:pPr>
      <w:r>
        <w:rPr>
          <w:noProof/>
        </w:rPr>
        <w:drawing>
          <wp:inline distT="0" distB="0" distL="0" distR="0" wp14:anchorId="06E79149" wp14:editId="32814D31">
            <wp:extent cx="5731510" cy="3541395"/>
            <wp:effectExtent l="0" t="0" r="2540" b="1905"/>
            <wp:docPr id="17419267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92671" name="Picture 174192671"/>
                    <pic:cNvPicPr/>
                  </pic:nvPicPr>
                  <pic:blipFill>
                    <a:blip r:embed="rId17">
                      <a:extLst>
                        <a:ext uri="{28A0092B-C50C-407E-A947-70E740481C1C}">
                          <a14:useLocalDpi xmlns:a14="http://schemas.microsoft.com/office/drawing/2010/main" val="0"/>
                        </a:ext>
                      </a:extLst>
                    </a:blip>
                    <a:stretch>
                      <a:fillRect/>
                    </a:stretch>
                  </pic:blipFill>
                  <pic:spPr>
                    <a:xfrm>
                      <a:off x="0" y="0"/>
                      <a:ext cx="5731510" cy="3541395"/>
                    </a:xfrm>
                    <a:prstGeom prst="rect">
                      <a:avLst/>
                    </a:prstGeom>
                  </pic:spPr>
                </pic:pic>
              </a:graphicData>
            </a:graphic>
          </wp:inline>
        </w:drawing>
      </w:r>
    </w:p>
    <w:p w14:paraId="41310FD3" w14:textId="6532E55F" w:rsidR="00BB6665" w:rsidRDefault="00BB6665" w:rsidP="00BB6665">
      <w:pPr>
        <w:pStyle w:val="Caption"/>
      </w:pPr>
      <w:bookmarkStart w:id="40" w:name="_Toc232114739"/>
      <w:r>
        <w:t xml:space="preserve">Figure </w:t>
      </w:r>
      <w:r>
        <w:fldChar w:fldCharType="begin"/>
      </w:r>
      <w:r>
        <w:instrText xml:space="preserve"> SEQ Figure \* ARABIC </w:instrText>
      </w:r>
      <w:r>
        <w:fldChar w:fldCharType="separate"/>
      </w:r>
      <w:r w:rsidR="007F77B6">
        <w:rPr>
          <w:noProof/>
        </w:rPr>
        <w:t>9</w:t>
      </w:r>
      <w:r>
        <w:fldChar w:fldCharType="end"/>
      </w:r>
      <w:r>
        <w:t xml:space="preserve"> </w:t>
      </w:r>
      <w:r w:rsidR="003F28A2" w:rsidRPr="003F28A2">
        <w:t>Average coverage probability against average expected interval width at n = 20.</w:t>
      </w:r>
      <w:bookmarkEnd w:id="40"/>
    </w:p>
    <w:p w14:paraId="2E064323" w14:textId="0C4AC50F" w:rsidR="008B1F0B" w:rsidRPr="008B1F0B" w:rsidRDefault="008B1F0B" w:rsidP="008B1F0B">
      <w:r w:rsidRPr="008B1F0B">
        <w:t>At n = 20, the Wald interval produced average coverage of approximately 0.73 with an average width of approximately 0.21. Wilson Score and Jeffreys sat at or just above the nominal line with average widths of approximately 0.24 and 0.25 respectively. Clopper-Pearson and Wilson Score with continuity correction sat above the nominal line with average widths of approximately 0.29 and 0.30.</w:t>
      </w:r>
    </w:p>
    <w:p w14:paraId="0C627746" w14:textId="77777777" w:rsidR="00BB6665" w:rsidRDefault="00BB6665" w:rsidP="00BB6665">
      <w:pPr>
        <w:keepNext/>
      </w:pPr>
      <w:r>
        <w:rPr>
          <w:noProof/>
        </w:rPr>
        <w:lastRenderedPageBreak/>
        <w:drawing>
          <wp:inline distT="0" distB="0" distL="0" distR="0" wp14:anchorId="24EB356F" wp14:editId="0ECA379E">
            <wp:extent cx="5731510" cy="3541395"/>
            <wp:effectExtent l="0" t="0" r="2540" b="1905"/>
            <wp:docPr id="80214740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147403" name="Picture 802147403"/>
                    <pic:cNvPicPr/>
                  </pic:nvPicPr>
                  <pic:blipFill>
                    <a:blip r:embed="rId18">
                      <a:extLst>
                        <a:ext uri="{28A0092B-C50C-407E-A947-70E740481C1C}">
                          <a14:useLocalDpi xmlns:a14="http://schemas.microsoft.com/office/drawing/2010/main" val="0"/>
                        </a:ext>
                      </a:extLst>
                    </a:blip>
                    <a:stretch>
                      <a:fillRect/>
                    </a:stretch>
                  </pic:blipFill>
                  <pic:spPr>
                    <a:xfrm>
                      <a:off x="0" y="0"/>
                      <a:ext cx="5731510" cy="3541395"/>
                    </a:xfrm>
                    <a:prstGeom prst="rect">
                      <a:avLst/>
                    </a:prstGeom>
                  </pic:spPr>
                </pic:pic>
              </a:graphicData>
            </a:graphic>
          </wp:inline>
        </w:drawing>
      </w:r>
    </w:p>
    <w:p w14:paraId="38867EA3" w14:textId="3A15BC15" w:rsidR="00BB6665" w:rsidRDefault="00BB6665" w:rsidP="00BB6665">
      <w:pPr>
        <w:pStyle w:val="Caption"/>
      </w:pPr>
      <w:bookmarkStart w:id="41" w:name="_Toc232114740"/>
      <w:r>
        <w:t xml:space="preserve">Figure </w:t>
      </w:r>
      <w:r>
        <w:fldChar w:fldCharType="begin"/>
      </w:r>
      <w:r>
        <w:instrText xml:space="preserve"> SEQ Figure \* ARABIC </w:instrText>
      </w:r>
      <w:r>
        <w:fldChar w:fldCharType="separate"/>
      </w:r>
      <w:r w:rsidR="007F77B6">
        <w:rPr>
          <w:noProof/>
        </w:rPr>
        <w:t>10</w:t>
      </w:r>
      <w:r>
        <w:fldChar w:fldCharType="end"/>
      </w:r>
      <w:r>
        <w:t xml:space="preserve"> </w:t>
      </w:r>
      <w:r w:rsidR="003F28A2" w:rsidRPr="003F28A2">
        <w:t>Average coverage probability against average expected interval width at n = 50.</w:t>
      </w:r>
      <w:bookmarkEnd w:id="41"/>
    </w:p>
    <w:p w14:paraId="156DDF2E" w14:textId="77777777" w:rsidR="00BB6665" w:rsidRDefault="00BB6665" w:rsidP="00BB6665">
      <w:pPr>
        <w:keepNext/>
      </w:pPr>
      <w:r>
        <w:rPr>
          <w:noProof/>
        </w:rPr>
        <w:drawing>
          <wp:inline distT="0" distB="0" distL="0" distR="0" wp14:anchorId="4C26A8BF" wp14:editId="4C17084A">
            <wp:extent cx="5731510" cy="3541395"/>
            <wp:effectExtent l="0" t="0" r="2540" b="1905"/>
            <wp:docPr id="97352803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528035" name="Picture 973528035"/>
                    <pic:cNvPicPr/>
                  </pic:nvPicPr>
                  <pic:blipFill>
                    <a:blip r:embed="rId19">
                      <a:extLst>
                        <a:ext uri="{28A0092B-C50C-407E-A947-70E740481C1C}">
                          <a14:useLocalDpi xmlns:a14="http://schemas.microsoft.com/office/drawing/2010/main" val="0"/>
                        </a:ext>
                      </a:extLst>
                    </a:blip>
                    <a:stretch>
                      <a:fillRect/>
                    </a:stretch>
                  </pic:blipFill>
                  <pic:spPr>
                    <a:xfrm>
                      <a:off x="0" y="0"/>
                      <a:ext cx="5731510" cy="3541395"/>
                    </a:xfrm>
                    <a:prstGeom prst="rect">
                      <a:avLst/>
                    </a:prstGeom>
                  </pic:spPr>
                </pic:pic>
              </a:graphicData>
            </a:graphic>
          </wp:inline>
        </w:drawing>
      </w:r>
    </w:p>
    <w:p w14:paraId="6322CA78" w14:textId="546C0EDC" w:rsidR="00BB6665" w:rsidRPr="00BB6665" w:rsidRDefault="00BB6665" w:rsidP="00BB6665">
      <w:pPr>
        <w:pStyle w:val="Caption"/>
      </w:pPr>
      <w:bookmarkStart w:id="42" w:name="_Toc232114741"/>
      <w:r>
        <w:t xml:space="preserve">Figure </w:t>
      </w:r>
      <w:r>
        <w:fldChar w:fldCharType="begin"/>
      </w:r>
      <w:r>
        <w:instrText xml:space="preserve"> SEQ Figure \* ARABIC </w:instrText>
      </w:r>
      <w:r>
        <w:fldChar w:fldCharType="separate"/>
      </w:r>
      <w:r w:rsidR="007F77B6">
        <w:rPr>
          <w:noProof/>
        </w:rPr>
        <w:t>11</w:t>
      </w:r>
      <w:r>
        <w:fldChar w:fldCharType="end"/>
      </w:r>
      <w:r>
        <w:t xml:space="preserve"> </w:t>
      </w:r>
      <w:r w:rsidR="003F28A2" w:rsidRPr="003F28A2">
        <w:t>Average coverage probability against average expected interval width at n = 100.</w:t>
      </w:r>
      <w:bookmarkEnd w:id="42"/>
    </w:p>
    <w:p w14:paraId="3415E4D2" w14:textId="019F2BF9" w:rsidR="008B1F0B" w:rsidRDefault="008B1F0B" w:rsidP="008B1F0B">
      <w:r w:rsidRPr="008B1F0B">
        <w:t>At n = 50 and n = 100 the five non-Wald methods converged, with all five clustered near and above the nominal line in the coverage-width plots. The ordering remained consistent across both sample sizes: Wilson Score and Jeffreys sat closest to 0.95 with average widths of approximately 0.16 and 0.11 at n = 50 and n = 100 respectively, while Clopper-Pearson produced the widest average intervals at both sample sizes.</w:t>
      </w:r>
    </w:p>
    <w:p w14:paraId="36A5FFC7" w14:textId="77777777" w:rsidR="008B1F0B" w:rsidRPr="00E911F1" w:rsidRDefault="008B1F0B" w:rsidP="00E911F1"/>
    <w:p w14:paraId="15644BF6" w14:textId="2D149EC6" w:rsidR="005D6FA4" w:rsidRDefault="00313F36" w:rsidP="00E911F1">
      <w:pPr>
        <w:pStyle w:val="Heading2"/>
      </w:pPr>
      <w:bookmarkStart w:id="43" w:name="_Toc232114714"/>
      <w:r>
        <w:t>5</w:t>
      </w:r>
      <w:r w:rsidR="00E911F1">
        <w:t xml:space="preserve">.3 </w:t>
      </w:r>
      <w:r w:rsidR="00886B40" w:rsidRPr="00886B40">
        <w:t>Sample Size and Confidence Interval Method Comparison</w:t>
      </w:r>
      <w:bookmarkEnd w:id="43"/>
    </w:p>
    <w:p w14:paraId="58607A2B" w14:textId="77777777" w:rsidR="00797711" w:rsidRDefault="00797711" w:rsidP="004907D2">
      <w:r w:rsidRPr="00797711">
        <w:t xml:space="preserve">Under the design assumptions established in Section 4.2, the required sample size was determined using the single-arm performance goal framework with an approved performance goal of </w:t>
      </w:r>
      <m:oMath>
        <m:sSub>
          <m:sSubPr>
            <m:ctrlPr>
              <w:rPr>
                <w:rFonts w:ascii="Cambria Math" w:hAnsi="Cambria Math"/>
              </w:rPr>
            </m:ctrlPr>
          </m:sSubPr>
          <m:e>
            <m:r>
              <w:rPr>
                <w:rFonts w:ascii="Cambria Math" w:hAnsi="Cambria Math"/>
              </w:rPr>
              <m:t>p</m:t>
            </m:r>
          </m:e>
          <m:sub>
            <m:r>
              <w:rPr>
                <w:rFonts w:ascii="Cambria Math" w:hAnsi="Cambria Math"/>
              </w:rPr>
              <m:t>0</m:t>
            </m:r>
          </m:sub>
        </m:sSub>
        <m:r>
          <w:rPr>
            <w:rFonts w:ascii="Cambria Math" w:hAnsi="Cambria Math"/>
          </w:rPr>
          <m:t>=0.11</m:t>
        </m:r>
      </m:oMath>
      <w:r w:rsidRPr="00797711">
        <w:t xml:space="preserve">, an assumed true complication proportion of </w:t>
      </w:r>
      <m:oMath>
        <m:sSub>
          <m:sSubPr>
            <m:ctrlPr>
              <w:rPr>
                <w:rFonts w:ascii="Cambria Math" w:hAnsi="Cambria Math"/>
              </w:rPr>
            </m:ctrlPr>
          </m:sSubPr>
          <m:e>
            <m:r>
              <w:rPr>
                <w:rFonts w:ascii="Cambria Math" w:hAnsi="Cambria Math"/>
              </w:rPr>
              <m:t>p</m:t>
            </m:r>
          </m:e>
          <m:sub>
            <m:r>
              <w:rPr>
                <w:rFonts w:ascii="Cambria Math" w:hAnsi="Cambria Math"/>
              </w:rPr>
              <m:t>1</m:t>
            </m:r>
          </m:sub>
        </m:sSub>
        <m:r>
          <w:rPr>
            <w:rFonts w:ascii="Cambria Math" w:hAnsi="Cambria Math"/>
          </w:rPr>
          <m:t>=0.05</m:t>
        </m:r>
      </m:oMath>
      <w:r w:rsidRPr="00797711">
        <w:t xml:space="preserve">, a one-sided significance level of </w:t>
      </w:r>
      <m:oMath>
        <m:r>
          <w:rPr>
            <w:rFonts w:ascii="Cambria Math" w:hAnsi="Cambria Math"/>
          </w:rPr>
          <m:t>α=0.025</m:t>
        </m:r>
      </m:oMath>
      <w:r w:rsidRPr="00797711">
        <w:t>and a target power of 90%. The formal hypotheses were:</w:t>
      </w:r>
    </w:p>
    <w:p w14:paraId="064D16F4" w14:textId="42EEA5EE" w:rsidR="004907D2" w:rsidRPr="004907D2" w:rsidRDefault="004907D2" w:rsidP="004907D2">
      <w:pPr>
        <w:rPr>
          <w:rFonts w:ascii="Cambria Math" w:hAnsi="Cambria Math"/>
          <w:oMath/>
        </w:rPr>
      </w:pPr>
      <m:oMathPara>
        <m:oMath>
          <m:r>
            <w:rPr>
              <w:rFonts w:ascii="Cambria Math" w:hAnsi="Cambria Math"/>
            </w:rPr>
            <m:t xml:space="preserve">H₀: </m:t>
          </m:r>
          <m:r>
            <w:rPr>
              <w:rFonts w:ascii="Cambria Math" w:hAnsi="Cambria Math"/>
            </w:rPr>
            <m:t>p</m:t>
          </m:r>
          <m:r>
            <w:rPr>
              <w:rFonts w:ascii="Cambria Math" w:hAnsi="Cambria Math"/>
            </w:rPr>
            <m:t xml:space="preserve"> ≥ 0.11</m:t>
          </m:r>
        </m:oMath>
      </m:oMathPara>
    </w:p>
    <w:p w14:paraId="567635FA" w14:textId="47524708" w:rsidR="004907D2" w:rsidRPr="004907D2" w:rsidRDefault="004907D2" w:rsidP="004907D2">
      <w:pPr>
        <w:rPr>
          <w:rFonts w:eastAsiaTheme="minorEastAsia"/>
        </w:rPr>
      </w:pPr>
      <m:oMathPara>
        <m:oMath>
          <m:r>
            <w:rPr>
              <w:rFonts w:ascii="Cambria Math" w:hAnsi="Cambria Math"/>
            </w:rPr>
            <m:t xml:space="preserve">H₁: </m:t>
          </m:r>
          <m:r>
            <w:rPr>
              <w:rFonts w:ascii="Cambria Math" w:hAnsi="Cambria Math"/>
            </w:rPr>
            <m:t>p</m:t>
          </m:r>
          <m:r>
            <w:rPr>
              <w:rFonts w:ascii="Cambria Math" w:hAnsi="Cambria Math"/>
            </w:rPr>
            <m:t xml:space="preserve"> &lt; 0.11</m:t>
          </m:r>
        </m:oMath>
      </m:oMathPara>
    </w:p>
    <w:p w14:paraId="2B65F3FF" w14:textId="77777777" w:rsidR="004907D2" w:rsidRPr="004907D2" w:rsidRDefault="004907D2" w:rsidP="004907D2">
      <w:pPr>
        <w:rPr>
          <w:rFonts w:ascii="Cambria Math" w:hAnsi="Cambria Math"/>
          <w:oMath/>
        </w:rPr>
      </w:pPr>
    </w:p>
    <w:p w14:paraId="2445E42E" w14:textId="7D35664D" w:rsidR="004907D2" w:rsidRDefault="00797711" w:rsidP="004907D2">
      <w:pPr>
        <w:keepNext/>
        <w:rPr>
          <w:noProof/>
        </w:rPr>
      </w:pPr>
      <w:r w:rsidRPr="00797711">
        <w:t xml:space="preserve">The Clopper-Pearson interval was used as the primary method for the main sample size calculation. This choice was made partly on the basis of the simulation results in Section 5.2, which showed Clopper-Pearson to be the most conservative method with guaranteed nominal coverage, but also because the exact binomial method underlying the Clopper-Pearson interval is the default approach used in widely adopted sample size software including PASS and </w:t>
      </w:r>
      <w:proofErr w:type="spellStart"/>
      <w:r w:rsidRPr="00797711">
        <w:t>nQuery</w:t>
      </w:r>
      <w:proofErr w:type="spellEnd"/>
      <w:r w:rsidR="00AB4184">
        <w:fldChar w:fldCharType="begin"/>
      </w:r>
      <w:r w:rsidR="00AB4184">
        <w:instrText xml:space="preserve"> ADDIN ZOTERO_ITEM CSL_CITATION {"citationID":"zKhn7i5H","properties":{"unsorted":false,"formattedCitation":"(17,20,25,26)","plainCitation":"(17,20,25,26)","noteIndex":0},"citationItems":[{"id":43,"uris":["http://zotero.org/users/local/ebPldVBC/items/H9KC5ZVH"],"itemData":{"id":43,"type":"article-journal","abstract":"[We revisit the problem of interval estimation of a binomial proportion. The erratic behavior of the coverage probability of the standard Wald confidence interval has previously been remarked on in the literature (Blyth and Still, Agresti and Coull, Santner and others). We begin by showing that the chaotic coverage properties of the Wald interval are far more persistent than is appreciated. Furthermore, common textbook prescriptions regarding its safety are misleading and defective in several respects and cannot be trusted. This leads us to consideration of alternative intervals. A number of natural alternatives are presented, each with its motivation and context. Each interval is examined for its coverage probability and its length. Based on this analysis, we recommend the Wilson interval or the equal-tailed Jeffreys prior interval for small n and the interval suggested in Agresti and Coull for larger n. We also provide an additional frequentist justification for use of the Jeffreys interval.]","archive":"JSTOR","container-title":"Statistical Science","ISSN":"08834237, 21688745","issue":"2","page":"101-117","publisher":"Institute of Mathematical Statistics","title":"Interval Estimation for a Binomial Proportion","volume":"16","author":[{"family":"Brown","given":"Lawrence D."},{"family":"Cai","given":"T. Tony"},{"family":"DasGupta","given":"Anirban"}],"issued":{"date-parts":[["2001"]]}}},{"id":48,"uris":["http://zotero.org/users/local/ebPldVBC/items/V46RDXEH"],"itemData":{"id":48,"type":"article-journal","container-title":"Biometrika","ISSN":"0006-3444","issue":"4","journalAbbreviation":"Biometrika","page":"404-413","publisher":"JSTOR","title":"The use of confidence or fiducial limits illustrated in the case of the binomial","volume":"26","author":[{"family":"Clopper","given":"Charles J"},{"family":"Pearson","given":"Egon S"}],"issued":{"date-parts":[["1934"]]}}},{"id":67,"uris":["http://zotero.org/users/local/ebPldVBC/items/RIG6EDP7"],"itemData":{"id":67,"type":"webpage","title":"PASS Sample Size Software Documentation | PASS Software Help","URL":"https://www.ncss.com/software/pass/pass-documentation/","accessed":{"date-parts":[["2026",6,11]]}}},{"id":69,"uris":["http://zotero.org/users/local/ebPldVBC/items/GX8BDTER"],"itemData":{"id":69,"type":"article-journal","language":"en","source":"Zotero","title":"nQuery Advisor Version 5.0 User’s Guide","author":[{"family":"Elashoff","given":"Janet D"}]}}],"schema":"https://github.com/citation-style-language/schema/raw/master/csl-citation.json"} </w:instrText>
      </w:r>
      <w:r w:rsidR="00AB4184">
        <w:fldChar w:fldCharType="separate"/>
      </w:r>
      <w:r w:rsidR="00AB4184" w:rsidRPr="00AB4184">
        <w:rPr>
          <w:rFonts w:ascii="Aptos" w:hAnsi="Aptos"/>
        </w:rPr>
        <w:t>(17,20,25,26)</w:t>
      </w:r>
      <w:r w:rsidR="00AB4184">
        <w:fldChar w:fldCharType="end"/>
      </w:r>
      <w:r w:rsidRPr="00797711">
        <w:t>.</w:t>
      </w:r>
    </w:p>
    <w:p w14:paraId="6C3EED78" w14:textId="118C85D7" w:rsidR="00B852CB" w:rsidRDefault="00B852CB" w:rsidP="004907D2">
      <w:pPr>
        <w:keepNext/>
      </w:pPr>
      <w:r>
        <w:rPr>
          <w:noProof/>
        </w:rPr>
        <w:drawing>
          <wp:inline distT="0" distB="0" distL="0" distR="0" wp14:anchorId="56F73B62" wp14:editId="3A0354D2">
            <wp:extent cx="6246535" cy="3569448"/>
            <wp:effectExtent l="0" t="0" r="1905" b="0"/>
            <wp:docPr id="20464982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49829" name="Picture 4"/>
                    <pic:cNvPicPr/>
                  </pic:nvPicPr>
                  <pic:blipFill>
                    <a:blip r:embed="rId20">
                      <a:extLst>
                        <a:ext uri="{28A0092B-C50C-407E-A947-70E740481C1C}">
                          <a14:useLocalDpi xmlns:a14="http://schemas.microsoft.com/office/drawing/2010/main" val="0"/>
                        </a:ext>
                      </a:extLst>
                    </a:blip>
                    <a:stretch>
                      <a:fillRect/>
                    </a:stretch>
                  </pic:blipFill>
                  <pic:spPr>
                    <a:xfrm>
                      <a:off x="0" y="0"/>
                      <a:ext cx="6246535" cy="3569448"/>
                    </a:xfrm>
                    <a:prstGeom prst="rect">
                      <a:avLst/>
                    </a:prstGeom>
                  </pic:spPr>
                </pic:pic>
              </a:graphicData>
            </a:graphic>
          </wp:inline>
        </w:drawing>
      </w:r>
    </w:p>
    <w:p w14:paraId="0AFA5D20" w14:textId="6B23C2F6" w:rsidR="00B852CB" w:rsidRPr="00B852CB" w:rsidRDefault="004907D2" w:rsidP="00B852CB">
      <w:pPr>
        <w:pStyle w:val="Caption"/>
      </w:pPr>
      <w:bookmarkStart w:id="44" w:name="_Toc232114742"/>
      <w:r>
        <w:t xml:space="preserve">Figure </w:t>
      </w:r>
      <w:r>
        <w:fldChar w:fldCharType="begin"/>
      </w:r>
      <w:r>
        <w:instrText xml:space="preserve"> SEQ Figure \* ARABIC </w:instrText>
      </w:r>
      <w:r>
        <w:fldChar w:fldCharType="separate"/>
      </w:r>
      <w:r w:rsidR="007F77B6">
        <w:rPr>
          <w:noProof/>
        </w:rPr>
        <w:t>12</w:t>
      </w:r>
      <w:r>
        <w:fldChar w:fldCharType="end"/>
      </w:r>
      <w:r>
        <w:t xml:space="preserve"> </w:t>
      </w:r>
      <w:r w:rsidR="00B852CB" w:rsidRPr="00B852CB">
        <w:t xml:space="preserve">Power curve for the </w:t>
      </w:r>
      <w:proofErr w:type="spellStart"/>
      <w:r w:rsidR="00B852CB" w:rsidRPr="00B852CB">
        <w:t>BioMimics</w:t>
      </w:r>
      <w:proofErr w:type="spellEnd"/>
      <w:r w:rsidR="00B852CB" w:rsidRPr="00B852CB">
        <w:t xml:space="preserve"> 3D 30-day composite safety endpoint generated by PG-Power using the Clopper-Pearson method. The green point marks the required evaluable sample size of n = 209, at which achieved power was 89.7%.</w:t>
      </w:r>
      <w:bookmarkEnd w:id="44"/>
    </w:p>
    <w:p w14:paraId="161F7D7B" w14:textId="2B598A4B" w:rsidR="004907D2" w:rsidRDefault="004907D2" w:rsidP="004907D2">
      <w:r>
        <w:t xml:space="preserve">The required sample size varied across the six confidence interval methods evaluated under the same design assumptions, as summarised in </w:t>
      </w:r>
      <w:r w:rsidR="006803C8">
        <w:t>Figure</w:t>
      </w:r>
      <w:r>
        <w:t xml:space="preserve"> </w:t>
      </w:r>
      <w:r w:rsidR="006803C8">
        <w:t>13</w:t>
      </w:r>
      <w:r>
        <w:t xml:space="preserve"> below.</w:t>
      </w:r>
    </w:p>
    <w:p w14:paraId="2B151B72" w14:textId="77777777" w:rsidR="00B852CB" w:rsidRDefault="004907D2" w:rsidP="00B852CB">
      <w:pPr>
        <w:keepNext/>
      </w:pPr>
      <w:r>
        <w:rPr>
          <w:noProof/>
        </w:rPr>
        <w:lastRenderedPageBreak/>
        <w:drawing>
          <wp:inline distT="0" distB="0" distL="0" distR="0" wp14:anchorId="6A6A0168" wp14:editId="166D837D">
            <wp:extent cx="6535635" cy="1760220"/>
            <wp:effectExtent l="0" t="0" r="0" b="0"/>
            <wp:docPr id="46076164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761641" name="Picture 8"/>
                    <pic:cNvPicPr/>
                  </pic:nvPicPr>
                  <pic:blipFill>
                    <a:blip r:embed="rId21">
                      <a:extLst>
                        <a:ext uri="{28A0092B-C50C-407E-A947-70E740481C1C}">
                          <a14:useLocalDpi xmlns:a14="http://schemas.microsoft.com/office/drawing/2010/main" val="0"/>
                        </a:ext>
                      </a:extLst>
                    </a:blip>
                    <a:stretch>
                      <a:fillRect/>
                    </a:stretch>
                  </pic:blipFill>
                  <pic:spPr>
                    <a:xfrm>
                      <a:off x="0" y="0"/>
                      <a:ext cx="6544406" cy="1762582"/>
                    </a:xfrm>
                    <a:prstGeom prst="rect">
                      <a:avLst/>
                    </a:prstGeom>
                  </pic:spPr>
                </pic:pic>
              </a:graphicData>
            </a:graphic>
          </wp:inline>
        </w:drawing>
      </w:r>
    </w:p>
    <w:p w14:paraId="1AF2BE3C" w14:textId="0937DFEB" w:rsidR="00E911F1" w:rsidRDefault="00B852CB" w:rsidP="006B1476">
      <w:pPr>
        <w:pStyle w:val="Caption"/>
      </w:pPr>
      <w:bookmarkStart w:id="45" w:name="_Toc232114743"/>
      <w:r>
        <w:t xml:space="preserve">Figure </w:t>
      </w:r>
      <w:r>
        <w:fldChar w:fldCharType="begin"/>
      </w:r>
      <w:r>
        <w:instrText xml:space="preserve"> SEQ Figure \* ARABIC </w:instrText>
      </w:r>
      <w:r>
        <w:fldChar w:fldCharType="separate"/>
      </w:r>
      <w:r w:rsidR="007F77B6">
        <w:rPr>
          <w:noProof/>
        </w:rPr>
        <w:t>13</w:t>
      </w:r>
      <w:r>
        <w:fldChar w:fldCharType="end"/>
      </w:r>
      <w:r>
        <w:t xml:space="preserve"> </w:t>
      </w:r>
      <w:r w:rsidR="006B1476" w:rsidRPr="006B1476">
        <w:t xml:space="preserve">Required evaluable sample size and achieved power for six confidence interval methods under the </w:t>
      </w:r>
      <w:proofErr w:type="spellStart"/>
      <w:r w:rsidR="006B1476" w:rsidRPr="006B1476">
        <w:t>BioMimics</w:t>
      </w:r>
      <w:proofErr w:type="spellEnd"/>
      <w:r w:rsidR="006B1476" w:rsidRPr="006B1476">
        <w:t xml:space="preserve"> 3D safety endpoint design assumptions</w:t>
      </w:r>
      <w:r w:rsidR="006B1476">
        <w:t xml:space="preserve">. </w:t>
      </w:r>
      <w:r w:rsidR="006B1476" w:rsidRPr="006B1476">
        <w:t>produced by PG-Power. Clopper-Pearson was used as the primary method.</w:t>
      </w:r>
      <w:bookmarkEnd w:id="45"/>
    </w:p>
    <w:p w14:paraId="44F0F96A" w14:textId="2A71FA85" w:rsidR="004907D2" w:rsidRPr="004907D2" w:rsidRDefault="004907D2" w:rsidP="004907D2">
      <w:r w:rsidRPr="004907D2">
        <w:t>The Wald interval produced the smallest required sample size of 169 patients but achieved power of only 77.3% under the assumed true complication proportion, falling well short of the 90% target. This is consistent with the simulation results in Section 5.1, which showed the Wald interval systematically undercovering across the proportion range relevant to this endpoint</w:t>
      </w:r>
      <w:r w:rsidR="00AB4184">
        <w:fldChar w:fldCharType="begin"/>
      </w:r>
      <w:r w:rsidR="00AB4184">
        <w:instrText xml:space="preserve"> ADDIN ZOTERO_ITEM CSL_CITATION {"citationID":"l80Q1avY","properties":{"unsorted":false,"formattedCitation":"(17,19)","plainCitation":"(17,19)","noteIndex":0},"citationItems":[{"id":43,"uris":["http://zotero.org/users/local/ebPldVBC/items/H9KC5ZVH"],"itemData":{"id":43,"type":"article-journal","abstract":"[We revisit the problem of interval estimation of a binomial proportion. The erratic behavior of the coverage probability of the standard Wald confidence interval has previously been remarked on in the literature (Blyth and Still, Agresti and Coull, Santner and others). We begin by showing that the chaotic coverage properties of the Wald interval are far more persistent than is appreciated. Furthermore, common textbook prescriptions regarding its safety are misleading and defective in several respects and cannot be trusted. This leads us to consideration of alternative intervals. A number of natural alternatives are presented, each with its motivation and context. Each interval is examined for its coverage probability and its length. Based on this analysis, we recommend the Wilson interval or the equal-tailed Jeffreys prior interval for small n and the interval suggested in Agresti and Coull for larger n. We also provide an additional frequentist justification for use of the Jeffreys interval.]","archive":"JSTOR","container-title":"Statistical Science","ISSN":"08834237, 21688745","issue":"2","page":"101-117","publisher":"Institute of Mathematical Statistics","title":"Interval Estimation for a Binomial Proportion","volume":"16","author":[{"family":"Brown","given":"Lawrence D."},{"family":"Cai","given":"T. Tony"},{"family":"DasGupta","given":"Anirban"}],"issued":{"date-parts":[["2001"]]}}},{"id":47,"uris":["http://zotero.org/users/local/ebPldVBC/items/9R42W4LB"],"itemData":{"id":47,"type":"article-journal","container-title":"The American Statistician","ISSN":"0003-1305","issue":"2","journalAbbreviation":"The American Statistician","page":"119-126","publisher":"Taylor &amp; Francis","title":"Approximate is better than “exact” for interval estimation of binomial proportions","volume":"52","author":[{"family":"Agresti","given":"Alan"},{"family":"Coull","given":"Brent A"}],"issued":{"date-parts":[["1998"]]}}}],"schema":"https://github.com/citation-style-language/schema/raw/master/csl-citation.json"} </w:instrText>
      </w:r>
      <w:r w:rsidR="00AB4184">
        <w:fldChar w:fldCharType="separate"/>
      </w:r>
      <w:r w:rsidR="00AB4184" w:rsidRPr="00AB4184">
        <w:rPr>
          <w:rFonts w:ascii="Aptos" w:hAnsi="Aptos"/>
        </w:rPr>
        <w:t>(17,19)</w:t>
      </w:r>
      <w:r w:rsidR="00AB4184">
        <w:fldChar w:fldCharType="end"/>
      </w:r>
      <w:r w:rsidRPr="004907D2">
        <w:t>. A sample size derived from the Wald interval would therefore be unreliable as a basis for study design.</w:t>
      </w:r>
    </w:p>
    <w:p w14:paraId="6B9D24FB" w14:textId="7B72D89D" w:rsidR="004907D2" w:rsidRPr="004907D2" w:rsidRDefault="004907D2" w:rsidP="004907D2">
      <w:r w:rsidRPr="004907D2">
        <w:t>Among the remaining methods, Jeffreys required 198 patients with achieved power of 87.7%, and Wilson Score required 208 patients at 83.9% power</w:t>
      </w:r>
      <w:r>
        <w:t>,</w:t>
      </w:r>
      <w:r w:rsidRPr="004907D2">
        <w:t xml:space="preserve"> both falling below the 90% target despite requiring more patients than Wald. Clopper-Pearson and Agresti-Coull were the only methods to approach the target, requiring 209 and 210 patients at achieved powers of 89.7% and 89.4% respectively. The Wilson Score with continuity correction required the largest sample size of 247 patients, achieving 92.8% power, consistent with its conservative coverage behaviour observed in Section 5.1.</w:t>
      </w:r>
    </w:p>
    <w:p w14:paraId="06A0AA59" w14:textId="7AE14E00" w:rsidR="004907D2" w:rsidRDefault="004907D2" w:rsidP="004907D2">
      <w:r w:rsidRPr="004907D2">
        <w:t>Notably, Wilson Score required only one fewer patient than Clopper-Pearson but achieved considerably lower power at 83.9% versus 89.7%. This reflects the stepwise nature of the power calculation for binary endpoints discussed in Section 2.4</w:t>
      </w:r>
      <w:r>
        <w:t xml:space="preserve">, </w:t>
      </w:r>
      <w:r w:rsidRPr="004907D2">
        <w:t>a single additional patient can shift the maximum allowable number of events and produce a discrete jump in achieved power</w:t>
      </w:r>
      <w:r w:rsidR="00AB4184">
        <w:fldChar w:fldCharType="begin"/>
      </w:r>
      <w:r w:rsidR="00AB4184">
        <w:instrText xml:space="preserve"> ADDIN ZOTERO_ITEM CSL_CITATION {"citationID":"mq1OvDN9","properties":{"unsorted":false,"formattedCitation":"(13,17)","plainCitation":"(13,17)","noteIndex":0},"citationItems":[{"id":38,"uris":["http://zotero.org/users/local/ebPldVBC/items/4KW5E62I"],"itemData":{"id":38,"type":"book","ISBN":"1-315-18308-0","publisher":"chapman and hall/CRC","title":"Sample size calculations in clinical research","author":[{"family":"Chow","given":"Shein-Chung"},{"family":"Shao","given":"Jun"},{"family":"Wang","given":"Hansheng"},{"family":"Lokhnygina","given":"Yuliya"}],"issued":{"date-parts":[["2017"]]}}},{"id":43,"uris":["http://zotero.org/users/local/ebPldVBC/items/H9KC5ZVH"],"itemData":{"id":43,"type":"article-journal","abstract":"[We revisit the problem of interval estimation of a binomial proportion. The erratic behavior of the coverage probability of the standard Wald confidence interval has previously been remarked on in the literature (Blyth and Still, Agresti and Coull, Santner and others). We begin by showing that the chaotic coverage properties of the Wald interval are far more persistent than is appreciated. Furthermore, common textbook prescriptions regarding its safety are misleading and defective in several respects and cannot be trusted. This leads us to consideration of alternative intervals. A number of natural alternatives are presented, each with its motivation and context. Each interval is examined for its coverage probability and its length. Based on this analysis, we recommend the Wilson interval or the equal-tailed Jeffreys prior interval for small n and the interval suggested in Agresti and Coull for larger n. We also provide an additional frequentist justification for use of the Jeffreys interval.]","archive":"JSTOR","container-title":"Statistical Science","ISSN":"08834237, 21688745","issue":"2","page":"101-117","publisher":"Institute of Mathematical Statistics","title":"Interval Estimation for a Binomial Proportion","volume":"16","author":[{"family":"Brown","given":"Lawrence D."},{"family":"Cai","given":"T. Tony"},{"family":"DasGupta","given":"Anirban"}],"issued":{"date-parts":[["2001"]]}}}],"schema":"https://github.com/citation-style-language/schema/raw/master/csl-citation.json"} </w:instrText>
      </w:r>
      <w:r w:rsidR="00AB4184">
        <w:fldChar w:fldCharType="separate"/>
      </w:r>
      <w:r w:rsidR="00AB4184" w:rsidRPr="00AB4184">
        <w:rPr>
          <w:rFonts w:ascii="Aptos" w:hAnsi="Aptos"/>
        </w:rPr>
        <w:t>(13,17)</w:t>
      </w:r>
      <w:r w:rsidR="00AB4184">
        <w:fldChar w:fldCharType="end"/>
      </w:r>
      <w:r w:rsidRPr="004907D2">
        <w:t>. The difference between the smallest reliable sample size and the largest, Clopper-Pearson at 209 and Wilson Score with continuity correction at 247, represents 38 additional evaluable patients or approximately 42 additional enrolments after dropout adjustment, illustrating how method choice directly affects study feasibility</w:t>
      </w:r>
      <w:r w:rsidR="00AB4184">
        <w:fldChar w:fldCharType="begin"/>
      </w:r>
      <w:r w:rsidR="00AB4184">
        <w:instrText xml:space="preserve"> ADDIN ZOTERO_ITEM CSL_CITATION {"citationID":"I2CHq2A4","properties":{"unsorted":false,"formattedCitation":"(14,16)","plainCitation":"(14,16)","noteIndex":0},"citationItems":[{"id":39,"uris":["http://zotero.org/users/local/ebPldVBC/items/BSAWXQE8"],"itemData":{"id":39,"type":"article-journal","abstract":"Investigators should properly calculate sample sizes before the start of their randomised trials and adequately describe the details in their published report. In these a-priori calculations, determining the effect size to detect?eg, event rates in treatment and control groups?reflects inherently subjective clinical judgments. Furthermore, these judgments greatly affect sample size calculations. We question the branding of trials as unethical on the basis of an imprecise sample size calculation process. So-called underpowered trials might be acceptable if investigators use methodological rigor to eliminate bias, properly report to avoid misinterpretation, and always publish results to avert publication bias. Some shift of emphasis from a fixation on sample size to a focus on methodological quality would yield more trials with less bias. Unbiased trials with imprecise results trump no results at all. Clinicians and patients deserve guidance now.","container-title":"The Lancet","DOI":"10.1016/S0140-6736(05)61034-3","ISSN":"0140-6736","issue":"9467","page":"1348-1353","publisher":"Elsevier","title":"Sample size calculations in randomised trials: mandatory and mystical","volume":"365","author":[{"family":"Schulz","given":"Kenneth F"},{"family":"Grimes","given":"David A"}],"issued":{"date-parts":[["2005",4,9]]}}},{"id":37,"uris":["http://zotero.org/users/local/ebPldVBC/items/APGW42QD"],"itemData":{"id":37,"type":"article-journal","abstract":"Sample size determination is an essential step in planning a clinical study. It is critical to understand that different study designs need different methods of sample size estimation. Although there is a vast literature discussing sample size estimation, incorrect or improper formulas continue to be applied. This article reviews basic statistical concepts in sample size estimation, discusses statistical considerations in the choice of a sample size for randomized controlled trials and observational studies, and provides strategies for reducing sample size when planning a study. To assist clinical researchers in performing sample size calculations, we have developed an online calculator for common clinical study designs. The calculator is available at http://riskcalc.org:3838/samplesize/. Finally, we offer our recommendations on reporting sample size determination in clinical studies.","container-title":"An Overview of Study Design and Statistical Considerations","DOI":"10.1016/j.chest.2020.03.010","ISSN":"0012-3692","issue":"1, Supplement","journalAbbreviation":"Chest","page":"S12-S20","title":"Sample Size Estimation in Clinical Research: From Randomized Controlled Trials to Observational Studies","volume":"158","author":[{"family":"Wang","given":"Xiaofeng"},{"family":"Ji","given":"Xinge"}],"issued":{"date-parts":[["2020",7,1]]}}}],"schema":"https://github.com/citation-style-language/schema/raw/master/csl-citation.json"} </w:instrText>
      </w:r>
      <w:r w:rsidR="00AB4184">
        <w:fldChar w:fldCharType="separate"/>
      </w:r>
      <w:r w:rsidR="00AB4184" w:rsidRPr="00AB4184">
        <w:rPr>
          <w:rFonts w:ascii="Aptos" w:hAnsi="Aptos"/>
        </w:rPr>
        <w:t>(14,16)</w:t>
      </w:r>
      <w:r w:rsidR="00AB4184">
        <w:fldChar w:fldCharType="end"/>
      </w:r>
      <w:r w:rsidRPr="004907D2">
        <w:t>.</w:t>
      </w:r>
    </w:p>
    <w:p w14:paraId="04AFB96E" w14:textId="4F14BA89" w:rsidR="004907D2" w:rsidRPr="004907D2" w:rsidRDefault="004907D2" w:rsidP="004907D2">
      <w:r w:rsidRPr="004907D2">
        <w:t>A full report generated by the PG-Power application for these design assumptions, including power curves and sensitivity analyses, is available in PDF form on the project GitHub repository (see Appendix).</w:t>
      </w:r>
    </w:p>
    <w:p w14:paraId="42D59827" w14:textId="4A6F5D8E" w:rsidR="004907D2" w:rsidRPr="00E911F1" w:rsidRDefault="004907D2" w:rsidP="00E911F1"/>
    <w:p w14:paraId="348023DA" w14:textId="02E83423" w:rsidR="00631AD0" w:rsidRDefault="00313F36" w:rsidP="00AD0385">
      <w:pPr>
        <w:pStyle w:val="Heading2"/>
      </w:pPr>
      <w:bookmarkStart w:id="46" w:name="_Toc232114715"/>
      <w:r>
        <w:t>5</w:t>
      </w:r>
      <w:r w:rsidR="00886B40">
        <w:t xml:space="preserve">.4 </w:t>
      </w:r>
      <w:r w:rsidR="005D6FA4">
        <w:t xml:space="preserve">Bayesian Historical Borrowing </w:t>
      </w:r>
      <w:r w:rsidR="00886B40">
        <w:t>Results</w:t>
      </w:r>
      <w:bookmarkEnd w:id="46"/>
    </w:p>
    <w:p w14:paraId="14B4374A" w14:textId="77777777" w:rsidR="006B1476" w:rsidRDefault="00635FBC" w:rsidP="006B1476">
      <w:pPr>
        <w:keepNext/>
        <w:spacing w:line="276" w:lineRule="auto"/>
      </w:pPr>
      <w:r w:rsidRPr="00635FBC">
        <w:t xml:space="preserve">Under the </w:t>
      </w:r>
      <m:oMath>
        <m:r>
          <w:rPr>
            <w:rFonts w:ascii="Cambria Math" w:hAnsi="Cambria Math"/>
          </w:rPr>
          <m:t>Beta(2, 48)</m:t>
        </m:r>
      </m:oMath>
      <w:r w:rsidRPr="00635FBC">
        <w:t xml:space="preserve"> prior and the design assumptions described in Section 4.4, the required evaluable sample size was n = 79, permitting no more than 4 observed events. This represents a reduction of 130 patients</w:t>
      </w:r>
      <w:r w:rsidR="00797711">
        <w:t>,</w:t>
      </w:r>
      <w:r w:rsidRPr="00635FBC">
        <w:t xml:space="preserve"> approximately 62%</w:t>
      </w:r>
      <w:r w:rsidR="00797711">
        <w:t xml:space="preserve">, </w:t>
      </w:r>
      <w:r w:rsidRPr="00635FBC">
        <w:t xml:space="preserve">relative to the Clopper-Pearson frequentist result </w:t>
      </w:r>
      <w:r w:rsidRPr="00635FBC">
        <w:lastRenderedPageBreak/>
        <w:t>of 209 from Section 4.3.</w:t>
      </w:r>
      <w:r w:rsidR="0084261D">
        <w:rPr>
          <w:rFonts w:eastAsiaTheme="minorEastAsia"/>
          <w:noProof/>
        </w:rPr>
        <w:drawing>
          <wp:inline distT="0" distB="0" distL="0" distR="0" wp14:anchorId="1062ED71" wp14:editId="0B3FE77A">
            <wp:extent cx="6034133" cy="3680571"/>
            <wp:effectExtent l="0" t="0" r="5080" b="0"/>
            <wp:docPr id="156992760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927600" name="Picture 12"/>
                    <pic:cNvPicPr/>
                  </pic:nvPicPr>
                  <pic:blipFill>
                    <a:blip r:embed="rId22">
                      <a:extLst>
                        <a:ext uri="{28A0092B-C50C-407E-A947-70E740481C1C}">
                          <a14:useLocalDpi xmlns:a14="http://schemas.microsoft.com/office/drawing/2010/main" val="0"/>
                        </a:ext>
                      </a:extLst>
                    </a:blip>
                    <a:stretch>
                      <a:fillRect/>
                    </a:stretch>
                  </pic:blipFill>
                  <pic:spPr>
                    <a:xfrm>
                      <a:off x="0" y="0"/>
                      <a:ext cx="6034133" cy="3680571"/>
                    </a:xfrm>
                    <a:prstGeom prst="rect">
                      <a:avLst/>
                    </a:prstGeom>
                  </pic:spPr>
                </pic:pic>
              </a:graphicData>
            </a:graphic>
          </wp:inline>
        </w:drawing>
      </w:r>
    </w:p>
    <w:p w14:paraId="47EED622" w14:textId="0AE1E34C" w:rsidR="0084261D" w:rsidRPr="0084261D" w:rsidRDefault="006B1476" w:rsidP="006B1476">
      <w:pPr>
        <w:pStyle w:val="Caption"/>
        <w:rPr>
          <w:rFonts w:eastAsiaTheme="minorEastAsia"/>
        </w:rPr>
      </w:pPr>
      <w:bookmarkStart w:id="47" w:name="_Toc232114744"/>
      <w:r>
        <w:t xml:space="preserve">Figure </w:t>
      </w:r>
      <w:r>
        <w:fldChar w:fldCharType="begin"/>
      </w:r>
      <w:r>
        <w:instrText xml:space="preserve"> SEQ Figure \* ARABIC </w:instrText>
      </w:r>
      <w:r>
        <w:fldChar w:fldCharType="separate"/>
      </w:r>
      <w:r w:rsidR="007F77B6">
        <w:rPr>
          <w:noProof/>
        </w:rPr>
        <w:t>14</w:t>
      </w:r>
      <w:r>
        <w:fldChar w:fldCharType="end"/>
      </w:r>
      <w:r>
        <w:t xml:space="preserve"> </w:t>
      </w:r>
      <w:r w:rsidRPr="00BD1485">
        <w:t xml:space="preserve">Bayesian power curve for the </w:t>
      </w:r>
      <w:proofErr w:type="spellStart"/>
      <w:r w:rsidRPr="00BD1485">
        <w:t>BioMimics</w:t>
      </w:r>
      <w:proofErr w:type="spellEnd"/>
      <w:r w:rsidRPr="00BD1485">
        <w:t xml:space="preserve"> 3D 30-day composite safety endpoint under a </w:t>
      </w:r>
      <w:proofErr w:type="gramStart"/>
      <w:r w:rsidRPr="00BD1485">
        <w:t>Beta(</w:t>
      </w:r>
      <w:proofErr w:type="gramEnd"/>
      <w:r w:rsidRPr="00BD1485">
        <w:t>2, 48) prior</w:t>
      </w:r>
      <w:r>
        <w:t>.</w:t>
      </w:r>
      <w:bookmarkEnd w:id="47"/>
    </w:p>
    <w:p w14:paraId="45BF3AF9" w14:textId="5423CD5D" w:rsidR="00635FBC" w:rsidRPr="00635FBC" w:rsidRDefault="00635FBC" w:rsidP="00635FBC">
      <w:pPr>
        <w:spacing w:line="276" w:lineRule="auto"/>
      </w:pPr>
      <w:r w:rsidRPr="00635FBC">
        <w:t xml:space="preserve">The power curve in Figure </w:t>
      </w:r>
      <w:r w:rsidR="006803C8">
        <w:t>14</w:t>
      </w:r>
      <w:r w:rsidRPr="00635FBC">
        <w:t xml:space="preserve"> illustrates how achieved power evolves across candidate sample sizes under the Bayesian model. The saw-tooth pattern reflects the same discrete stepwise behaviour described in Section 2.4, where power decreases gradually within ranges of </w:t>
      </w:r>
      <m:oMath>
        <m:r>
          <w:rPr>
            <w:rFonts w:ascii="Cambria Math" w:hAnsi="Cambria Math"/>
          </w:rPr>
          <m:t>n</m:t>
        </m:r>
      </m:oMath>
      <w:r w:rsidR="00797711">
        <w:rPr>
          <w:rFonts w:eastAsiaTheme="minorEastAsia"/>
        </w:rPr>
        <w:t xml:space="preserve"> </w:t>
      </w:r>
      <w:r w:rsidRPr="00635FBC">
        <w:t>and increases sharply when an additional event becomes permissible. The required sample size of 79 corresponds to the first point at which the power curve crosses the 90% threshold.</w:t>
      </w:r>
    </w:p>
    <w:p w14:paraId="54464F8D" w14:textId="77BC96DF" w:rsidR="00635FBC" w:rsidRPr="00635FBC" w:rsidRDefault="00635FBC" w:rsidP="00635FBC">
      <w:pPr>
        <w:spacing w:line="276" w:lineRule="auto"/>
      </w:pPr>
      <w:r w:rsidRPr="00635FBC">
        <w:t xml:space="preserve">The sensitivity of this result to prior weight is shown in Figure </w:t>
      </w:r>
      <w:r w:rsidR="006803C8">
        <w:t>15</w:t>
      </w:r>
      <w:r w:rsidRPr="00635FBC">
        <w:t>. All three distributions</w:t>
      </w:r>
      <w:r w:rsidR="00797711">
        <w:t>:</w:t>
      </w:r>
      <w:r w:rsidRPr="00635FBC">
        <w:t xml:space="preserve"> </w:t>
      </w:r>
      <m:oMath>
        <m:r>
          <w:rPr>
            <w:rFonts w:ascii="Cambria Math" w:hAnsi="Cambria Math"/>
          </w:rPr>
          <m:t>Beta(0.2, 4.8</m:t>
        </m:r>
      </m:oMath>
      <w:r w:rsidRPr="00635FBC">
        <w:t xml:space="preserve">), </w:t>
      </w:r>
      <m:oMath>
        <m:r>
          <w:rPr>
            <w:rFonts w:ascii="Cambria Math" w:hAnsi="Cambria Math"/>
          </w:rPr>
          <m:t>Beta(2, 48)</m:t>
        </m:r>
      </m:oMath>
      <w:r w:rsidRPr="00635FBC">
        <w:t xml:space="preserve"> and </w:t>
      </w:r>
      <m:oMath>
        <m:r>
          <w:rPr>
            <w:rFonts w:ascii="Cambria Math" w:hAnsi="Cambria Math"/>
          </w:rPr>
          <m:t>Beta(20, 480)</m:t>
        </m:r>
      </m:oMath>
      <w:r w:rsidR="00797711">
        <w:t>,</w:t>
      </w:r>
      <w:r w:rsidRPr="00635FBC">
        <w:t xml:space="preserve"> encode the same underlying event ratio but differ substantially in how tightly they concentrate the posterior.</w:t>
      </w:r>
    </w:p>
    <w:p w14:paraId="10936629" w14:textId="77777777" w:rsidR="007F77B6" w:rsidRDefault="0084261D" w:rsidP="007F77B6">
      <w:pPr>
        <w:keepNext/>
        <w:spacing w:line="276" w:lineRule="auto"/>
      </w:pPr>
      <w:r>
        <w:rPr>
          <w:noProof/>
        </w:rPr>
        <w:lastRenderedPageBreak/>
        <w:drawing>
          <wp:inline distT="0" distB="0" distL="0" distR="0" wp14:anchorId="6A42784F" wp14:editId="672929BA">
            <wp:extent cx="4310902" cy="2718586"/>
            <wp:effectExtent l="0" t="0" r="0" b="5715"/>
            <wp:docPr id="9472163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21636" name="Picture 13"/>
                    <pic:cNvPicPr/>
                  </pic:nvPicPr>
                  <pic:blipFill>
                    <a:blip r:embed="rId23">
                      <a:extLst>
                        <a:ext uri="{28A0092B-C50C-407E-A947-70E740481C1C}">
                          <a14:useLocalDpi xmlns:a14="http://schemas.microsoft.com/office/drawing/2010/main" val="0"/>
                        </a:ext>
                      </a:extLst>
                    </a:blip>
                    <a:stretch>
                      <a:fillRect/>
                    </a:stretch>
                  </pic:blipFill>
                  <pic:spPr>
                    <a:xfrm>
                      <a:off x="0" y="0"/>
                      <a:ext cx="4310902" cy="2718586"/>
                    </a:xfrm>
                    <a:prstGeom prst="rect">
                      <a:avLst/>
                    </a:prstGeom>
                  </pic:spPr>
                </pic:pic>
              </a:graphicData>
            </a:graphic>
          </wp:inline>
        </w:drawing>
      </w:r>
    </w:p>
    <w:p w14:paraId="2B70CBB1" w14:textId="30D70F2C" w:rsidR="0084261D" w:rsidRPr="0084261D" w:rsidRDefault="007F77B6" w:rsidP="007F77B6">
      <w:pPr>
        <w:pStyle w:val="Caption"/>
      </w:pPr>
      <w:bookmarkStart w:id="48" w:name="_Toc232114745"/>
      <w:r>
        <w:t xml:space="preserve">Figure </w:t>
      </w:r>
      <w:r>
        <w:fldChar w:fldCharType="begin"/>
      </w:r>
      <w:r>
        <w:instrText xml:space="preserve"> SEQ Figure \* ARABIC </w:instrText>
      </w:r>
      <w:r>
        <w:fldChar w:fldCharType="separate"/>
      </w:r>
      <w:r>
        <w:rPr>
          <w:noProof/>
        </w:rPr>
        <w:t>15</w:t>
      </w:r>
      <w:r>
        <w:fldChar w:fldCharType="end"/>
      </w:r>
      <w:r>
        <w:t xml:space="preserve"> </w:t>
      </w:r>
      <w:r w:rsidRPr="00327D10">
        <w:t>Effect of prior weight on the posterior distribution of the true event proportion θ under three Beta priors with the same event ratio (1:24) but increasing effective sample sizes of 5, 50 and 500.</w:t>
      </w:r>
      <w:bookmarkEnd w:id="48"/>
    </w:p>
    <w:p w14:paraId="60DDCE0C" w14:textId="5595C353" w:rsidR="005D6FA4" w:rsidRDefault="00635FBC" w:rsidP="0084261D">
      <w:pPr>
        <w:spacing w:line="276" w:lineRule="auto"/>
      </w:pPr>
      <w:r w:rsidRPr="00635FBC">
        <w:t>With ESS = 5 the posterior is broad and driven largely by the current data, offering modest sample size reduction relative to the frequentist result. With ESS = 50 the posterior concentrates more clearly around the historical event proportion of 4%, well below the performance goal of 11%, producing the reduction to n = 79 reported above. With ESS = 500 the posterior is narrow and the prior dominates, largely overriding the current trial data. While this produces the greatest reduction in required sample size, it also renders the conclusion highly sensitive to the validity of the exchangeability assumption</w:t>
      </w:r>
      <w:r w:rsidR="00797711">
        <w:t>.</w:t>
      </w:r>
      <w:r w:rsidRPr="00635FBC">
        <w:t xml:space="preserve"> </w:t>
      </w:r>
      <w:r w:rsidR="00797711">
        <w:t>I</w:t>
      </w:r>
      <w:r w:rsidRPr="00635FBC">
        <w:t>f the true event proportion in the current study differs from the historical estimate, a strongly informative prior will pull the posterior toward the historical value regardless of what the current data show.</w:t>
      </w:r>
    </w:p>
    <w:p w14:paraId="6F36397B" w14:textId="20048985" w:rsidR="007B6069" w:rsidRDefault="007B6069" w:rsidP="00313F36">
      <w:pPr>
        <w:pStyle w:val="Heading1"/>
        <w:numPr>
          <w:ilvl w:val="0"/>
          <w:numId w:val="4"/>
        </w:numPr>
        <w:spacing w:line="276" w:lineRule="auto"/>
      </w:pPr>
      <w:bookmarkStart w:id="49" w:name="_Toc232114716"/>
      <w:r>
        <w:t>Discussion</w:t>
      </w:r>
      <w:bookmarkEnd w:id="49"/>
    </w:p>
    <w:p w14:paraId="4C309FAE" w14:textId="350356E3" w:rsidR="007B6069" w:rsidRDefault="00313F36" w:rsidP="00305DE4">
      <w:pPr>
        <w:pStyle w:val="Heading2"/>
      </w:pPr>
      <w:bookmarkStart w:id="50" w:name="_Toc232114717"/>
      <w:r>
        <w:t>6</w:t>
      </w:r>
      <w:r w:rsidR="00305DE4">
        <w:t xml:space="preserve">.1 </w:t>
      </w:r>
      <w:r w:rsidR="00694B39">
        <w:t>Interpretation of main findings</w:t>
      </w:r>
      <w:bookmarkEnd w:id="50"/>
    </w:p>
    <w:p w14:paraId="60A509D5" w14:textId="0BC393E1" w:rsidR="00B373B7" w:rsidRDefault="00762536" w:rsidP="00305DE4">
      <w:pPr>
        <w:spacing w:line="276" w:lineRule="auto"/>
      </w:pPr>
      <w:r w:rsidRPr="00762536">
        <w:t>This study set out to examine how performance goal selection, confidence interval choice and sample size calculation interact to influence conclusions in a single-arm medical device setting. The five aims established in Section 1.5 are addressed in turn before their combined implications are considered.</w:t>
      </w:r>
    </w:p>
    <w:p w14:paraId="7D991C94" w14:textId="77777777" w:rsidR="00762536" w:rsidRDefault="00762536" w:rsidP="00305DE4">
      <w:pPr>
        <w:spacing w:line="276" w:lineRule="auto"/>
      </w:pPr>
    </w:p>
    <w:p w14:paraId="6F86CF34" w14:textId="15672CA2" w:rsidR="00B373B7" w:rsidRDefault="00B373B7" w:rsidP="00762536">
      <w:pPr>
        <w:pStyle w:val="Heading3"/>
      </w:pPr>
      <w:bookmarkStart w:id="51" w:name="_Toc232114718"/>
      <w:r w:rsidRPr="00B373B7">
        <w:t>Aim 1: Deriving evidence-based performance goals through meta-analysis</w:t>
      </w:r>
      <w:bookmarkEnd w:id="51"/>
    </w:p>
    <w:p w14:paraId="7235CED5" w14:textId="77777777" w:rsidR="00762536" w:rsidRPr="00762536" w:rsidRDefault="00762536" w:rsidP="00762536">
      <w:r w:rsidRPr="00762536">
        <w:t xml:space="preserve">The meta-analysis of three historical femoropopliteal nitinol stent studies yielded a pooled 30-day composite complication proportion of approximately 6%, with the upper confidence limit extending to 12%, and a pooled 12-month Rutherford classification success proportion of approximately 95.8%, with the lower confidence limit at 88%. Confidence interval boundaries rather than point estimates were used to derive the proposed performance goals, acknowledging the uncertainty inherent in a small historical evidence base of only three studies and 116 patients combined. The resulting benchmarks of 12% for safety and 88% for efficacy </w:t>
      </w:r>
      <w:r w:rsidRPr="00762536">
        <w:lastRenderedPageBreak/>
        <w:t>are therefore ranges rather than fixed values, and the width of those ranges reflects the limited precision of the available evidence.</w:t>
      </w:r>
    </w:p>
    <w:p w14:paraId="55D0A0C1" w14:textId="43261C31" w:rsidR="00762536" w:rsidRDefault="00762536" w:rsidP="00762536">
      <w:r w:rsidRPr="00762536">
        <w:t xml:space="preserve">This has two practical consequences. First, where within the range the performance goal is set matters: the sensitivity of sample size requirements to the difference between the proposed 12% and approved 11% thresholds is examined in Aim 3. Second, deriving performance goals from conservative confidence interval boundaries rather than point estimates produces a less stringent benchmark, which reduces the risk of an unrealistically strict threshold but introduces the possibility of </w:t>
      </w:r>
      <w:proofErr w:type="spellStart"/>
      <w:r w:rsidRPr="00762536">
        <w:t>biocreep</w:t>
      </w:r>
      <w:proofErr w:type="spellEnd"/>
      <w:r w:rsidR="006845ED">
        <w:fldChar w:fldCharType="begin"/>
      </w:r>
      <w:r w:rsidR="00E20641">
        <w:instrText xml:space="preserve"> ADDIN ZOTERO_ITEM CSL_CITATION {"citationID":"Zj8h2HKR","properties":{"unsorted":false,"formattedCitation":"(40)","plainCitation":"(40)","noteIndex":0},"citationItems":[{"id":53,"uris":["http://zotero.org/users/local/ebPldVBC/items/JBBWX3UP"],"itemData":{"id":53,"type":"article-journal","container-title":"Statistics in medicine","ISSN":"0277-6715","issue":"27","journalAbbreviation":"Statistics in medicine","page":"2769-2780","publisher":"Wiley Online Library","title":"Bio</w:instrText>
      </w:r>
      <w:r w:rsidR="00E20641">
        <w:rPr>
          <w:rFonts w:ascii="Cambria Math" w:hAnsi="Cambria Math" w:cs="Cambria Math"/>
        </w:rPr>
        <w:instrText>‐</w:instrText>
      </w:r>
      <w:r w:rsidR="00E20641">
        <w:instrText>creep in non</w:instrText>
      </w:r>
      <w:r w:rsidR="00E20641">
        <w:rPr>
          <w:rFonts w:ascii="Cambria Math" w:hAnsi="Cambria Math" w:cs="Cambria Math"/>
        </w:rPr>
        <w:instrText>‐</w:instrText>
      </w:r>
      <w:r w:rsidR="00E20641">
        <w:instrText>inferiority clinical trials","volume":"29","author":[{"family":"Everson</w:instrText>
      </w:r>
      <w:r w:rsidR="00E20641">
        <w:rPr>
          <w:rFonts w:ascii="Cambria Math" w:hAnsi="Cambria Math" w:cs="Cambria Math"/>
        </w:rPr>
        <w:instrText>‐</w:instrText>
      </w:r>
      <w:r w:rsidR="00E20641">
        <w:instrText xml:space="preserve">Stewart","given":"Siobhan"},{"family":"Emerson","given":"Scott S"}],"issued":{"date-parts":[["2010"]]}}}],"schema":"https://github.com/citation-style-language/schema/raw/master/csl-citation.json"} </w:instrText>
      </w:r>
      <w:r w:rsidR="006845ED">
        <w:fldChar w:fldCharType="separate"/>
      </w:r>
      <w:r w:rsidR="00E20641" w:rsidRPr="00E20641">
        <w:rPr>
          <w:rFonts w:ascii="Aptos" w:hAnsi="Aptos"/>
        </w:rPr>
        <w:t>(40)</w:t>
      </w:r>
      <w:r w:rsidR="006845ED">
        <w:fldChar w:fldCharType="end"/>
      </w:r>
      <w:r w:rsidRPr="00762536">
        <w:t>. If successive device generations are each evaluated against benchmarks derived from increasingly conservative historical estimates, acceptable performance standards may gradually drift from the original level of clinical effectiveness. In a single-arm study without a concurrent control, this risk is amplified because there is no active comparator to anchor the comparison</w:t>
      </w:r>
      <w:r w:rsidR="006845ED">
        <w:fldChar w:fldCharType="begin"/>
      </w:r>
      <w:r w:rsidR="006845ED">
        <w:instrText xml:space="preserve"> ADDIN ZOTERO_ITEM CSL_CITATION {"citationID":"nVaPRMNd","properties":{"unsorted":false,"formattedCitation":"(7,10)","plainCitation":"(7,10)","noteIndex":0},"citationItems":[{"id":32,"uris":["http://zotero.org/users/local/ebPldVBC/items/7QTQGWQJ"],"itemData":{"id":32,"type":"article-journal","abstract":"Performance goals are numerical target values pertaining to effectiveness or safety endpoints in single-arm medical device clinical studies. Typically,  performance goals are determined at the planning stage of the investigational  study under consideration based on summarized outcome information from existing  relevant clinical trials. In recent years, there is a growing interest in  leveraging real-world evidence in medical product development. In this article,  we introduce a new method for proposing performance goals by leveraging  real-world evidence. The method applies entropy balancing to address possible  patient dissimilarities between the study's target patient population and  existing real-world patients, and can take into account operation differences  between clinical studies and real-world clinical practice. An illustrative  example is provided to demonstrate how to implement the proposed method for  performance goal determination while leveraging real-world evidence.","container-title":"Statistics in medicine","DOI":"10.1002/sim.9199","ISSN":"1097-0258 0277-6715","issue":"29","journalAbbreviation":"Stat Med","language":"eng","license":"© 2021 John Wiley &amp; Sons Ltd.","page":"6577-6589","PMID":"34561895","publisher-place":"England","title":"Leveraging real-world evidence for determining performance goals for medical device studies.","volume":"40","author":[{"family":"Wang","given":"Chenguang"},{"family":"Rosner","given":"Gary L."},{"family":"Bao","given":"Tingting"},{"family":"Lu","given":"Nelson"},{"family":"Chen","given":"Wei-Chen"},{"family":"Li","given":"Heng"},{"family":"Tiwari","given":"Ram"},{"family":"Xu","given":"Yunling"},{"family":"Yue","given":"Lilly Q."}],"issued":{"date-parts":[["2021",12,20]]}}},{"id":21,"uris":["http://zotero.org/users/local/ebPldVBC/items/SLWFMSIE"],"itemData":{"id":21,"type":"article-journal","abstract":"Although single-arm trials (SATs) can serve as a pivotal study design for evaluating drug efficacy in specific scenarios, they are accompanied by inherent limitations and challenges. This paper explores the challenges of validity, reliability, statistical power, and the use of external control in SATs from a statistical perspective. We reflect on the rationale for employing SATs to support efficacy assessments, and provide recommendations based on their limitations and potential biases. The objective is to offer guidance for the improved design and implementation of SATs in future research.","container-title":"BMC Medical Research Methodology","DOI":"10.1186/s12874-025-02660-9","ISSN":"1471-2288","issue":"1","journalAbbreviation":"BMC Medical Research Methodology","page":"233","title":"Estimating comparative effectiveness using Single-Arm trials: A challenge in the field of agnosticism","volume":"25","author":[{"family":"Cao","given":"Shang"},{"family":"Kan","given":"Hongwei"},{"family":"Lu","given":"Mingliang"},{"family":"Pan","given":"Jianhong"}],"issued":{"date-parts":[["2025",10,21]]}}}],"schema":"https://github.com/citation-style-language/schema/raw/master/csl-citation.json"} </w:instrText>
      </w:r>
      <w:r w:rsidR="006845ED">
        <w:fldChar w:fldCharType="separate"/>
      </w:r>
      <w:r w:rsidR="006845ED" w:rsidRPr="006845ED">
        <w:rPr>
          <w:rFonts w:ascii="Aptos" w:hAnsi="Aptos"/>
        </w:rPr>
        <w:t>(7,10)</w:t>
      </w:r>
      <w:r w:rsidR="006845ED">
        <w:fldChar w:fldCharType="end"/>
      </w:r>
      <w:r w:rsidRPr="00762536">
        <w:t>. The validity of the derived benchmarks ultimately depends on clinical and regulatory judgement alongside the statistical evidence, and no amount of methodological care can substitute for that judgement.</w:t>
      </w:r>
    </w:p>
    <w:p w14:paraId="149137E9" w14:textId="77777777" w:rsidR="00762536" w:rsidRDefault="00762536" w:rsidP="00762536"/>
    <w:p w14:paraId="01DC7D57" w14:textId="634CD1F3" w:rsidR="00762536" w:rsidRDefault="00B373B7" w:rsidP="00762536">
      <w:pPr>
        <w:pStyle w:val="Heading3"/>
      </w:pPr>
      <w:bookmarkStart w:id="52" w:name="_Toc232114719"/>
      <w:r w:rsidRPr="00B373B7">
        <w:t>Aim 2: Comparing confidence interval methods for binary endpoints</w:t>
      </w:r>
      <w:bookmarkEnd w:id="52"/>
    </w:p>
    <w:p w14:paraId="2D60D63F" w14:textId="51586265" w:rsidR="00762536" w:rsidRPr="00762536" w:rsidRDefault="00762536" w:rsidP="00762536">
      <w:r w:rsidRPr="00762536">
        <w:t xml:space="preserve">The simulation study confirmed that confidence interval method choice has a meaningful and consistent effect on coverage behaviour at the low event proportions relevant to the </w:t>
      </w:r>
      <w:proofErr w:type="spellStart"/>
      <w:r w:rsidRPr="00762536">
        <w:t>BioMimics</w:t>
      </w:r>
      <w:proofErr w:type="spellEnd"/>
      <w:r w:rsidRPr="00762536">
        <w:t xml:space="preserve"> 3D safety endpoint. The Wald interval was the only method to consistently fall below the nominal 95% level, with average coverage of approximately 0.73 at n = 20, 0.84 at n = 50 and 0.89 at n = 100. Importantly, this </w:t>
      </w:r>
      <w:r w:rsidRPr="00762536">
        <w:t>under coverage</w:t>
      </w:r>
      <w:r w:rsidRPr="00762536">
        <w:t xml:space="preserve"> was not accompanied by any compensating gain in precision: the Wald interval produced average widths comparable to better-performing methods while failing to meet the nominal level throughout. Although its poor behaviour at extreme proportions is well documented in the literature, its inclusion here serves a practical purpose by demonstrating that a method commonly applied by default in standard software would produce unreliable results in exactly this setting</w:t>
      </w:r>
      <w:r w:rsidR="006845ED">
        <w:fldChar w:fldCharType="begin"/>
      </w:r>
      <w:r w:rsidR="006845ED">
        <w:instrText xml:space="preserve"> ADDIN ZOTERO_ITEM CSL_CITATION {"citationID":"bAxqGZwi","properties":{"unsorted":false,"formattedCitation":"(17,19)","plainCitation":"(17,19)","noteIndex":0},"citationItems":[{"id":43,"uris":["http://zotero.org/users/local/ebPldVBC/items/H9KC5ZVH"],"itemData":{"id":43,"type":"article-journal","abstract":"[We revisit the problem of interval estimation of a binomial proportion. The erratic behavior of the coverage probability of the standard Wald confidence interval has previously been remarked on in the literature (Blyth and Still, Agresti and Coull, Santner and others). We begin by showing that the chaotic coverage properties of the Wald interval are far more persistent than is appreciated. Furthermore, common textbook prescriptions regarding its safety are misleading and defective in several respects and cannot be trusted. This leads us to consideration of alternative intervals. A number of natural alternatives are presented, each with its motivation and context. Each interval is examined for its coverage probability and its length. Based on this analysis, we recommend the Wilson interval or the equal-tailed Jeffreys prior interval for small n and the interval suggested in Agresti and Coull for larger n. We also provide an additional frequentist justification for use of the Jeffreys interval.]","archive":"JSTOR","container-title":"Statistical Science","ISSN":"08834237, 21688745","issue":"2","page":"101-117","publisher":"Institute of Mathematical Statistics","title":"Interval Estimation for a Binomial Proportion","volume":"16","author":[{"family":"Brown","given":"Lawrence D."},{"family":"Cai","given":"T. Tony"},{"family":"DasGupta","given":"Anirban"}],"issued":{"date-parts":[["2001"]]}}},{"id":47,"uris":["http://zotero.org/users/local/ebPldVBC/items/9R42W4LB"],"itemData":{"id":47,"type":"article-journal","container-title":"The American Statistician","ISSN":"0003-1305","issue":"2","journalAbbreviation":"The American Statistician","page":"119-126","publisher":"Taylor &amp; Francis","title":"Approximate is better than “exact” for interval estimation of binomial proportions","volume":"52","author":[{"family":"Agresti","given":"Alan"},{"family":"Coull","given":"Brent A"}],"issued":{"date-parts":[["1998"]]}}}],"schema":"https://github.com/citation-style-language/schema/raw/master/csl-citation.json"} </w:instrText>
      </w:r>
      <w:r w:rsidR="006845ED">
        <w:fldChar w:fldCharType="separate"/>
      </w:r>
      <w:r w:rsidR="006845ED" w:rsidRPr="006845ED">
        <w:rPr>
          <w:rFonts w:ascii="Aptos" w:hAnsi="Aptos"/>
        </w:rPr>
        <w:t>(17,19)</w:t>
      </w:r>
      <w:r w:rsidR="006845ED">
        <w:fldChar w:fldCharType="end"/>
      </w:r>
      <w:r w:rsidRPr="00762536">
        <w:t>.</w:t>
      </w:r>
    </w:p>
    <w:p w14:paraId="463AECAD" w14:textId="6EBA92AC" w:rsidR="00762536" w:rsidRPr="00762536" w:rsidRDefault="00762536" w:rsidP="00762536">
      <w:r w:rsidRPr="00762536">
        <w:t>Among the remaining five methods, Wilson Score and Jeffreys sat closest to the nominal level with the narrowest intervals, while Clopper-Pearson, Agresti-Coull and the continuity-corrected Wilson Score were consistently conservative with progressively wider intervals. Both Wilson Score and Jeffreys showed dips below the nominal level at very low proportions near p = 0.001 to 0.01</w:t>
      </w:r>
      <w:r w:rsidR="006845ED">
        <w:fldChar w:fldCharType="begin"/>
      </w:r>
      <w:r w:rsidR="006845ED">
        <w:instrText xml:space="preserve"> ADDIN ZOTERO_ITEM CSL_CITATION {"citationID":"G3l6azAD","properties":{"unsorted":false,"formattedCitation":"(17,22)","plainCitation":"(17,22)","noteIndex":0},"citationItems":[{"id":43,"uris":["http://zotero.org/users/local/ebPldVBC/items/H9KC5ZVH"],"itemData":{"id":43,"type":"article-journal","abstract":"[We revisit the problem of interval estimation of a binomial proportion. The erratic behavior of the coverage probability of the standard Wald confidence interval has previously been remarked on in the literature (Blyth and Still, Agresti and Coull, Santner and others). We begin by showing that the chaotic coverage properties of the Wald interval are far more persistent than is appreciated. Furthermore, common textbook prescriptions regarding its safety are misleading and defective in several respects and cannot be trusted. This leads us to consideration of alternative intervals. A number of natural alternatives are presented, each with its motivation and context. Each interval is examined for its coverage probability and its length. Based on this analysis, we recommend the Wilson interval or the equal-tailed Jeffreys prior interval for small n and the interval suggested in Agresti and Coull for larger n. We also provide an additional frequentist justification for use of the Jeffreys interval.]","archive":"JSTOR","container-title":"Statistical Science","ISSN":"08834237, 21688745","issue":"2","page":"101-117","publisher":"Institute of Mathematical Statistics","title":"Interval Estimation for a Binomial Proportion","volume":"16","author":[{"family":"Brown","given":"Lawrence D."},{"family":"Cai","given":"T. Tony"},{"family":"DasGupta","given":"Anirban"}],"issued":{"date-parts":[["2001"]]}}},{"id":54,"uris":["http://zotero.org/users/local/ebPldVBC/items/BPNCJX2D"],"itemData":{"id":54,"type":"article-journal","container-title":"REVSTAT-Statistical Journal","ISSN":"2183-0371","issue":"2","journalAbbreviation":"REVSTAT-Statistical Journal","page":"165-197","title":"Interval estimators for a binomial proportion: Comparison of twenty methods","volume":"6","author":[{"family":"Pires","given":"Ana M"},{"family":"Amado","given":"Conceiçao"}],"issued":{"date-parts":[["2008"]]}}}],"schema":"https://github.com/citation-style-language/schema/raw/master/csl-citation.json"} </w:instrText>
      </w:r>
      <w:r w:rsidR="006845ED">
        <w:fldChar w:fldCharType="separate"/>
      </w:r>
      <w:r w:rsidR="006845ED" w:rsidRPr="006845ED">
        <w:rPr>
          <w:rFonts w:ascii="Aptos" w:hAnsi="Aptos"/>
        </w:rPr>
        <w:t>(17,22)</w:t>
      </w:r>
      <w:r w:rsidR="006845ED">
        <w:fldChar w:fldCharType="end"/>
      </w:r>
      <w:r w:rsidRPr="00762536">
        <w:t xml:space="preserve">, which is directly relevant given the expected complication rate for the </w:t>
      </w:r>
      <w:proofErr w:type="spellStart"/>
      <w:r w:rsidRPr="00762536">
        <w:t>BioMimics</w:t>
      </w:r>
      <w:proofErr w:type="spellEnd"/>
      <w:r w:rsidRPr="00762536">
        <w:t xml:space="preserve"> 3D safety endpoint. The ordering of methods was stable across all sample sizes, providing a consistent basis for method selection in the calculations that followed.</w:t>
      </w:r>
    </w:p>
    <w:p w14:paraId="78834C35" w14:textId="77777777" w:rsidR="00762536" w:rsidRPr="00762536" w:rsidRDefault="00762536" w:rsidP="00762536"/>
    <w:p w14:paraId="3FE8969B" w14:textId="220B8A83" w:rsidR="00762536" w:rsidRPr="00762536" w:rsidRDefault="00B373B7" w:rsidP="00762536">
      <w:pPr>
        <w:pStyle w:val="Heading3"/>
      </w:pPr>
      <w:bookmarkStart w:id="53" w:name="_Toc232114720"/>
      <w:r w:rsidRPr="00B373B7">
        <w:t>Aim 3: Evaluating the effect of performance goal and interval choice on sample size and conclusions</w:t>
      </w:r>
      <w:bookmarkEnd w:id="53"/>
    </w:p>
    <w:p w14:paraId="55466905" w14:textId="77777777" w:rsidR="00762536" w:rsidRPr="00762536" w:rsidRDefault="00762536" w:rsidP="00762536">
      <w:pPr>
        <w:spacing w:line="276" w:lineRule="auto"/>
      </w:pPr>
      <w:r w:rsidRPr="00762536">
        <w:t xml:space="preserve">The sample size results demonstrated that neither the performance goal nor the confidence interval method can be treated as a neutral design choice. Under the approved performance goal of 11% and an assumed true complication proportion of 5%, the required evaluable sample size ranged from 169 patients under the Wald interval, which failed to meet the 90% power target, to 247 under the continuity-corrected Wilson Score. Among the methods approaching the power target, Clopper-Pearson required 209 patients at 89.7% power and Agresti-Coull </w:t>
      </w:r>
      <w:r w:rsidRPr="00762536">
        <w:lastRenderedPageBreak/>
        <w:t>required 210 at 89.4%, while Jeffreys and Wilson Score fell short of 90% at their minimum required sample sizes despite requiring fewer patients.</w:t>
      </w:r>
    </w:p>
    <w:p w14:paraId="0937B7B1" w14:textId="1DB3FC13" w:rsidR="00762536" w:rsidRPr="00762536" w:rsidRDefault="00762536" w:rsidP="00762536">
      <w:pPr>
        <w:spacing w:line="276" w:lineRule="auto"/>
      </w:pPr>
      <w:r w:rsidRPr="00762536">
        <w:t>This pattern reflects the saw-tooth structure of power calculations for binary endpoints discussed in Section 2.4</w:t>
      </w:r>
      <w:r w:rsidR="006845ED">
        <w:fldChar w:fldCharType="begin"/>
      </w:r>
      <w:r w:rsidR="006845ED">
        <w:instrText xml:space="preserve"> ADDIN ZOTERO_ITEM CSL_CITATION {"citationID":"U5IlAESz","properties":{"unsorted":false,"formattedCitation":"(17)","plainCitation":"(17)","noteIndex":0},"citationItems":[{"id":43,"uris":["http://zotero.org/users/local/ebPldVBC/items/H9KC5ZVH"],"itemData":{"id":43,"type":"article-journal","abstract":"[We revisit the problem of interval estimation of a binomial proportion. The erratic behavior of the coverage probability of the standard Wald confidence interval has previously been remarked on in the literature (Blyth and Still, Agresti and Coull, Santner and others). We begin by showing that the chaotic coverage properties of the Wald interval are far more persistent than is appreciated. Furthermore, common textbook prescriptions regarding its safety are misleading and defective in several respects and cannot be trusted. This leads us to consideration of alternative intervals. A number of natural alternatives are presented, each with its motivation and context. Each interval is examined for its coverage probability and its length. Based on this analysis, we recommend the Wilson interval or the equal-tailed Jeffreys prior interval for small n and the interval suggested in Agresti and Coull for larger n. We also provide an additional frequentist justification for use of the Jeffreys interval.]","archive":"JSTOR","container-title":"Statistical Science","ISSN":"08834237, 21688745","issue":"2","page":"101-117","publisher":"Institute of Mathematical Statistics","title":"Interval Estimation for a Binomial Proportion","volume":"16","author":[{"family":"Brown","given":"Lawrence D."},{"family":"Cai","given":"T. Tony"},{"family":"DasGupta","given":"Anirban"}],"issued":{"date-parts":[["2001"]]}}}],"schema":"https://github.com/citation-style-language/schema/raw/master/csl-citation.json"} </w:instrText>
      </w:r>
      <w:r w:rsidR="006845ED">
        <w:fldChar w:fldCharType="separate"/>
      </w:r>
      <w:r w:rsidR="006845ED" w:rsidRPr="006845ED">
        <w:rPr>
          <w:rFonts w:ascii="Aptos" w:hAnsi="Aptos"/>
        </w:rPr>
        <w:t>(17)</w:t>
      </w:r>
      <w:r w:rsidR="006845ED">
        <w:fldChar w:fldCharType="end"/>
      </w:r>
      <w:r w:rsidRPr="00762536">
        <w:t>. A single additional patient can shift the maximum allowable event count and produce a discrete jump in achieved power, meaning a method requiring slightly fewer patients may achieve substantially lower power if that threshold has not been crossed. The difference between the most and least demanding reliable methods represents 38 evaluable patients, or approximately 42 additional enrolments after dropout adjustment, illustrating how a statistical design decision made at the planning stage propagates directly into recruitment targets and study cost.</w:t>
      </w:r>
    </w:p>
    <w:p w14:paraId="0909E383" w14:textId="77777777" w:rsidR="00B373B7" w:rsidRDefault="00B373B7" w:rsidP="00B373B7">
      <w:pPr>
        <w:spacing w:line="276" w:lineRule="auto"/>
      </w:pPr>
    </w:p>
    <w:p w14:paraId="712AA5E7" w14:textId="323547B0" w:rsidR="00B373B7" w:rsidRDefault="00B373B7" w:rsidP="00762536">
      <w:pPr>
        <w:pStyle w:val="Heading3"/>
      </w:pPr>
      <w:bookmarkStart w:id="54" w:name="_Toc232114721"/>
      <w:r w:rsidRPr="00B373B7">
        <w:t>Aim 4: Developing PG-Power</w:t>
      </w:r>
      <w:bookmarkEnd w:id="54"/>
    </w:p>
    <w:p w14:paraId="344427D6" w14:textId="1420EC41" w:rsidR="00B373B7" w:rsidRDefault="00762536" w:rsidP="00B373B7">
      <w:r w:rsidRPr="00762536">
        <w:t xml:space="preserve">The PG-Power application provided a transparent and reproducible implementation of the sample size framework, allowing the </w:t>
      </w:r>
      <w:proofErr w:type="spellStart"/>
      <w:r w:rsidRPr="00762536">
        <w:t>BioMimics</w:t>
      </w:r>
      <w:proofErr w:type="spellEnd"/>
      <w:r w:rsidRPr="00762536">
        <w:t xml:space="preserve"> 3D design assumptions to be evaluated consistently across all six confidence interval methods. By making the sensitivity of required sample size and achieved power to method choice immediately visible, the application supports the kind of deliberate, pre-specified decision-making that the results of Aims 2 and 3 show to be necessary. The full report generated for the </w:t>
      </w:r>
      <w:proofErr w:type="spellStart"/>
      <w:r w:rsidRPr="00762536">
        <w:t>BioMimics</w:t>
      </w:r>
      <w:proofErr w:type="spellEnd"/>
      <w:r w:rsidRPr="00762536">
        <w:t xml:space="preserve"> 3D analysis is available in the GitHub repository (see Appendix).</w:t>
      </w:r>
    </w:p>
    <w:p w14:paraId="6E41CC14" w14:textId="77777777" w:rsidR="00762536" w:rsidRDefault="00762536" w:rsidP="00B373B7"/>
    <w:p w14:paraId="30DDE2C6" w14:textId="2132C445" w:rsidR="00762536" w:rsidRDefault="00B373B7" w:rsidP="00762536">
      <w:pPr>
        <w:pStyle w:val="Heading3"/>
      </w:pPr>
      <w:bookmarkStart w:id="55" w:name="_Toc232114722"/>
      <w:r w:rsidRPr="00B373B7">
        <w:t>Aim 5: Exploring Bayesian historical borrowing</w:t>
      </w:r>
      <w:bookmarkEnd w:id="55"/>
    </w:p>
    <w:p w14:paraId="3BEBCB49" w14:textId="77777777" w:rsidR="00762536" w:rsidRPr="00762536" w:rsidRDefault="00762536" w:rsidP="00762536">
      <w:r w:rsidRPr="00762536">
        <w:t xml:space="preserve">Incorporating a </w:t>
      </w:r>
      <w:proofErr w:type="gramStart"/>
      <w:r w:rsidRPr="00762536">
        <w:t>Beta(</w:t>
      </w:r>
      <w:proofErr w:type="gramEnd"/>
      <w:r w:rsidRPr="00762536">
        <w:t>2, 48) prior based on a hypothetical Phase II dataset of 50 patients with 2 observed events reduced the required sample size from 209 to 79 patients, a reduction of approximately 62% under the same design assumptions. This illustrates the potential efficiency gains that historical borrowing can offer in a medical device setting where recruitment is costly and historical evidence from comparable devices is available.</w:t>
      </w:r>
    </w:p>
    <w:p w14:paraId="5FE277F9" w14:textId="4E6DAA12" w:rsidR="00762536" w:rsidRPr="00762536" w:rsidRDefault="00762536" w:rsidP="00762536">
      <w:r w:rsidRPr="00762536">
        <w:t>However, the magnitude of this reduction is sensitive to the weight assigned to the prior. Moving from an effective sample size of 5 to 500 while holding the event ratio constant progressively concentrates the posterior around the historical estimate, reducing the required sample size but increasing dependence on the exchangeability assumption. When the prior is strongly informative and the historical and current populations differ, the posterior can be drawn toward the historical estimate regardless of what the current data show, inflating the Type I error rate in ways that undermine the trial conclusion</w:t>
      </w:r>
      <w:r w:rsidR="006845ED">
        <w:fldChar w:fldCharType="begin"/>
      </w:r>
      <w:r w:rsidR="006845ED">
        <w:instrText xml:space="preserve"> ADDIN ZOTERO_ITEM CSL_CITATION {"citationID":"pOvu96qO","properties":{"unsorted":false,"formattedCitation":"(30\\uc0\\u8211{}32)","plainCitation":"(30–32)","noteIndex":0},"citationItems":[{"id":61,"uris":["http://zotero.org/users/local/ebPldVBC/items/3Q2SXPRP"],"itemData":{"id":61,"type":"article-journal","container-title":"Statistical Science","ISSN":"0883-4237","journalAbbreviation":"Statistical Science","page":"46-60","publisher":"JSTOR","title":"Power prior distributions for regression models","author":[{"family":"Ibrahim","given":"Joseph G"},{"family":"Chen","given":"Ming-Hui"}],"issued":{"date-parts":[["2000"]]}}},{"id":59,"uris":["http://zotero.org/users/local/ebPldVBC/items/CEGYXA59"],"itemData":{"id":59,"type":"article-journal","container-title":"Maryland: US Food and Drug Administration","journalAbbreviation":"Maryland: US Food and Drug Administration","title":"Guidance for the use of Bayesian statistics in medical device clinical trials","author":[{"literal":"US Food and Drug Administration"}],"issued":{"date-parts":[["2010"]]}}},{"id":58,"uris":["http://zotero.org/users/local/ebPldVBC/items/XFYBFFNT"],"itemData":{"id":58,"type":"article-journal","container-title":"BMC Medical Research Methodology","ISSN":"1471-2288","issue":"1","journalAbbreviation":"BMC Medical Research Methodology","page":"78","publisher":"Springer","title":"Bayesian dynamic borrowing in group-sequential design for medical device studies","volume":"25","author":[{"family":"Chiaruttini","given":"Maria Vittoria"},{"family":"Lorenzoni","given":"Giulia"},{"family":"Gregori","given":"Dario"}],"issued":{"date-parts":[["2025"]]}}}],"schema":"https://github.com/citation-style-language/schema/raw/master/csl-citation.json"} </w:instrText>
      </w:r>
      <w:r w:rsidR="006845ED">
        <w:fldChar w:fldCharType="separate"/>
      </w:r>
      <w:r w:rsidR="006845ED" w:rsidRPr="006845ED">
        <w:rPr>
          <w:rFonts w:ascii="Aptos" w:hAnsi="Aptos" w:cs="Times New Roman"/>
          <w:kern w:val="0"/>
        </w:rPr>
        <w:t>(30–32)</w:t>
      </w:r>
      <w:r w:rsidR="006845ED">
        <w:fldChar w:fldCharType="end"/>
      </w:r>
      <w:r w:rsidRPr="00762536">
        <w:t>. The prior weight is therefore a substantive design choice rather than a technical detail.</w:t>
      </w:r>
    </w:p>
    <w:p w14:paraId="0E217E1A" w14:textId="704EEA45" w:rsidR="00762536" w:rsidRPr="00762536" w:rsidRDefault="00762536" w:rsidP="00762536">
      <w:r w:rsidRPr="00762536">
        <w:t xml:space="preserve">In the </w:t>
      </w:r>
      <w:proofErr w:type="spellStart"/>
      <w:r w:rsidRPr="00762536">
        <w:t>BioMimics</w:t>
      </w:r>
      <w:proofErr w:type="spellEnd"/>
      <w:r w:rsidRPr="00762536">
        <w:t xml:space="preserve"> 3D context this concern is not hypothetical. The meta-analysis drew on only three studies with wide uncertainty around the heterogeneity estimates, and the exchangeability of that evidence with a future pivotal study cannot be assumed. The reduction from 209 to 79 patients should be understood as an illustration of the method's potential rather than a design recommendation. Realising that potential in practice would require formal exchangeability assessment, sensitivity analyses across a range of prior specifications, and simulation studies evaluating operating characteristics under scenarios where historical and current data diverge</w:t>
      </w:r>
      <w:r w:rsidR="006845ED">
        <w:fldChar w:fldCharType="begin"/>
      </w:r>
      <w:r w:rsidR="006845ED">
        <w:instrText xml:space="preserve"> ADDIN ZOTERO_ITEM CSL_CITATION {"citationID":"6XkNsdxS","properties":{"unsorted":false,"formattedCitation":"(30\\uc0\\u8211{}32)","plainCitation":"(30–32)","noteIndex":0},"citationItems":[{"id":61,"uris":["http://zotero.org/users/local/ebPldVBC/items/3Q2SXPRP"],"itemData":{"id":61,"type":"article-journal","container-title":"Statistical Science","ISSN":"0883-4237","journalAbbreviation":"Statistical Science","page":"46-60","publisher":"JSTOR","title":"Power prior distributions for regression models","author":[{"family":"Ibrahim","given":"Joseph G"},{"family":"Chen","given":"Ming-Hui"}],"issued":{"date-parts":[["2000"]]}}},{"id":59,"uris":["http://zotero.org/users/local/ebPldVBC/items/CEGYXA59"],"itemData":{"id":59,"type":"article-journal","container-title":"Maryland: US Food and Drug Administration","journalAbbreviation":"Maryland: US Food and Drug Administration","title":"Guidance for the use of Bayesian statistics in medical device clinical trials","author":[{"literal":"US Food and Drug Administration"}],"issued":{"date-parts":[["2010"]]}}},{"id":58,"uris":["http://zotero.org/users/local/ebPldVBC/items/XFYBFFNT"],"itemData":{"id":58,"type":"article-journal","container-title":"BMC Medical Research Methodology","ISSN":"1471-2288","issue":"1","journalAbbreviation":"BMC Medical Research Methodology","page":"78","publisher":"Springer","title":"Bayesian dynamic borrowing in group-sequential design for medical device studies","volume":"25","author":[{"family":"Chiaruttini","given":"Maria Vittoria"},{"family":"Lorenzoni","given":"Giulia"},{"family":"Gregori","given":"Dario"}],"issued":{"date-parts":[["2025"]]}}}],"schema":"https://github.com/citation-style-language/schema/raw/master/csl-citation.json"} </w:instrText>
      </w:r>
      <w:r w:rsidR="006845ED">
        <w:fldChar w:fldCharType="separate"/>
      </w:r>
      <w:r w:rsidR="006845ED" w:rsidRPr="006845ED">
        <w:rPr>
          <w:rFonts w:ascii="Aptos" w:hAnsi="Aptos" w:cs="Times New Roman"/>
          <w:kern w:val="0"/>
        </w:rPr>
        <w:t>(30–32)</w:t>
      </w:r>
      <w:r w:rsidR="006845ED">
        <w:fldChar w:fldCharType="end"/>
      </w:r>
      <w:r w:rsidRPr="00762536">
        <w:t>.</w:t>
      </w:r>
    </w:p>
    <w:p w14:paraId="12ADB9CC" w14:textId="77777777" w:rsidR="00762536" w:rsidRPr="00762536" w:rsidRDefault="00762536" w:rsidP="00762536"/>
    <w:p w14:paraId="2A1896FE" w14:textId="63986DFB" w:rsidR="00B373B7" w:rsidRDefault="00986752" w:rsidP="00986752">
      <w:pPr>
        <w:pStyle w:val="Heading3"/>
      </w:pPr>
      <w:bookmarkStart w:id="56" w:name="_Toc232114723"/>
      <w:r w:rsidRPr="00986752">
        <w:t>Combined implications</w:t>
      </w:r>
      <w:bookmarkEnd w:id="56"/>
    </w:p>
    <w:p w14:paraId="14116125" w14:textId="77777777" w:rsidR="00762536" w:rsidRPr="00762536" w:rsidRDefault="00762536" w:rsidP="00762536">
      <w:r w:rsidRPr="00762536">
        <w:t>Taken together, the five aims tell a coherent story about the interdependence of statistical design choices in single-arm performance goal studies. The benchmark, the confidence interval method, the sample size calculation and the incorporation of prior evidence are not independent decisions. Each constrains and is constrained by the others, and the trial conclusion reflects all of them simultaneously.</w:t>
      </w:r>
    </w:p>
    <w:p w14:paraId="79C89072" w14:textId="77777777" w:rsidR="00762536" w:rsidRPr="00762536" w:rsidRDefault="00762536" w:rsidP="00762536">
      <w:r w:rsidRPr="00762536">
        <w:t>The meta-analysis established that the performance goal is a range, not a fixed value. The simulation study showed that the confidence interval method determines both the reliability of the decision rule and the sample size required to achieve a given power. The sample size analysis made this concrete, with an interval-method-driven difference of 38 evaluable patients under identical clinical assumptions. The PG-Power application demonstrated that these calculations can be made transparent and reproducible, and the Bayesian analysis showed that efficiency gains are available from historical borrowing but only when the underlying assumptions are honestly examined.</w:t>
      </w:r>
    </w:p>
    <w:p w14:paraId="1E5A549C" w14:textId="02DF08B6" w:rsidR="00762536" w:rsidRPr="00762536" w:rsidRDefault="00762536" w:rsidP="00762536">
      <w:r w:rsidRPr="00762536">
        <w:t>The thread running through all five aims is the one identified in Section 1.3. These choices are routinely made in performance goal studies, but their rationale is not always made visible. The results of this study suggest that the concern Piaggio et al. raised about non-inferiority margin reporting extends equally to the confidence interval method, the sample size procedure and the prior specification</w:t>
      </w:r>
      <w:r w:rsidR="006845ED">
        <w:fldChar w:fldCharType="begin"/>
      </w:r>
      <w:r w:rsidR="006845ED">
        <w:instrText xml:space="preserve"> ADDIN ZOTERO_ITEM CSL_CITATION {"citationID":"084jJSWi","properties":{"unsorted":false,"formattedCitation":"(6)","plainCitation":"(6)","noteIndex":0},"citationItems":[{"id":17,"uris":["http://zotero.org/users/local/ebPldVBC/items/97KHEVHM"],"itemData":{"id":17,"type":"article-journal","abstract":"The CONSORT (Consolidated Standards of Reporting Trials) Statement, which includes a checklist and a flow diagram, is a guideline developed to help authors improve the reporting of the findings from randomized controlled trials. It was updated most recently in 2010. Its primary focus is on individually randomized trials with 2 parallel groups that assess the possible superiority of one treatment compared with another. The CONSORT Statement has been extended to other trial designs such as cluster randomization, and recommendations for noninferiority and equivalence trials were made in 2006. In this article, we present an updated extension of the CONSORT checklist for reporting noninferiority and equivalence trials, based on the 2010 version of the CONSORT Statement and the 2008 CONSORT Statement for the reporting of abstracts, and provide illustrative examples and explanations for those items that differ from the main 2010 CONSORT checklist. The intent is to improve reporting of noninferiority and equivalence trials, enabling readers to assess the reliability of their results and conclusions.","container-title":"JAMA","DOI":"10.1001/jama.2012.87802","ISSN":"0098-7484","issue":"24","journalAbbreviation":"JAMA","page":"2594-2604","title":"Reporting of Noninferiority and Equivalence Randomized Trials: Extension of the CONSORT 2010 Statement","volume":"308","author":[{"family":"Piaggio","given":"Gilda"},{"family":"Elbourne","given":"Diana R."},{"family":"Pocock","given":"Stuart J."},{"family":"Evans","given":"Stephen J. W."},{"family":"Altman","given":"Douglas G."},{"family":"CONSORT Group","given":"for","dropping-particle":"the"}],"issued":{"date-parts":[["2012",12,26]]}}}],"schema":"https://github.com/citation-style-language/schema/raw/master/csl-citation.json"} </w:instrText>
      </w:r>
      <w:r w:rsidR="006845ED">
        <w:fldChar w:fldCharType="separate"/>
      </w:r>
      <w:r w:rsidR="006845ED" w:rsidRPr="006845ED">
        <w:rPr>
          <w:rFonts w:ascii="Aptos" w:hAnsi="Aptos"/>
        </w:rPr>
        <w:t>(6)</w:t>
      </w:r>
      <w:r w:rsidR="006845ED">
        <w:fldChar w:fldCharType="end"/>
      </w:r>
      <w:r w:rsidRPr="00762536">
        <w:t>. Making these choices explicit, justified and pre-specified is not a procedural formality. It is the mechanism by which a performance goal study earns the credibility needed to support a regulatory decision.</w:t>
      </w:r>
    </w:p>
    <w:p w14:paraId="5A83D3FB" w14:textId="77777777" w:rsidR="00986752" w:rsidRPr="00986752" w:rsidRDefault="00986752" w:rsidP="00986752"/>
    <w:p w14:paraId="3AA29D78" w14:textId="4C3F2C80" w:rsidR="00694B39" w:rsidRDefault="00313F36" w:rsidP="00986752">
      <w:pPr>
        <w:pStyle w:val="Heading2"/>
      </w:pPr>
      <w:bookmarkStart w:id="57" w:name="_Toc232114724"/>
      <w:r>
        <w:t>6</w:t>
      </w:r>
      <w:r w:rsidR="00986752">
        <w:t xml:space="preserve">.2 </w:t>
      </w:r>
      <w:r w:rsidR="00501D9F">
        <w:t xml:space="preserve">SAP </w:t>
      </w:r>
      <w:r w:rsidR="00501D9F" w:rsidRPr="00501D9F">
        <w:t>in Performance Goal Studies</w:t>
      </w:r>
      <w:bookmarkEnd w:id="57"/>
    </w:p>
    <w:p w14:paraId="190CF3D1" w14:textId="057E635D" w:rsidR="00501D9F" w:rsidRPr="00501D9F" w:rsidRDefault="00501D9F" w:rsidP="00501D9F">
      <w:r w:rsidRPr="00501D9F">
        <w:t xml:space="preserve">As established in Section 2.6, pre-specifying the </w:t>
      </w:r>
      <w:r w:rsidR="00020CAA">
        <w:t xml:space="preserve">SAP </w:t>
      </w:r>
      <w:r w:rsidRPr="00501D9F">
        <w:t>before data collection is a regulatory expectation and a prerequisite for reproducible clinical research. The findings of this study make clear why this matters in the performance goal setting specifically. The performance goal value, confidence interval method and assumed true event proportion each independently altered the required sample size and the trial conclusion across Sections 4.1 through 4.3, and none of these choices is neutral. A confidence interval method selected post-hoc in light of favourable results, or a performance goal derived after reviewing the data, would undermine the validity of the study conclusion regardless of the quality of the underlying clinical evidence</w:t>
      </w:r>
      <w:r w:rsidR="00E20641">
        <w:fldChar w:fldCharType="begin"/>
      </w:r>
      <w:r w:rsidR="00E20641">
        <w:instrText xml:space="preserve"> ADDIN ZOTERO_ITEM CSL_CITATION {"citationID":"i4sEoip0","properties":{"unsorted":false,"formattedCitation":"(6,35)","plainCitation":"(6,35)","noteIndex":0},"citationItems":[{"id":17,"uris":["http://zotero.org/users/local/ebPldVBC/items/97KHEVHM"],"itemData":{"id":17,"type":"article-journal","abstract":"The CONSORT (Consolidated Standards of Reporting Trials) Statement, which includes a checklist and a flow diagram, is a guideline developed to help authors improve the reporting of the findings from randomized controlled trials. It was updated most recently in 2010. Its primary focus is on individually randomized trials with 2 parallel groups that assess the possible superiority of one treatment compared with another. The CONSORT Statement has been extended to other trial designs such as cluster randomization, and recommendations for noninferiority and equivalence trials were made in 2006. In this article, we present an updated extension of the CONSORT checklist for reporting noninferiority and equivalence trials, based on the 2010 version of the CONSORT Statement and the 2008 CONSORT Statement for the reporting of abstracts, and provide illustrative examples and explanations for those items that differ from the main 2010 CONSORT checklist. The intent is to improve reporting of noninferiority and equivalence trials, enabling readers to assess the reliability of their results and conclusions.","container-title":"JAMA","DOI":"10.1001/jama.2012.87802","ISSN":"0098-7484","issue":"24","journalAbbreviation":"JAMA","page":"2594-2604","title":"Reporting of Noninferiority and Equivalence Randomized Trials: Extension of the CONSORT 2010 Statement","volume":"308","author":[{"family":"Piaggio","given":"Gilda"},{"family":"Elbourne","given":"Diana R."},{"family":"Pocock","given":"Stuart J."},{"family":"Evans","given":"Stephen J. W."},{"family":"Altman","given":"Douglas G."},{"family":"CONSORT Group","given":"for","dropping-particle":"the"}],"issued":{"date-parts":[["2012",12,26]]}}},{"id":64,"uris":["http://zotero.org/users/local/ebPldVBC/items/9KS74YEM"],"itemData":{"id":64,"type":"article-journal","container-title":"BMC medicine","ISSN":"1741-7015","issue":"1","journalAbbreviation":"BMC medicine","page":"253","publisher":"Springer","title":"How to design a pre-specified statistical analysis approach to limit p-hacking in clinical trials: the Pre-SPEC framework","volume":"18","author":[{"family":"Kahan","given":"Brennan C"},{"family":"Forbes","given":"Gordon"},{"family":"Cro","given":"Suzie"}],"issued":{"date-parts":[["2020"]]}}}],"schema":"https://github.com/citation-style-language/schema/raw/master/csl-citation.json"} </w:instrText>
      </w:r>
      <w:r w:rsidR="00E20641">
        <w:fldChar w:fldCharType="separate"/>
      </w:r>
      <w:r w:rsidR="00E20641" w:rsidRPr="00E20641">
        <w:rPr>
          <w:rFonts w:ascii="Aptos" w:hAnsi="Aptos"/>
        </w:rPr>
        <w:t>(6,35)</w:t>
      </w:r>
      <w:r w:rsidR="00E20641">
        <w:fldChar w:fldCharType="end"/>
      </w:r>
      <w:r w:rsidRPr="00501D9F">
        <w:t>.</w:t>
      </w:r>
    </w:p>
    <w:p w14:paraId="20F265CE" w14:textId="50151E2A" w:rsidR="00501D9F" w:rsidRPr="00501D9F" w:rsidRDefault="00501D9F" w:rsidP="00501D9F">
      <w:r w:rsidRPr="00501D9F">
        <w:t>The 38-patient difference in required sample size between the most and least demanding reliable confidence interval methods identified in Section 4.3 illustrates concretely what is at stake at the design stage. PG-Power directly supports this process by allowing the sensitivity of sample size requirements to method choice, performance goal value and dropout assumptions to be examined transparently before the SAP is finalised. Documenting these outputs alongside the chosen method and its justification provides a clear and reproducible record of the design rationale, which is precisely what regulators and future reviewers need to evaluate the study's conclusions with confidence</w:t>
      </w:r>
      <w:r w:rsidR="00E20641">
        <w:fldChar w:fldCharType="begin"/>
      </w:r>
      <w:r w:rsidR="001235BB">
        <w:instrText xml:space="preserve"> ADDIN ZOTERO_ITEM CSL_CITATION {"citationID":"PItkaczc","properties":{"unsorted":false,"formattedCitation":"(5,33)","plainCitation":"(5,33)","noteIndex":0},"citationItems":[{"id":28,"uris":["http://zotero.org/users/local/ebPldVBC/items/R5QCUM6Y"],"itemData":{"id":28,"type":"report","genre":"Guideline","language":"en","publisher":"International Council for Harmonisation (ICH)","source":"Zotero","title":"Statistical Principles for Clinical Trials E9","URL":"https://www.ich.org/page/efficacy-guidelines","author":[{"family":"International Council for Harmonisation","given":""}],"accessed":{"date-parts":[["2026",5,12]]},"issued":{"date-parts":[["1998"]]}}},{"id":63,"uris":["http://zotero.org/users/local/ebPldVBC/items/94UADFSL"],"itemData":{"id":63,"type":"article-journal","container-title":"Jama","ISSN":"0098-7484","issue":"23","journalAbbreviation":"Jama","page":"2337-2343","title":"Guidelines for the content of statistical analysis plans in clinical trials","volume":"318","author":[{"family":"Gamble","given":"Carrol"},{"family":"Krishan","given":"Ashma"},{"family":"Stocken","given":"Deborah"},{"family":"Lewis","given":"Steff"},{"family":"Juszczak","given":"Edmund"},{"family":"Doré","given":"Caroline"},{"family":"Williamson","given":"Paula R"},{"family":"Altman","given":"Douglas G"},{"family":"Montgomery","given":"Alan"},{"family":"Lim","given":"Pilar"}],"issued":{"date-parts":[["2017"]]}}}],"schema":"https://github.com/citation-style-language/schema/raw/master/csl-citation.json"} </w:instrText>
      </w:r>
      <w:r w:rsidR="00E20641">
        <w:fldChar w:fldCharType="separate"/>
      </w:r>
      <w:r w:rsidR="00E20641" w:rsidRPr="00E20641">
        <w:rPr>
          <w:rFonts w:ascii="Aptos" w:hAnsi="Aptos"/>
        </w:rPr>
        <w:t>(5,33)</w:t>
      </w:r>
      <w:r w:rsidR="00E20641">
        <w:fldChar w:fldCharType="end"/>
      </w:r>
      <w:r w:rsidRPr="00501D9F">
        <w:t>.</w:t>
      </w:r>
    </w:p>
    <w:p w14:paraId="6A681748" w14:textId="77777777" w:rsidR="00986752" w:rsidRPr="00986752" w:rsidRDefault="00986752" w:rsidP="00986752"/>
    <w:p w14:paraId="0C166BCA" w14:textId="43CEA307" w:rsidR="005C356B" w:rsidRDefault="00313F36" w:rsidP="00635FBC">
      <w:pPr>
        <w:pStyle w:val="Heading2"/>
      </w:pPr>
      <w:bookmarkStart w:id="58" w:name="_Toc232114725"/>
      <w:r>
        <w:lastRenderedPageBreak/>
        <w:t>6</w:t>
      </w:r>
      <w:r w:rsidR="00635FBC">
        <w:t xml:space="preserve">.3 </w:t>
      </w:r>
      <w:r w:rsidR="00451F73">
        <w:t xml:space="preserve">Study </w:t>
      </w:r>
      <w:r w:rsidR="005C356B" w:rsidRPr="005C356B">
        <w:t>Limitations</w:t>
      </w:r>
      <w:bookmarkEnd w:id="58"/>
    </w:p>
    <w:p w14:paraId="4AD5E528" w14:textId="3D2750E0" w:rsidR="00566CA0" w:rsidRPr="00566CA0" w:rsidRDefault="00566CA0" w:rsidP="00566CA0">
      <w:r w:rsidRPr="00566CA0">
        <w:t xml:space="preserve">The most important limitation of this study is the restricted historical evidence base. The meta-analysis drew on only three studies comprising 116 patients, identified through a single guidance document rather than a systematic literature search. This limits both the precision of the pooled estimates and the ability to reliably characterise between-study heterogeneity. The wide confidence intervals around the </w:t>
      </w:r>
      <m:oMath>
        <m:sSup>
          <m:sSupPr>
            <m:ctrlPr>
              <w:rPr>
                <w:rFonts w:ascii="Cambria Math" w:hAnsi="Cambria Math"/>
              </w:rPr>
            </m:ctrlPr>
          </m:sSupPr>
          <m:e>
            <m:r>
              <w:rPr>
                <w:rFonts w:ascii="Cambria Math" w:hAnsi="Cambria Math"/>
              </w:rPr>
              <m:t>I</m:t>
            </m:r>
          </m:e>
          <m:sup>
            <m:r>
              <w:rPr>
                <w:rFonts w:ascii="Cambria Math" w:hAnsi="Cambria Math"/>
              </w:rPr>
              <m:t>2</m:t>
            </m:r>
          </m:sup>
        </m:sSup>
      </m:oMath>
      <w:r w:rsidR="00E20641">
        <w:rPr>
          <w:rFonts w:eastAsiaTheme="minorEastAsia"/>
        </w:rPr>
        <w:t xml:space="preserve"> </w:t>
      </w:r>
      <w:r w:rsidRPr="00566CA0">
        <w:t>statistics for both endpoints mean that the derived performance goals carry substantial uncertainty, and a more comprehensive search of the literature might have identified additional comparable studies that could have narrowed that uncertainty or shifted the pooled estimates</w:t>
      </w:r>
      <w:r w:rsidR="008717FA">
        <w:fldChar w:fldCharType="begin"/>
      </w:r>
      <w:r w:rsidR="008717FA">
        <w:instrText xml:space="preserve"> ADDIN ZOTERO_ITEM CSL_CITATION {"citationID":"vJz5Rz1I","properties":{"unsorted":false,"formattedCitation":"(7)","plainCitation":"(7)","noteIndex":0},"citationItems":[{"id":32,"uris":["http://zotero.org/users/local/ebPldVBC/items/7QTQGWQJ"],"itemData":{"id":32,"type":"article-journal","abstract":"Performance goals are numerical target values pertaining to effectiveness or safety endpoints in single-arm medical device clinical studies. Typically,  performance goals are determined at the planning stage of the investigational  study under consideration based on summarized outcome information from existing  relevant clinical trials. In recent years, there is a growing interest in  leveraging real-world evidence in medical product development. In this article,  we introduce a new method for proposing performance goals by leveraging  real-world evidence. The method applies entropy balancing to address possible  patient dissimilarities between the study's target patient population and  existing real-world patients, and can take into account operation differences  between clinical studies and real-world clinical practice. An illustrative  example is provided to demonstrate how to implement the proposed method for  performance goal determination while leveraging real-world evidence.","container-title":"Statistics in medicine","DOI":"10.1002/sim.9199","ISSN":"1097-0258 0277-6715","issue":"29","journalAbbreviation":"Stat Med","language":"eng","license":"© 2021 John Wiley &amp; Sons Ltd.","page":"6577-6589","PMID":"34561895","publisher-place":"England","title":"Leveraging real-world evidence for determining performance goals for medical device studies.","volume":"40","author":[{"family":"Wang","given":"Chenguang"},{"family":"Rosner","given":"Gary L."},{"family":"Bao","given":"Tingting"},{"family":"Lu","given":"Nelson"},{"family":"Chen","given":"Wei-Chen"},{"family":"Li","given":"Heng"},{"family":"Tiwari","given":"Ram"},{"family":"Xu","given":"Yunling"},{"family":"Yue","given":"Lilly Q."}],"issued":{"date-parts":[["2021",12,20]]}}}],"schema":"https://github.com/citation-style-language/schema/raw/master/csl-citation.json"} </w:instrText>
      </w:r>
      <w:r w:rsidR="008717FA">
        <w:fldChar w:fldCharType="separate"/>
      </w:r>
      <w:r w:rsidR="008717FA" w:rsidRPr="008717FA">
        <w:rPr>
          <w:rFonts w:ascii="Aptos" w:hAnsi="Aptos"/>
        </w:rPr>
        <w:t>(7)</w:t>
      </w:r>
      <w:r w:rsidR="008717FA">
        <w:fldChar w:fldCharType="end"/>
      </w:r>
      <w:r w:rsidRPr="00566CA0">
        <w:t>.</w:t>
      </w:r>
    </w:p>
    <w:p w14:paraId="0AC514B0" w14:textId="72026FDC" w:rsidR="00566CA0" w:rsidRPr="00566CA0" w:rsidRDefault="00566CA0" w:rsidP="00566CA0">
      <w:r w:rsidRPr="00566CA0">
        <w:t>Relatedly, the performance goal derivation focused on a single guidance document developed in 2007. Clinical practice in femoropopliteal intervention has evolved considerably since then, and it is possible that more recent device studies would yield different pooled estimates</w:t>
      </w:r>
      <w:r w:rsidR="008717FA">
        <w:fldChar w:fldCharType="begin"/>
      </w:r>
      <w:r w:rsidR="008717FA">
        <w:instrText xml:space="preserve"> ADDIN ZOTERO_ITEM CSL_CITATION {"citationID":"HVjR1YW3","properties":{"unsorted":false,"formattedCitation":"(36,38)","plainCitation":"(36,38)","noteIndex":0},"citationItems":[{"id":10,"uris":["http://zotero.org/users/local/ebPldVBC/items/YHH6MKBT"],"itemData":{"id":10,"type":"article-journal","abstract":"Objective There is a need for improved outcomes in the endovascular treatment of patients suffering from chronic limb threatening ischaemia (CLTI), highly calcified lesions, and chronic total occlusions (CTOs). The helical centreline self expanding BioMimics 3D stent might be particularly useful in these high risk subsets, combining flexibility and fracture resistance with radial strength. Herein, the performance of the BioMimics 3D stent was assessed in these high risk subsets. Methods MIMICS-3D is a prospective, multicentre, European real world registry. This was a post hoc analysis, comparing patients with CLTI vs. intermittent claudication (IC), lesions with bilateral calcification vs. those without (peripheral arterial calcium scoring system [PACSS] 3,4 vs. PACSS 0 – 2), and CTO vs. no CTO. Propensity score matching was performed to reduce the impact of baseline variables. The 36 month endpoints were clinically driven target lesion revascularisation (CD-TLR), death, major target limb amputation, and stent patency. Results A total of 507 patients were enrolled. At 36 months, patients with CLTI had lower freedom from major amputation than patients with IC (92.6% vs. 100%, p &lt; .001). In terms of primary patency, patients with CTO had lower patency rates than those without (63.9% vs. 77.8%, p = .003), but the difference reduced after propensity score matching (70.5% vs. 76.8%, p = .43). Primary patency was not impaired for patients with PACSS 3,4 or patients with CLTI. Freedom from CD-TLR was not significantly different among the groups and was 73.8% for CLTI vs. 78.9% for IC (p = .15), 77.6% for PACSS 3,4 vs. 78.7% for PACSS 0 – 2 (p = .55), and 75.6% for CTO vs. 81.0% for no CTO (p = .11). Conclusions The outcome of the MIMICS-3D registry suggests that the BioMimics 3D stent is effective in the endovascular treatment of complex femoropopliteal lesions and in CLTI. Future randomised controlled trials should confirm its non-inferiority or superiority compared with existing alternatives.","container-title":"European Journal of Vascular and Endovascular Surgery","DOI":"https://doi.org/10.1016/j.ejvs.2024.02.043","ISSN":"1078-5884","issue":"6","page":"923-932","title":"The BioMimics 3D Helical Centreline Nitinol Stent in Chronic Limb Threatening Ischaemia and Complex Lesions: Three Year Outcomes of the MIMICS-3D Registry","volume":"67","author":[{"family":"Rammos","given":"Christos"},{"family":"Zeller","given":"Thomas"},{"family":"Piorkowski","given":"Michael"},{"family":"Deloose","given":"Koen"},{"family":"Hertting","given":"Klaus"},{"family":"Sesselmann","given":"Volker"},{"family":"Tepe","given":"Gunnar"},{"family":"Gaines","given":"Peter"},{"family":"Lichtenberg","given":"Michael"}],"issued":{"date-parts":[["2024"]]}}},{"id":9,"uris":["http://zotero.org/users/local/ebPldVBC/items/U33CG62L"],"itemData":{"id":9,"type":"article-journal","container-title":"Circulation: Cardiovascular Interventions","DOI":"10.1161/CIRCINTERVENTIONS.115.002930","issue":"6","note":"_eprint: https://www.ahajournals.org/doi/pdf/10.1161/CIRCINTERVENTIONS.115.002930","page":"e002930","title":"Helical Centerline Stent Improves Patency","volume":"9","author":[{"family":"Zeller","given":"Thomas"},{"family":"Gaines","given":"Peter A."},{"family":"Ansel","given":"Gary M."},{"family":"Caro","given":"Colin G."}],"issued":{"date-parts":[["2016"]]}}}],"schema":"https://github.com/citation-style-language/schema/raw/master/csl-citation.json"} </w:instrText>
      </w:r>
      <w:r w:rsidR="008717FA">
        <w:fldChar w:fldCharType="separate"/>
      </w:r>
      <w:r w:rsidR="008717FA" w:rsidRPr="008717FA">
        <w:rPr>
          <w:rFonts w:ascii="Aptos" w:hAnsi="Aptos"/>
        </w:rPr>
        <w:t>(36,38)</w:t>
      </w:r>
      <w:r w:rsidR="008717FA">
        <w:fldChar w:fldCharType="end"/>
      </w:r>
      <w:r w:rsidRPr="00566CA0">
        <w:t xml:space="preserve">. The external validity of the derived benchmarks to a contemporary </w:t>
      </w:r>
      <w:proofErr w:type="spellStart"/>
      <w:r w:rsidRPr="00566CA0">
        <w:t>BioMimics</w:t>
      </w:r>
      <w:proofErr w:type="spellEnd"/>
      <w:r w:rsidRPr="00566CA0">
        <w:t xml:space="preserve"> 3D pivotal study therefore cannot be assumed without further review of the current literature</w:t>
      </w:r>
      <w:r w:rsidR="008717FA">
        <w:fldChar w:fldCharType="begin"/>
      </w:r>
      <w:r w:rsidR="008717FA">
        <w:instrText xml:space="preserve"> ADDIN ZOTERO_ITEM CSL_CITATION {"citationID":"qn6VaGIN","properties":{"unsorted":false,"formattedCitation":"(40)","plainCitation":"(40)","noteIndex":0},"citationItems":[{"id":53,"uris":["http://zotero.org/users/local/ebPldVBC/items/JBBWX3UP"],"itemData":{"id":53,"type":"article-journal","container-title":"Statistics in medicine","ISSN":"0277-6715","issue":"27","journalAbbreviation":"Statistics in medicine","page":"2769-2780","publisher":"Wiley Online Library","title":"Bio</w:instrText>
      </w:r>
      <w:r w:rsidR="008717FA">
        <w:rPr>
          <w:rFonts w:ascii="Cambria Math" w:hAnsi="Cambria Math" w:cs="Cambria Math"/>
        </w:rPr>
        <w:instrText>‐</w:instrText>
      </w:r>
      <w:r w:rsidR="008717FA">
        <w:instrText>creep in non</w:instrText>
      </w:r>
      <w:r w:rsidR="008717FA">
        <w:rPr>
          <w:rFonts w:ascii="Cambria Math" w:hAnsi="Cambria Math" w:cs="Cambria Math"/>
        </w:rPr>
        <w:instrText>‐</w:instrText>
      </w:r>
      <w:r w:rsidR="008717FA">
        <w:instrText>inferiority clinical trials","volume":"29","author":[{"family":"Everson</w:instrText>
      </w:r>
      <w:r w:rsidR="008717FA">
        <w:rPr>
          <w:rFonts w:ascii="Cambria Math" w:hAnsi="Cambria Math" w:cs="Cambria Math"/>
        </w:rPr>
        <w:instrText>‐</w:instrText>
      </w:r>
      <w:r w:rsidR="008717FA">
        <w:instrText xml:space="preserve">Stewart","given":"Siobhan"},{"family":"Emerson","given":"Scott S"}],"issued":{"date-parts":[["2010"]]}}}],"schema":"https://github.com/citation-style-language/schema/raw/master/csl-citation.json"} </w:instrText>
      </w:r>
      <w:r w:rsidR="008717FA">
        <w:fldChar w:fldCharType="separate"/>
      </w:r>
      <w:r w:rsidR="008717FA" w:rsidRPr="008717FA">
        <w:rPr>
          <w:rFonts w:ascii="Aptos" w:hAnsi="Aptos"/>
        </w:rPr>
        <w:t>(40)</w:t>
      </w:r>
      <w:r w:rsidR="008717FA">
        <w:fldChar w:fldCharType="end"/>
      </w:r>
      <w:r w:rsidRPr="00566CA0">
        <w:t>.</w:t>
      </w:r>
    </w:p>
    <w:p w14:paraId="45B75FA8" w14:textId="0574F4BC" w:rsidR="00566CA0" w:rsidRPr="00566CA0" w:rsidRDefault="00566CA0" w:rsidP="00566CA0">
      <w:r w:rsidRPr="00566CA0">
        <w:t xml:space="preserve">The simulation study was conducted over a proportion range of </w:t>
      </w:r>
      <m:oMath>
        <m:r>
          <w:rPr>
            <w:rFonts w:ascii="Cambria Math" w:hAnsi="Cambria Math"/>
          </w:rPr>
          <m:t>p∈{0.001,…,0.200}</m:t>
        </m:r>
      </m:oMath>
      <w:r w:rsidR="008717FA">
        <w:rPr>
          <w:rFonts w:eastAsiaTheme="minorEastAsia"/>
        </w:rPr>
        <w:t xml:space="preserve"> </w:t>
      </w:r>
      <w:r w:rsidRPr="00566CA0">
        <w:t xml:space="preserve">at sample sizes of </w:t>
      </w:r>
      <m:oMath>
        <m:r>
          <w:rPr>
            <w:rFonts w:ascii="Cambria Math" w:hAnsi="Cambria Math"/>
          </w:rPr>
          <m:t>n=20</m:t>
        </m:r>
      </m:oMath>
      <w:r w:rsidRPr="00566CA0">
        <w:t xml:space="preserve">, 50 and 100. While this range and these sample sizes are appropriate for the BioMimics 3D safety endpoint, the conclusions may not generalise to settings with higher event rates, larger studies or endpoints near </w:t>
      </w:r>
      <m:oMath>
        <m:r>
          <w:rPr>
            <w:rFonts w:ascii="Cambria Math" w:hAnsi="Cambria Math"/>
          </w:rPr>
          <m:t>p=0.5</m:t>
        </m:r>
      </m:oMath>
      <w:r w:rsidRPr="00566CA0">
        <w:t>. The simulation also evaluated methods solely on coverage probability and expected interval width</w:t>
      </w:r>
      <w:r w:rsidR="008717FA">
        <w:t>.</w:t>
      </w:r>
      <w:r w:rsidRPr="00566CA0">
        <w:t xml:space="preserve"> </w:t>
      </w:r>
      <w:r w:rsidR="008717FA">
        <w:t>O</w:t>
      </w:r>
      <w:r w:rsidRPr="00566CA0">
        <w:t>ther properties, such as the location of the interval relative to the true proportion or tail behaviour at extreme values, were not examined</w:t>
      </w:r>
      <w:r w:rsidR="008717FA">
        <w:fldChar w:fldCharType="begin"/>
      </w:r>
      <w:r w:rsidR="008717FA">
        <w:instrText xml:space="preserve"> ADDIN ZOTERO_ITEM CSL_CITATION {"citationID":"dwy6wRn2","properties":{"unsorted":false,"formattedCitation":"(17,22)","plainCitation":"(17,22)","noteIndex":0},"citationItems":[{"id":43,"uris":["http://zotero.org/users/local/ebPldVBC/items/H9KC5ZVH"],"itemData":{"id":43,"type":"article-journal","abstract":"[We revisit the problem of interval estimation of a binomial proportion. The erratic behavior of the coverage probability of the standard Wald confidence interval has previously been remarked on in the literature (Blyth and Still, Agresti and Coull, Santner and others). We begin by showing that the chaotic coverage properties of the Wald interval are far more persistent than is appreciated. Furthermore, common textbook prescriptions regarding its safety are misleading and defective in several respects and cannot be trusted. This leads us to consideration of alternative intervals. A number of natural alternatives are presented, each with its motivation and context. Each interval is examined for its coverage probability and its length. Based on this analysis, we recommend the Wilson interval or the equal-tailed Jeffreys prior interval for small n and the interval suggested in Agresti and Coull for larger n. We also provide an additional frequentist justification for use of the Jeffreys interval.]","archive":"JSTOR","container-title":"Statistical Science","ISSN":"08834237, 21688745","issue":"2","page":"101-117","publisher":"Institute of Mathematical Statistics","title":"Interval Estimation for a Binomial Proportion","volume":"16","author":[{"family":"Brown","given":"Lawrence D."},{"family":"Cai","given":"T. Tony"},{"family":"DasGupta","given":"Anirban"}],"issued":{"date-parts":[["2001"]]}}},{"id":54,"uris":["http://zotero.org/users/local/ebPldVBC/items/BPNCJX2D"],"itemData":{"id":54,"type":"article-journal","container-title":"REVSTAT-Statistical Journal","ISSN":"2183-0371","issue":"2","journalAbbreviation":"REVSTAT-Statistical Journal","page":"165-197","title":"Interval estimators for a binomial proportion: Comparison of twenty methods","volume":"6","author":[{"family":"Pires","given":"Ana M"},{"family":"Amado","given":"Conceiçao"}],"issued":{"date-parts":[["2008"]]}}}],"schema":"https://github.com/citation-style-language/schema/raw/master/csl-citation.json"} </w:instrText>
      </w:r>
      <w:r w:rsidR="008717FA">
        <w:fldChar w:fldCharType="separate"/>
      </w:r>
      <w:r w:rsidR="008717FA" w:rsidRPr="008717FA">
        <w:rPr>
          <w:rFonts w:ascii="Aptos" w:hAnsi="Aptos"/>
        </w:rPr>
        <w:t>(17,22)</w:t>
      </w:r>
      <w:r w:rsidR="008717FA">
        <w:fldChar w:fldCharType="end"/>
      </w:r>
      <w:r w:rsidRPr="00566CA0">
        <w:t>.</w:t>
      </w:r>
    </w:p>
    <w:p w14:paraId="26DD80F5" w14:textId="4296357C" w:rsidR="00566CA0" w:rsidRPr="00566CA0" w:rsidRDefault="00566CA0" w:rsidP="00566CA0">
      <w:r w:rsidRPr="00566CA0">
        <w:t xml:space="preserve">The Bayesian analysis used a hypothetical Phase II dataset rather than the actual historical studies as the basis for the prior. While this was a deliberate choice to illustrate the method under transparent and controlled assumptions, it means the sample size reduction reported in Section 4.4 cannot be directly interpreted as a realistic design recommendation for a </w:t>
      </w:r>
      <w:proofErr w:type="spellStart"/>
      <w:r w:rsidRPr="00566CA0">
        <w:t>BioMimics</w:t>
      </w:r>
      <w:proofErr w:type="spellEnd"/>
      <w:r w:rsidRPr="00566CA0">
        <w:t xml:space="preserve"> 3D pivotal study. A fully justified prior would require a more thorough assessment of exchangeability, potentially involving clinical experts and formal heterogeneity testing across a broader evidence base than was available here</w:t>
      </w:r>
      <w:r w:rsidR="008717FA">
        <w:fldChar w:fldCharType="begin"/>
      </w:r>
      <w:r w:rsidR="008717FA">
        <w:instrText xml:space="preserve"> ADDIN ZOTERO_ITEM CSL_CITATION {"citationID":"qyJ7xiga","properties":{"unsorted":false,"formattedCitation":"(30\\uc0\\u8211{}32)","plainCitation":"(30–32)","noteIndex":0},"citationItems":[{"id":61,"uris":["http://zotero.org/users/local/ebPldVBC/items/3Q2SXPRP"],"itemData":{"id":61,"type":"article-journal","container-title":"Statistical Science","ISSN":"0883-4237","journalAbbreviation":"Statistical Science","page":"46-60","publisher":"JSTOR","title":"Power prior distributions for regression models","author":[{"family":"Ibrahim","given":"Joseph G"},{"family":"Chen","given":"Ming-Hui"}],"issued":{"date-parts":[["2000"]]}}},{"id":59,"uris":["http://zotero.org/users/local/ebPldVBC/items/CEGYXA59"],"itemData":{"id":59,"type":"article-journal","container-title":"Maryland: US Food and Drug Administration","journalAbbreviation":"Maryland: US Food and Drug Administration","title":"Guidance for the use of Bayesian statistics in medical device clinical trials","author":[{"literal":"US Food and Drug Administration"}],"issued":{"date-parts":[["2010"]]}}},{"id":58,"uris":["http://zotero.org/users/local/ebPldVBC/items/XFYBFFNT"],"itemData":{"id":58,"type":"article-journal","container-title":"BMC Medical Research Methodology","ISSN":"1471-2288","issue":"1","journalAbbreviation":"BMC Medical Research Methodology","page":"78","publisher":"Springer","title":"Bayesian dynamic borrowing in group-sequential design for medical device studies","volume":"25","author":[{"family":"Chiaruttini","given":"Maria Vittoria"},{"family":"Lorenzoni","given":"Giulia"},{"family":"Gregori","given":"Dario"}],"issued":{"date-parts":[["2025"]]}}}],"schema":"https://github.com/citation-style-language/schema/raw/master/csl-citation.json"} </w:instrText>
      </w:r>
      <w:r w:rsidR="008717FA">
        <w:fldChar w:fldCharType="separate"/>
      </w:r>
      <w:r w:rsidR="008717FA" w:rsidRPr="008717FA">
        <w:rPr>
          <w:rFonts w:ascii="Aptos" w:hAnsi="Aptos" w:cs="Times New Roman"/>
          <w:kern w:val="0"/>
        </w:rPr>
        <w:t>(30–32)</w:t>
      </w:r>
      <w:r w:rsidR="008717FA">
        <w:fldChar w:fldCharType="end"/>
      </w:r>
      <w:r w:rsidRPr="00566CA0">
        <w:t>.</w:t>
      </w:r>
    </w:p>
    <w:p w14:paraId="37EAA9D4" w14:textId="15A5CC2B" w:rsidR="00635FBC" w:rsidRDefault="00566CA0" w:rsidP="00566CA0">
      <w:r w:rsidRPr="00566CA0">
        <w:t>Finally, this study focused exclusively on single-arm performance goal designs with binary endpoints. Many medical device studies involve time-to-event endpoints, continuous outcomes or repeated measures</w:t>
      </w:r>
      <w:r w:rsidR="008717FA">
        <w:fldChar w:fldCharType="begin"/>
      </w:r>
      <w:r w:rsidR="008717FA">
        <w:instrText xml:space="preserve"> ADDIN ZOTERO_ITEM CSL_CITATION {"citationID":"ICo5Kg2q","properties":{"unsorted":false,"formattedCitation":"(13,16)","plainCitation":"(13,16)","noteIndex":0},"citationItems":[{"id":38,"uris":["http://zotero.org/users/local/ebPldVBC/items/4KW5E62I"],"itemData":{"id":38,"type":"book","ISBN":"1-315-18308-0","publisher":"chapman and hall/CRC","title":"Sample size calculations in clinical research","author":[{"family":"Chow","given":"Shein-Chung"},{"family":"Shao","given":"Jun"},{"family":"Wang","given":"Hansheng"},{"family":"Lokhnygina","given":"Yuliya"}],"issued":{"date-parts":[["2017"]]}}},{"id":37,"uris":["http://zotero.org/users/local/ebPldVBC/items/APGW42QD"],"itemData":{"id":37,"type":"article-journal","abstract":"Sample size determination is an essential step in planning a clinical study. It is critical to understand that different study designs need different methods of sample size estimation. Although there is a vast literature discussing sample size estimation, incorrect or improper formulas continue to be applied. This article reviews basic statistical concepts in sample size estimation, discusses statistical considerations in the choice of a sample size for randomized controlled trials and observational studies, and provides strategies for reducing sample size when planning a study. To assist clinical researchers in performing sample size calculations, we have developed an online calculator for common clinical study designs. The calculator is available at http://riskcalc.org:3838/samplesize/. Finally, we offer our recommendations on reporting sample size determination in clinical studies.","container-title":"An Overview of Study Design and Statistical Considerations","DOI":"10.1016/j.chest.2020.03.010","ISSN":"0012-3692","issue":"1, Supplement","journalAbbreviation":"Chest","page":"S12-S20","title":"Sample Size Estimation in Clinical Research: From Randomized Controlled Trials to Observational Studies","volume":"158","author":[{"family":"Wang","given":"Xiaofeng"},{"family":"Ji","given":"Xinge"}],"issued":{"date-parts":[["2020",7,1]]}}}],"schema":"https://github.com/citation-style-language/schema/raw/master/csl-citation.json"} </w:instrText>
      </w:r>
      <w:r w:rsidR="008717FA">
        <w:fldChar w:fldCharType="separate"/>
      </w:r>
      <w:r w:rsidR="008717FA" w:rsidRPr="008717FA">
        <w:rPr>
          <w:rFonts w:ascii="Aptos" w:hAnsi="Aptos"/>
        </w:rPr>
        <w:t>(13,16)</w:t>
      </w:r>
      <w:r w:rsidR="008717FA">
        <w:fldChar w:fldCharType="end"/>
      </w:r>
      <w:r w:rsidRPr="00566CA0">
        <w:t>, and the methods developed here do not extend directly to those settings. The conclusions are therefore specific to the single-arm binary endpoint framework and should not be generalised beyond it without further methodological work.</w:t>
      </w:r>
    </w:p>
    <w:p w14:paraId="4814B93E" w14:textId="77777777" w:rsidR="00566CA0" w:rsidRDefault="00566CA0" w:rsidP="00566CA0"/>
    <w:p w14:paraId="27359803" w14:textId="676B1E4A" w:rsidR="00566CA0" w:rsidRDefault="00313F36" w:rsidP="00566CA0">
      <w:pPr>
        <w:pStyle w:val="Heading2"/>
      </w:pPr>
      <w:bookmarkStart w:id="59" w:name="_Toc232114726"/>
      <w:r>
        <w:t>6</w:t>
      </w:r>
      <w:r w:rsidR="00566CA0">
        <w:t xml:space="preserve">.4 </w:t>
      </w:r>
      <w:r w:rsidR="00566CA0" w:rsidRPr="00566CA0">
        <w:t>Directions for Future Research</w:t>
      </w:r>
      <w:bookmarkEnd w:id="59"/>
      <w:r w:rsidR="004B0439">
        <w:t xml:space="preserve"> </w:t>
      </w:r>
    </w:p>
    <w:p w14:paraId="21C50041" w14:textId="3CAAA6A9" w:rsidR="008717FA" w:rsidRPr="008717FA" w:rsidRDefault="008717FA" w:rsidP="008717FA">
      <w:pPr>
        <w:spacing w:line="276" w:lineRule="auto"/>
      </w:pPr>
      <w:r w:rsidRPr="008717FA">
        <w:t>The most immediate extension of this work would be a systematic literature search to replace the single 2007 guidance document used as the historical evidence base. With only three contributing studies available, the derived performance goals carry considerable uncertainty, and more recent femoropopliteal device studies may yield meaningfully different pooled estimates. A broader evidence base would also permit formal assessment of publication bias, which was not possible here</w:t>
      </w:r>
      <w:r>
        <w:fldChar w:fldCharType="begin"/>
      </w:r>
      <w:r>
        <w:instrText xml:space="preserve"> ADDIN ZOTERO_ITEM CSL_CITATION {"citationID":"1eAEvuVN","properties":{"unsorted":false,"formattedCitation":"(7)","plainCitation":"(7)","noteIndex":0},"citationItems":[{"id":32,"uris":["http://zotero.org/users/local/ebPldVBC/items/7QTQGWQJ"],"itemData":{"id":32,"type":"article-journal","abstract":"Performance goals are numerical target values pertaining to effectiveness or safety endpoints in single-arm medical device clinical studies. Typically,  performance goals are determined at the planning stage of the investigational  study under consideration based on summarized outcome information from existing  relevant clinical trials. In recent years, there is a growing interest in  leveraging real-world evidence in medical product development. In this article,  we introduce a new method for proposing performance goals by leveraging  real-world evidence. The method applies entropy balancing to address possible  patient dissimilarities between the study's target patient population and  existing real-world patients, and can take into account operation differences  between clinical studies and real-world clinical practice. An illustrative  example is provided to demonstrate how to implement the proposed method for  performance goal determination while leveraging real-world evidence.","container-title":"Statistics in medicine","DOI":"10.1002/sim.9199","ISSN":"1097-0258 0277-6715","issue":"29","journalAbbreviation":"Stat Med","language":"eng","license":"© 2021 John Wiley &amp; Sons Ltd.","page":"6577-6589","PMID":"34561895","publisher-place":"England","title":"Leveraging real-world evidence for determining performance goals for medical device studies.","volume":"40","author":[{"family":"Wang","given":"Chenguang"},{"family":"Rosner","given":"Gary L."},{"family":"Bao","given":"Tingting"},{"family":"Lu","given":"Nelson"},{"family":"Chen","given":"Wei-Chen"},{"family":"Li","given":"Heng"},{"family":"Tiwari","given":"Ram"},{"family":"Xu","given":"Yunling"},{"family":"Yue","given":"Lilly Q."}],"issued":{"date-parts":[["2021",12,20]]}}}],"schema":"https://github.com/citation-style-language/schema/raw/master/csl-citation.json"} </w:instrText>
      </w:r>
      <w:r>
        <w:fldChar w:fldCharType="separate"/>
      </w:r>
      <w:r w:rsidRPr="008717FA">
        <w:rPr>
          <w:rFonts w:ascii="Aptos" w:hAnsi="Aptos"/>
        </w:rPr>
        <w:t>(7)</w:t>
      </w:r>
      <w:r>
        <w:fldChar w:fldCharType="end"/>
      </w:r>
      <w:r w:rsidRPr="008717FA">
        <w:t>.</w:t>
      </w:r>
    </w:p>
    <w:p w14:paraId="1DA78326" w14:textId="62B94244" w:rsidR="008717FA" w:rsidRPr="008717FA" w:rsidRDefault="008717FA" w:rsidP="008717FA">
      <w:pPr>
        <w:spacing w:line="276" w:lineRule="auto"/>
      </w:pPr>
      <w:r w:rsidRPr="008717FA">
        <w:lastRenderedPageBreak/>
        <w:t>The simulation study could be extended to higher event rates, larger sample sizes and a wider set of operating characteristics beyond coverage probability and expected interval width</w:t>
      </w:r>
      <w:r>
        <w:fldChar w:fldCharType="begin"/>
      </w:r>
      <w:r w:rsidR="005822D9">
        <w:instrText xml:space="preserve"> ADDIN ZOTERO_ITEM CSL_CITATION {"citationID":"LbmuGy7S","properties":{"unsorted":false,"formattedCitation":"(17,22)","plainCitation":"(17,22)","noteIndex":0},"citationItems":[{"id":43,"uris":["http://zotero.org/users/local/ebPldVBC/items/H9KC5ZVH"],"itemData":{"id":43,"type":"article-journal","abstract":"[We revisit the problem of interval estimation of a binomial proportion. The erratic behavior of the coverage probability of the standard Wald confidence interval has previously been remarked on in the literature (Blyth and Still, Agresti and Coull, Santner and others). We begin by showing that the chaotic coverage properties of the Wald interval are far more persistent than is appreciated. Furthermore, common textbook prescriptions regarding its safety are misleading and defective in several respects and cannot be trusted. This leads us to consideration of alternative intervals. A number of natural alternatives are presented, each with its motivation and context. Each interval is examined for its coverage probability and its length. Based on this analysis, we recommend the Wilson interval or the equal-tailed Jeffreys prior interval for small n and the interval suggested in Agresti and Coull for larger n. We also provide an additional frequentist justification for use of the Jeffreys interval.]","archive":"JSTOR","container-title":"Statistical Science","ISSN":"08834237, 21688745","issue":"2","page":"101-117","publisher":"Institute of Mathematical Statistics","title":"Interval Estimation for a Binomial Proportion","volume":"16","author":[{"family":"Brown","given":"Lawrence D."},{"family":"Cai","given":"T. Tony"},{"family":"DasGupta","given":"Anirban"}],"issued":{"date-parts":[["2001"]]}}},{"id":54,"uris":["http://zotero.org/users/local/ebPldVBC/items/BPNCJX2D"],"itemData":{"id":54,"type":"article-journal","container-title":"REVSTAT-Statistical Journal","ISSN":"2183-0371","issue":"2","journalAbbreviation":"REVSTAT-Statistical Journal","page":"165-197","title":"Interval estimators for a binomial proportion: Comparison of twenty methods","volume":"6","author":[{"family":"Pires","given":"Ana M"},{"family":"Amado","given":"Conceiçao"}],"issued":{"date-parts":[["2008"]]}}}],"schema":"https://github.com/citation-style-language/schema/raw/master/csl-citation.json"} </w:instrText>
      </w:r>
      <w:r>
        <w:fldChar w:fldCharType="separate"/>
      </w:r>
      <w:r w:rsidR="005822D9" w:rsidRPr="005822D9">
        <w:rPr>
          <w:rFonts w:ascii="Aptos" w:hAnsi="Aptos"/>
        </w:rPr>
        <w:t>(17,22)</w:t>
      </w:r>
      <w:r>
        <w:fldChar w:fldCharType="end"/>
      </w:r>
      <w:r w:rsidRPr="008717FA">
        <w:t xml:space="preserve">. Applying the same simulation and sample size framework to the 12-month Rutherford classification efficacy endpoint would also complete the </w:t>
      </w:r>
      <w:proofErr w:type="spellStart"/>
      <w:r w:rsidRPr="008717FA">
        <w:t>BioMimics</w:t>
      </w:r>
      <w:proofErr w:type="spellEnd"/>
      <w:r w:rsidRPr="008717FA">
        <w:t xml:space="preserve"> 3D design picture, and a joint power calculation considering both endpoints simultaneously would be a natural further step.</w:t>
      </w:r>
    </w:p>
    <w:p w14:paraId="3E5F11DC" w14:textId="6C997507" w:rsidR="008717FA" w:rsidRPr="008717FA" w:rsidRDefault="008717FA" w:rsidP="008717FA">
      <w:pPr>
        <w:spacing w:line="276" w:lineRule="auto"/>
      </w:pPr>
      <w:r w:rsidRPr="008717FA">
        <w:t>The Bayesian borrowing analysis would benefit from formalisation. This would require a formal exchangeability assessment drawing on clinical expert judgement, sensitivity analyses across a range of prior specifications including the power prior and robust mixture prior approaches introduced in Section 2.5, and simulation studies evaluating operating characteristics under scenarios where historical and current data diverge</w:t>
      </w:r>
      <w:r w:rsidR="005822D9">
        <w:fldChar w:fldCharType="begin"/>
      </w:r>
      <w:r w:rsidR="005822D9">
        <w:instrText xml:space="preserve"> ADDIN ZOTERO_ITEM CSL_CITATION {"citationID":"7g3bo5w7","properties":{"unsorted":false,"formattedCitation":"(30\\uc0\\u8211{}32)","plainCitation":"(30–32)","noteIndex":0},"citationItems":[{"id":61,"uris":["http://zotero.org/users/local/ebPldVBC/items/3Q2SXPRP"],"itemData":{"id":61,"type":"article-journal","container-title":"Statistical Science","ISSN":"0883-4237","journalAbbreviation":"Statistical Science","page":"46-60","publisher":"JSTOR","title":"Power prior distributions for regression models","author":[{"family":"Ibrahim","given":"Joseph G"},{"family":"Chen","given":"Ming-Hui"}],"issued":{"date-parts":[["2000"]]}}},{"id":59,"uris":["http://zotero.org/users/local/ebPldVBC/items/CEGYXA59"],"itemData":{"id":59,"type":"article-journal","container-title":"Maryland: US Food and Drug Administration","journalAbbreviation":"Maryland: US Food and Drug Administration","title":"Guidance for the use of Bayesian statistics in medical device clinical trials","author":[{"literal":"US Food and Drug Administration"}],"issued":{"date-parts":[["2010"]]}}},{"id":58,"uris":["http://zotero.org/users/local/ebPldVBC/items/XFYBFFNT"],"itemData":{"id":58,"type":"article-journal","container-title":"BMC Medical Research Methodology","ISSN":"1471-2288","issue":"1","journalAbbreviation":"BMC Medical Research Methodology","page":"78","publisher":"Springer","title":"Bayesian dynamic borrowing in group-sequential design for medical device studies","volume":"25","author":[{"family":"Chiaruttini","given":"Maria Vittoria"},{"family":"Lorenzoni","given":"Giulia"},{"family":"Gregori","given":"Dario"}],"issued":{"date-parts":[["2025"]]}}}],"schema":"https://github.com/citation-style-language/schema/raw/master/csl-citation.json"} </w:instrText>
      </w:r>
      <w:r w:rsidR="005822D9">
        <w:fldChar w:fldCharType="separate"/>
      </w:r>
      <w:r w:rsidR="005822D9" w:rsidRPr="005822D9">
        <w:rPr>
          <w:rFonts w:ascii="Aptos" w:hAnsi="Aptos" w:cs="Times New Roman"/>
          <w:kern w:val="0"/>
        </w:rPr>
        <w:t>(30–32)</w:t>
      </w:r>
      <w:r w:rsidR="005822D9">
        <w:fldChar w:fldCharType="end"/>
      </w:r>
      <w:r w:rsidRPr="008717FA">
        <w:t>. Incorporating this into PG-Power as a Bayesian module, alongside extensions to time-to-event endpoints and two-arm designs, would substantially broaden the application's utility for medical device trial planning.</w:t>
      </w:r>
    </w:p>
    <w:p w14:paraId="603D0295" w14:textId="77777777" w:rsidR="008717FA" w:rsidRPr="008717FA" w:rsidRDefault="008717FA" w:rsidP="008717FA">
      <w:pPr>
        <w:spacing w:line="276" w:lineRule="auto"/>
      </w:pPr>
      <w:r w:rsidRPr="008717FA">
        <w:t xml:space="preserve">Finally, empirical validation against actual </w:t>
      </w:r>
      <w:proofErr w:type="spellStart"/>
      <w:r w:rsidRPr="008717FA">
        <w:t>BioMimics</w:t>
      </w:r>
      <w:proofErr w:type="spellEnd"/>
      <w:r w:rsidRPr="008717FA">
        <w:t xml:space="preserve"> 3D pivotal study data, if it were to become available, would allow the performance goal framework and confidence interval method rankings developed here to be tested against real clinical outcomes rather than simulated ones.</w:t>
      </w:r>
    </w:p>
    <w:p w14:paraId="328DFF30" w14:textId="77777777" w:rsidR="005C356B" w:rsidRDefault="005C356B" w:rsidP="004A3582">
      <w:pPr>
        <w:spacing w:line="276" w:lineRule="auto"/>
      </w:pPr>
    </w:p>
    <w:p w14:paraId="6E3F12D4" w14:textId="02EB8DD0" w:rsidR="005C356B" w:rsidRDefault="005C356B" w:rsidP="00313F36">
      <w:pPr>
        <w:pStyle w:val="Heading1"/>
        <w:numPr>
          <w:ilvl w:val="0"/>
          <w:numId w:val="4"/>
        </w:numPr>
        <w:spacing w:line="276" w:lineRule="auto"/>
      </w:pPr>
      <w:r>
        <w:t xml:space="preserve"> </w:t>
      </w:r>
      <w:bookmarkStart w:id="60" w:name="_Toc232114727"/>
      <w:r>
        <w:t>Conclusion</w:t>
      </w:r>
      <w:bookmarkEnd w:id="60"/>
    </w:p>
    <w:p w14:paraId="49720FDA" w14:textId="77777777" w:rsidR="005822D9" w:rsidRDefault="005822D9" w:rsidP="005822D9">
      <w:r>
        <w:t xml:space="preserve">This thesis examined how three interconnected statistical choices, the performance goal value, the confidence interval method and the sample size calculation, interact to shape the conclusion of a single-arm performance goal study. Using the </w:t>
      </w:r>
      <w:proofErr w:type="spellStart"/>
      <w:r>
        <w:t>BioMimics</w:t>
      </w:r>
      <w:proofErr w:type="spellEnd"/>
      <w:r>
        <w:t xml:space="preserve"> 3D vascular stent as a case study, it demonstrated that none of these choices is neutral and that each can alter the trial conclusion independently of the underlying clinical data.</w:t>
      </w:r>
    </w:p>
    <w:p w14:paraId="37D6EF6B" w14:textId="77777777" w:rsidR="005822D9" w:rsidRDefault="005822D9" w:rsidP="005822D9">
      <w:r>
        <w:t>The meta-analysis of three historical femoropopliteal nitinol stent studies yielded pooled estimates of approximately 6% for the 30-day composite safety endpoint and 95.8% for the 12-month Rutherford classification efficacy endpoint. Deriving performance goals from confidence interval boundaries rather than point estimates produced benchmarks of 12% for safety and 88% for efficacy, acknowledging the uncertainty inherent in a small and imprecise historical evidence base. The width of the uncertainty around these estimates illustrated that performance goals are rarely as settled as they appear when reported as single values, and that the reasoning behind them carries as much weight as the numbers themselves.</w:t>
      </w:r>
    </w:p>
    <w:p w14:paraId="4BABB1D0" w14:textId="0568C34A" w:rsidR="005822D9" w:rsidRDefault="005822D9" w:rsidP="005822D9">
      <w:r>
        <w:t>The simulation study showed that confidence interval method choice has a consistent and meaningful effect on coverage behaviour at the low event proportions characteristic of medical device safety endpoints. The Wald interval was the only method to consistently fall below the nominal 95% coverage level and is unsuitable as a decision tool in this setting</w:t>
      </w:r>
      <w:r w:rsidR="00215CCB">
        <w:fldChar w:fldCharType="begin"/>
      </w:r>
      <w:r w:rsidR="00215CCB">
        <w:instrText xml:space="preserve"> ADDIN ZOTERO_ITEM CSL_CITATION {"citationID":"WrGClgSG","properties":{"unsorted":false,"formattedCitation":"(17)","plainCitation":"(17)","noteIndex":0},"citationItems":[{"id":43,"uris":["http://zotero.org/users/local/ebPldVBC/items/H9KC5ZVH"],"itemData":{"id":43,"type":"article-journal","abstract":"[We revisit the problem of interval estimation of a binomial proportion. The erratic behavior of the coverage probability of the standard Wald confidence interval has previously been remarked on in the literature (Blyth and Still, Agresti and Coull, Santner and others). We begin by showing that the chaotic coverage properties of the Wald interval are far more persistent than is appreciated. Furthermore, common textbook prescriptions regarding its safety are misleading and defective in several respects and cannot be trusted. This leads us to consideration of alternative intervals. A number of natural alternatives are presented, each with its motivation and context. Each interval is examined for its coverage probability and its length. Based on this analysis, we recommend the Wilson interval or the equal-tailed Jeffreys prior interval for small n and the interval suggested in Agresti and Coull for larger n. We also provide an additional frequentist justification for use of the Jeffreys interval.]","archive":"JSTOR","container-title":"Statistical Science","ISSN":"08834237, 21688745","issue":"2","page":"101-117","publisher":"Institute of Mathematical Statistics","title":"Interval Estimation for a Binomial Proportion","volume":"16","author":[{"family":"Brown","given":"Lawrence D."},{"family":"Cai","given":"T. Tony"},{"family":"DasGupta","given":"Anirban"}],"issued":{"date-parts":[["2001"]]}}}],"schema":"https://github.com/citation-style-language/schema/raw/master/csl-citation.json"} </w:instrText>
      </w:r>
      <w:r w:rsidR="00215CCB">
        <w:fldChar w:fldCharType="separate"/>
      </w:r>
      <w:r w:rsidR="00215CCB" w:rsidRPr="00215CCB">
        <w:rPr>
          <w:rFonts w:ascii="Aptos" w:hAnsi="Aptos"/>
        </w:rPr>
        <w:t>(17)</w:t>
      </w:r>
      <w:r w:rsidR="00215CCB">
        <w:fldChar w:fldCharType="end"/>
      </w:r>
      <w:r>
        <w:t>. Wilson Score and Jeffreys achieved coverage closest to the nominal level with the narrowest intervals, while Clopper-Pearson, Agresti-Coull and the continuity-corrected Wilson Score provided conservative coverage at the cost of wider intervals. These differences translated directly into sample size requirements, with the required evaluable sample size ranging from 169 patients under the Wald interval to 247 under the continuity-corrected Wilson Score under identical design assumptions, and Clopper-Pearson requiring 209 patients as the primary result.</w:t>
      </w:r>
    </w:p>
    <w:p w14:paraId="14D15F84" w14:textId="0B39C89B" w:rsidR="005822D9" w:rsidRDefault="005822D9" w:rsidP="005822D9">
      <w:r>
        <w:lastRenderedPageBreak/>
        <w:t xml:space="preserve">The Bayesian historical borrowing analysis demonstrated that incorporating prior evidence through a </w:t>
      </w:r>
      <m:oMath>
        <m:r>
          <w:rPr>
            <w:rFonts w:ascii="Cambria Math" w:hAnsi="Cambria Math"/>
          </w:rPr>
          <m:t>Beta(2, 48)</m:t>
        </m:r>
      </m:oMath>
      <w:r>
        <w:t xml:space="preserve"> prior reduced the required sample size from 209 to 79 patients, a reduction of approximately 62%. This reduction was sensitive to the weight assigned to the prior, and stronger borrowing increased dependence on the exchangeability assumption in ways that risk inflating the Type I error rate. The analysis established the potential of Bayesian borrowing as a complementary approach to the frequentist framework, contingent on careful prior specification and formal exchangeability assessment.</w:t>
      </w:r>
    </w:p>
    <w:p w14:paraId="3F4A1475" w14:textId="77777777" w:rsidR="005822D9" w:rsidRDefault="005822D9" w:rsidP="005822D9">
      <w:r>
        <w:t>The PG-Power application provided a transparent and reproducible implementation of the sample size framework, making the sensitivity of required sample size to design assumptions immediately visible and supporting the pre-specified decision-making that the results consistently point toward.</w:t>
      </w:r>
    </w:p>
    <w:p w14:paraId="6980CC1E" w14:textId="6B96B644" w:rsidR="005822D9" w:rsidRDefault="005822D9" w:rsidP="005822D9">
      <w:r>
        <w:t xml:space="preserve">Taken together, these findings reinforce a conclusion that extends beyond the </w:t>
      </w:r>
      <w:proofErr w:type="spellStart"/>
      <w:r>
        <w:t>BioMimics</w:t>
      </w:r>
      <w:proofErr w:type="spellEnd"/>
      <w:r>
        <w:t xml:space="preserve"> 3D case study. The concern raised in Section 1.3, that performance goals and statistical methods are often presented without explanation, applies not only to the benchmark itself but to the confidence interval method, the sample size procedure and the prior specification</w:t>
      </w:r>
      <w:r w:rsidR="00215CCB">
        <w:fldChar w:fldCharType="begin"/>
      </w:r>
      <w:r w:rsidR="00215CCB">
        <w:instrText xml:space="preserve"> ADDIN ZOTERO_ITEM CSL_CITATION {"citationID":"esyHG26b","properties":{"unsorted":false,"formattedCitation":"(6)","plainCitation":"(6)","noteIndex":0},"citationItems":[{"id":17,"uris":["http://zotero.org/users/local/ebPldVBC/items/97KHEVHM"],"itemData":{"id":17,"type":"article-journal","abstract":"The CONSORT (Consolidated Standards of Reporting Trials) Statement, which includes a checklist and a flow diagram, is a guideline developed to help authors improve the reporting of the findings from randomized controlled trials. It was updated most recently in 2010. Its primary focus is on individually randomized trials with 2 parallel groups that assess the possible superiority of one treatment compared with another. The CONSORT Statement has been extended to other trial designs such as cluster randomization, and recommendations for noninferiority and equivalence trials were made in 2006. In this article, we present an updated extension of the CONSORT checklist for reporting noninferiority and equivalence trials, based on the 2010 version of the CONSORT Statement and the 2008 CONSORT Statement for the reporting of abstracts, and provide illustrative examples and explanations for those items that differ from the main 2010 CONSORT checklist. The intent is to improve reporting of noninferiority and equivalence trials, enabling readers to assess the reliability of their results and conclusions.","container-title":"JAMA","DOI":"10.1001/jama.2012.87802","ISSN":"0098-7484","issue":"24","journalAbbreviation":"JAMA","page":"2594-2604","title":"Reporting of Noninferiority and Equivalence Randomized Trials: Extension of the CONSORT 2010 Statement","volume":"308","author":[{"family":"Piaggio","given":"Gilda"},{"family":"Elbourne","given":"Diana R."},{"family":"Pocock","given":"Stuart J."},{"family":"Evans","given":"Stephen J. W."},{"family":"Altman","given":"Douglas G."},{"family":"CONSORT Group","given":"for","dropping-particle":"the"}],"issued":{"date-parts":[["2012",12,26]]}}}],"schema":"https://github.com/citation-style-language/schema/raw/master/csl-citation.json"} </w:instrText>
      </w:r>
      <w:r w:rsidR="00215CCB">
        <w:fldChar w:fldCharType="separate"/>
      </w:r>
      <w:r w:rsidR="00215CCB" w:rsidRPr="00215CCB">
        <w:rPr>
          <w:rFonts w:ascii="Aptos" w:hAnsi="Aptos"/>
        </w:rPr>
        <w:t>(6)</w:t>
      </w:r>
      <w:r w:rsidR="00215CCB">
        <w:fldChar w:fldCharType="end"/>
      </w:r>
      <w:r>
        <w:t xml:space="preserve">. Each of these choices shapes the trial conclusion before a patient is enrolled, and making them explicit, justified and pre-specified in the </w:t>
      </w:r>
      <w:r w:rsidR="00020CAA">
        <w:t xml:space="preserve">SAP </w:t>
      </w:r>
      <w:r>
        <w:t>is not a procedural formality. It is the foundation on which a credible and reproducible performance goal study rests.</w:t>
      </w:r>
    </w:p>
    <w:p w14:paraId="6BE2708A" w14:textId="77777777" w:rsidR="005822D9" w:rsidRPr="005822D9" w:rsidRDefault="005822D9" w:rsidP="005822D9"/>
    <w:p w14:paraId="2D24D265" w14:textId="77B9C994" w:rsidR="00246BF1" w:rsidRPr="00246BF1" w:rsidRDefault="00246BF1" w:rsidP="00313F36">
      <w:pPr>
        <w:pStyle w:val="Heading1"/>
        <w:numPr>
          <w:ilvl w:val="0"/>
          <w:numId w:val="4"/>
        </w:numPr>
      </w:pPr>
      <w:bookmarkStart w:id="61" w:name="_Toc232114728"/>
      <w:r>
        <w:t>Appendix</w:t>
      </w:r>
      <w:bookmarkEnd w:id="61"/>
    </w:p>
    <w:p w14:paraId="0A33D8C7" w14:textId="06E7C6A9" w:rsidR="00B10C5E" w:rsidRDefault="00251E50" w:rsidP="00B10C5E">
      <w:pPr>
        <w:pStyle w:val="Heading2"/>
        <w:numPr>
          <w:ilvl w:val="1"/>
          <w:numId w:val="4"/>
        </w:numPr>
      </w:pPr>
      <w:bookmarkStart w:id="62" w:name="_Toc232114729"/>
      <w:r>
        <w:t>Project GitHub Repository</w:t>
      </w:r>
      <w:bookmarkEnd w:id="62"/>
    </w:p>
    <w:p w14:paraId="05C396B1" w14:textId="77777777" w:rsidR="00251E50" w:rsidRPr="00251E50" w:rsidRDefault="00251E50" w:rsidP="00251E50">
      <w:r w:rsidRPr="00251E50">
        <w:t>All materials associated with this thesis are publicly available at:</w:t>
      </w:r>
    </w:p>
    <w:p w14:paraId="3B78A63E" w14:textId="77777777" w:rsidR="00251E50" w:rsidRPr="00251E50" w:rsidRDefault="00251E50" w:rsidP="00251E50">
      <w:hyperlink r:id="rId24" w:history="1">
        <w:r w:rsidRPr="00251E50">
          <w:rPr>
            <w:rStyle w:val="Hyperlink"/>
            <w:b/>
            <w:bCs/>
          </w:rPr>
          <w:t>https://github.com/FilipMKgit/MDX2526</w:t>
        </w:r>
      </w:hyperlink>
    </w:p>
    <w:p w14:paraId="1E8E7D3B" w14:textId="77777777" w:rsidR="00251E50" w:rsidRPr="00251E50" w:rsidRDefault="00251E50" w:rsidP="00251E50">
      <w:r w:rsidRPr="00251E50">
        <w:t xml:space="preserve">The repository contains the PG-Power R Shiny application with full source code and documentation, a PDF report generated by PG-Power for the </w:t>
      </w:r>
      <w:proofErr w:type="spellStart"/>
      <w:r w:rsidRPr="00251E50">
        <w:t>BioMimics</w:t>
      </w:r>
      <w:proofErr w:type="spellEnd"/>
      <w:r w:rsidRPr="00251E50">
        <w:t xml:space="preserve"> 3D safety endpoint analysis under the design assumptions described in Section 4.2, the R simulation code used to produce the results in Section 5.2, the thesis document in both Word and Quarto formats, and supporting project materials including the research poster and oral presentation slides.</w:t>
      </w:r>
    </w:p>
    <w:p w14:paraId="526C4D94" w14:textId="77777777" w:rsidR="00251E50" w:rsidRPr="00B10C5E" w:rsidRDefault="00251E50" w:rsidP="00B10C5E"/>
    <w:p w14:paraId="74822547" w14:textId="74BD32CB" w:rsidR="00FE2CFF" w:rsidRDefault="007A48EE" w:rsidP="00313F36">
      <w:pPr>
        <w:pStyle w:val="Heading1"/>
        <w:spacing w:line="276" w:lineRule="auto"/>
      </w:pPr>
      <w:bookmarkStart w:id="63" w:name="_Toc232114730"/>
      <w:r>
        <w:t>References</w:t>
      </w:r>
      <w:bookmarkEnd w:id="63"/>
    </w:p>
    <w:p w14:paraId="791098AE" w14:textId="77777777" w:rsidR="003A69E1" w:rsidRPr="003A69E1" w:rsidRDefault="006C0F99" w:rsidP="003A69E1">
      <w:pPr>
        <w:pStyle w:val="Bibliography"/>
      </w:pPr>
      <w:r>
        <w:fldChar w:fldCharType="begin"/>
      </w:r>
      <w:r w:rsidR="003A69E1">
        <w:instrText xml:space="preserve"> ADDIN ZOTERO_BIBL {"uncited":[],"omitted":[],"custom":[]} CSL_BIBLIOGRAPHY </w:instrText>
      </w:r>
      <w:r>
        <w:fldChar w:fldCharType="separate"/>
      </w:r>
      <w:r w:rsidR="003A69E1" w:rsidRPr="003A69E1">
        <w:t>1.</w:t>
      </w:r>
      <w:r w:rsidR="003A69E1" w:rsidRPr="003A69E1">
        <w:tab/>
      </w:r>
      <w:proofErr w:type="spellStart"/>
      <w:r w:rsidR="003A69E1" w:rsidRPr="003A69E1">
        <w:t>Schumi</w:t>
      </w:r>
      <w:proofErr w:type="spellEnd"/>
      <w:r w:rsidR="003A69E1" w:rsidRPr="003A69E1">
        <w:t xml:space="preserve"> J, Wittes JT. Through the looking glass: understanding non-inferiority. Trials. 2011 May 3;12(1):106. doi:10.1186/1745-6215-12-106</w:t>
      </w:r>
    </w:p>
    <w:p w14:paraId="0CBE44AC" w14:textId="77777777" w:rsidR="003A69E1" w:rsidRPr="003A69E1" w:rsidRDefault="003A69E1" w:rsidP="003A69E1">
      <w:pPr>
        <w:pStyle w:val="Bibliography"/>
      </w:pPr>
      <w:r w:rsidRPr="003A69E1">
        <w:t>2.</w:t>
      </w:r>
      <w:r w:rsidRPr="003A69E1">
        <w:tab/>
        <w:t xml:space="preserve">Cuzick J, </w:t>
      </w:r>
      <w:proofErr w:type="spellStart"/>
      <w:r w:rsidRPr="003A69E1">
        <w:t>Sasieni</w:t>
      </w:r>
      <w:proofErr w:type="spellEnd"/>
      <w:r w:rsidRPr="003A69E1">
        <w:t xml:space="preserve"> P. Interpreting the results of noninferiority trials-a review. Br J Cancer. 2022 Nov;127(10):1755–9. doi:10.1038/s41416-022-01937-w PubMed PMID: 36104512; PubMed Central PMCID: PMC9643416.</w:t>
      </w:r>
    </w:p>
    <w:p w14:paraId="7A5D3EE4" w14:textId="77777777" w:rsidR="003A69E1" w:rsidRPr="003A69E1" w:rsidRDefault="003A69E1" w:rsidP="003A69E1">
      <w:pPr>
        <w:pStyle w:val="Bibliography"/>
      </w:pPr>
      <w:r w:rsidRPr="003A69E1">
        <w:lastRenderedPageBreak/>
        <w:t>3.</w:t>
      </w:r>
      <w:r w:rsidRPr="003A69E1">
        <w:tab/>
        <w:t xml:space="preserve">Oczkowski SJW. A clinician’s guide to the assessment and interpretation of noninferiority trials for novel therapies. Open Med Peer-Rev </w:t>
      </w:r>
      <w:proofErr w:type="spellStart"/>
      <w:r w:rsidRPr="003A69E1">
        <w:t>Indep</w:t>
      </w:r>
      <w:proofErr w:type="spellEnd"/>
      <w:r w:rsidRPr="003A69E1">
        <w:t xml:space="preserve"> Open-Access J. 2014;8(2</w:t>
      </w:r>
      <w:proofErr w:type="gramStart"/>
      <w:r w:rsidRPr="003A69E1">
        <w:t>):e</w:t>
      </w:r>
      <w:proofErr w:type="gramEnd"/>
      <w:r w:rsidRPr="003A69E1">
        <w:t>67-72. PubMed PMID: 25009686; PubMed Central PMCID: PMC4085087.</w:t>
      </w:r>
    </w:p>
    <w:p w14:paraId="6642AACF" w14:textId="77777777" w:rsidR="003A69E1" w:rsidRPr="003A69E1" w:rsidRDefault="003A69E1" w:rsidP="003A69E1">
      <w:pPr>
        <w:pStyle w:val="Bibliography"/>
      </w:pPr>
      <w:r w:rsidRPr="003A69E1">
        <w:t>4.</w:t>
      </w:r>
      <w:r w:rsidRPr="003A69E1">
        <w:tab/>
        <w:t xml:space="preserve">Tweed CD, </w:t>
      </w:r>
      <w:proofErr w:type="spellStart"/>
      <w:r w:rsidRPr="003A69E1">
        <w:t>Quartagno</w:t>
      </w:r>
      <w:proofErr w:type="spellEnd"/>
      <w:r w:rsidRPr="003A69E1">
        <w:t xml:space="preserve"> M, Clements MN, Turner RM, Nunn AJ, Dunn DT, et al. Exploring different objectives in non-inferiority trials. BMJ. 2024;385. doi:10.1136/bmj-2023-078000</w:t>
      </w:r>
    </w:p>
    <w:p w14:paraId="269FBC50" w14:textId="77777777" w:rsidR="003A69E1" w:rsidRPr="003A69E1" w:rsidRDefault="003A69E1" w:rsidP="003A69E1">
      <w:pPr>
        <w:pStyle w:val="Bibliography"/>
      </w:pPr>
      <w:r w:rsidRPr="003A69E1">
        <w:t>5.</w:t>
      </w:r>
      <w:r w:rsidRPr="003A69E1">
        <w:tab/>
        <w:t>International Council for Harmonisation. Statistical Principles for Clinical Trials E9 [Guideline] [Internet]. International Council for Harmonisation (ICH); 1998 [cited 2026 May 12]. Available from: https://www.ich.org/page/efficacy-guidelines</w:t>
      </w:r>
    </w:p>
    <w:p w14:paraId="59081F3B" w14:textId="77777777" w:rsidR="003A69E1" w:rsidRPr="003A69E1" w:rsidRDefault="003A69E1" w:rsidP="003A69E1">
      <w:pPr>
        <w:pStyle w:val="Bibliography"/>
      </w:pPr>
      <w:r w:rsidRPr="003A69E1">
        <w:t>6.</w:t>
      </w:r>
      <w:r w:rsidRPr="003A69E1">
        <w:tab/>
        <w:t xml:space="preserve">Piaggio G, </w:t>
      </w:r>
      <w:proofErr w:type="spellStart"/>
      <w:r w:rsidRPr="003A69E1">
        <w:t>Elbourne</w:t>
      </w:r>
      <w:proofErr w:type="spellEnd"/>
      <w:r w:rsidRPr="003A69E1">
        <w:t xml:space="preserve"> DR, Pocock SJ, Evans SJW, Altman DG, CONSORT </w:t>
      </w:r>
      <w:proofErr w:type="gramStart"/>
      <w:r w:rsidRPr="003A69E1">
        <w:t>Group  for</w:t>
      </w:r>
      <w:proofErr w:type="gramEnd"/>
      <w:r w:rsidRPr="003A69E1">
        <w:t xml:space="preserve"> the. Reporting of Noninferiority and Equivalence Randomized Trials: Extension of the CONSORT 2010 Statement. JAMA. 2012 Dec 26;308(24):2594–604. doi:10.1001/jama.2012.87802</w:t>
      </w:r>
    </w:p>
    <w:p w14:paraId="27A2EFEE" w14:textId="77777777" w:rsidR="003A69E1" w:rsidRPr="003A69E1" w:rsidRDefault="003A69E1" w:rsidP="003A69E1">
      <w:pPr>
        <w:pStyle w:val="Bibliography"/>
      </w:pPr>
      <w:r w:rsidRPr="003A69E1">
        <w:t>7.</w:t>
      </w:r>
      <w:r w:rsidRPr="003A69E1">
        <w:tab/>
        <w:t>Wang C, Rosner GL, Bao T, Lu N, Chen WC, Li H, et al. Leveraging real-world evidence for determining performance goals for medical device studies. Stat Med. 2021 Dec 20;40(29):6577–89. doi:10.1002/sim.9199 PubMed PMID: 34561895.</w:t>
      </w:r>
    </w:p>
    <w:p w14:paraId="30DB3A9B" w14:textId="77777777" w:rsidR="003A69E1" w:rsidRPr="003A69E1" w:rsidRDefault="003A69E1" w:rsidP="003A69E1">
      <w:pPr>
        <w:pStyle w:val="Bibliography"/>
      </w:pPr>
      <w:r w:rsidRPr="003A69E1">
        <w:t>8.</w:t>
      </w:r>
      <w:r w:rsidRPr="003A69E1">
        <w:tab/>
        <w:t xml:space="preserve">Wang M, Ma H, Shi Y, Ni H, Qin C, Ji C. Single-arm clinical trials: design, ethics, principles. BMJ Support </w:t>
      </w:r>
      <w:proofErr w:type="spellStart"/>
      <w:r w:rsidRPr="003A69E1">
        <w:t>Palliat</w:t>
      </w:r>
      <w:proofErr w:type="spellEnd"/>
      <w:r w:rsidRPr="003A69E1">
        <w:t xml:space="preserve"> Care. 2024 Dec 25;15(1):46–54. doi:10.1136/spcare-2024-004984 PubMed PMID: 38834238; PubMed Central PMCID: PMC11874317.</w:t>
      </w:r>
    </w:p>
    <w:p w14:paraId="6564082D" w14:textId="77777777" w:rsidR="003A69E1" w:rsidRPr="003A69E1" w:rsidRDefault="003A69E1" w:rsidP="003A69E1">
      <w:pPr>
        <w:pStyle w:val="Bibliography"/>
      </w:pPr>
      <w:r w:rsidRPr="003A69E1">
        <w:t>9.</w:t>
      </w:r>
      <w:r w:rsidRPr="003A69E1">
        <w:tab/>
        <w:t xml:space="preserve">Rocha-Singh KJ, others. Performance goals and endpoint assessments for clinical trials of femoropopliteal bare nitinol stents in patients with symptomatic peripheral arterial disease. Catheter Cardiovasc </w:t>
      </w:r>
      <w:proofErr w:type="spellStart"/>
      <w:r w:rsidRPr="003A69E1">
        <w:t>Interv</w:t>
      </w:r>
      <w:proofErr w:type="spellEnd"/>
      <w:r w:rsidRPr="003A69E1">
        <w:t xml:space="preserve">. </w:t>
      </w:r>
      <w:proofErr w:type="gramStart"/>
      <w:r w:rsidRPr="003A69E1">
        <w:t>2007;69:910</w:t>
      </w:r>
      <w:proofErr w:type="gramEnd"/>
      <w:r w:rsidRPr="003A69E1">
        <w:t>–9.</w:t>
      </w:r>
    </w:p>
    <w:p w14:paraId="499A8535" w14:textId="77777777" w:rsidR="003A69E1" w:rsidRPr="003A69E1" w:rsidRDefault="003A69E1" w:rsidP="003A69E1">
      <w:pPr>
        <w:pStyle w:val="Bibliography"/>
      </w:pPr>
      <w:r w:rsidRPr="003A69E1">
        <w:t>10.</w:t>
      </w:r>
      <w:r w:rsidRPr="003A69E1">
        <w:tab/>
        <w:t xml:space="preserve">Cao S, Kan H, Lu M, Pan J. Estimating comparative effectiveness using Single-Arm trials: A challenge in the field of agnosticism. BMC Med Res </w:t>
      </w:r>
      <w:proofErr w:type="spellStart"/>
      <w:r w:rsidRPr="003A69E1">
        <w:t>Methodol</w:t>
      </w:r>
      <w:proofErr w:type="spellEnd"/>
      <w:r w:rsidRPr="003A69E1">
        <w:t>. 2025 Oct 21;25(1):233. doi:10.1186/s12874-025-02660-9</w:t>
      </w:r>
    </w:p>
    <w:p w14:paraId="47F51A72" w14:textId="77777777" w:rsidR="003A69E1" w:rsidRPr="003A69E1" w:rsidRDefault="003A69E1" w:rsidP="003A69E1">
      <w:pPr>
        <w:pStyle w:val="Bibliography"/>
      </w:pPr>
      <w:r w:rsidRPr="003A69E1">
        <w:t>11.</w:t>
      </w:r>
      <w:r w:rsidRPr="003A69E1">
        <w:tab/>
        <w:t>Medical Devices - Clinical investigations and performance studies - European Commission [Internet]. 2026 [cited 2026 Jun 4]. Available from: https://health.ec.europa.eu/medical-devices-clinical-investigations-and-performance-studies_en</w:t>
      </w:r>
    </w:p>
    <w:p w14:paraId="2104593D" w14:textId="77777777" w:rsidR="003A69E1" w:rsidRPr="003A69E1" w:rsidRDefault="003A69E1" w:rsidP="003A69E1">
      <w:pPr>
        <w:pStyle w:val="Bibliography"/>
      </w:pPr>
      <w:r w:rsidRPr="003A69E1">
        <w:t>12.</w:t>
      </w:r>
      <w:r w:rsidRPr="003A69E1">
        <w:tab/>
      </w:r>
      <w:proofErr w:type="spellStart"/>
      <w:r w:rsidRPr="003A69E1">
        <w:t>Lesaffre</w:t>
      </w:r>
      <w:proofErr w:type="spellEnd"/>
      <w:r w:rsidRPr="003A69E1">
        <w:t xml:space="preserve"> E. Superiority, Equivalence, and Non-Inferiority Trials. Bull Hosp Joint Dis [Internet]. 2008;66(2). Available from: https://journals.lww.com/bhjd/fulltext/2008/66020/superiority,_equivalence,_and_non_inferiority.16.aspx</w:t>
      </w:r>
    </w:p>
    <w:p w14:paraId="3EE03A20" w14:textId="77777777" w:rsidR="003A69E1" w:rsidRPr="003A69E1" w:rsidRDefault="003A69E1" w:rsidP="003A69E1">
      <w:pPr>
        <w:pStyle w:val="Bibliography"/>
      </w:pPr>
      <w:r w:rsidRPr="003A69E1">
        <w:t>13.</w:t>
      </w:r>
      <w:r w:rsidRPr="003A69E1">
        <w:tab/>
        <w:t xml:space="preserve">Chow SC, Shao J, Wang H, </w:t>
      </w:r>
      <w:proofErr w:type="spellStart"/>
      <w:r w:rsidRPr="003A69E1">
        <w:t>Lokhnygina</w:t>
      </w:r>
      <w:proofErr w:type="spellEnd"/>
      <w:r w:rsidRPr="003A69E1">
        <w:t xml:space="preserve"> Y. Sample size calculations in clinical research. chapman and hall/CRC; 2017.</w:t>
      </w:r>
    </w:p>
    <w:p w14:paraId="3B22A39C" w14:textId="77777777" w:rsidR="003A69E1" w:rsidRPr="003A69E1" w:rsidRDefault="003A69E1" w:rsidP="003A69E1">
      <w:pPr>
        <w:pStyle w:val="Bibliography"/>
      </w:pPr>
      <w:r w:rsidRPr="003A69E1">
        <w:t>14.</w:t>
      </w:r>
      <w:r w:rsidRPr="003A69E1">
        <w:tab/>
        <w:t>Schulz KF, Grimes DA. Sample size calculations in randomised trials: mandatory and mystical. The Lancet. 2005 Apr 9;365(9467):1348–53. doi:10.1016/S0140-6736(05)61034-3</w:t>
      </w:r>
    </w:p>
    <w:p w14:paraId="3AEB642D" w14:textId="77777777" w:rsidR="003A69E1" w:rsidRPr="003A69E1" w:rsidRDefault="003A69E1" w:rsidP="003A69E1">
      <w:pPr>
        <w:pStyle w:val="Bibliography"/>
      </w:pPr>
      <w:r w:rsidRPr="003A69E1">
        <w:t>15.</w:t>
      </w:r>
      <w:r w:rsidRPr="003A69E1">
        <w:tab/>
        <w:t>U.S. Food and Drug Administration. Non-Inferiority Clinical Trials to Establish Effectiveness [Guidance for Industry] [Internet]. U.S. Food and Drug Administration; 2016 [cited 2026 Jan 5]. Available from: https://www.fda.gov/media/78504/download</w:t>
      </w:r>
    </w:p>
    <w:p w14:paraId="736ED747" w14:textId="77777777" w:rsidR="003A69E1" w:rsidRPr="003A69E1" w:rsidRDefault="003A69E1" w:rsidP="003A69E1">
      <w:pPr>
        <w:pStyle w:val="Bibliography"/>
      </w:pPr>
      <w:r w:rsidRPr="003A69E1">
        <w:t>16.</w:t>
      </w:r>
      <w:r w:rsidRPr="003A69E1">
        <w:tab/>
        <w:t xml:space="preserve">Wang X, Ji X. Sample Size Estimation in Clinical Research: From Randomized Controlled Trials to Observational Studies. </w:t>
      </w:r>
      <w:proofErr w:type="spellStart"/>
      <w:r w:rsidRPr="003A69E1">
        <w:t>Overv</w:t>
      </w:r>
      <w:proofErr w:type="spellEnd"/>
      <w:r w:rsidRPr="003A69E1">
        <w:t xml:space="preserve"> Study Des Stat </w:t>
      </w:r>
      <w:proofErr w:type="spellStart"/>
      <w:r w:rsidRPr="003A69E1">
        <w:t>Consid</w:t>
      </w:r>
      <w:proofErr w:type="spellEnd"/>
      <w:r w:rsidRPr="003A69E1">
        <w:t>. 2020 Jul 1;158(1, Supplement</w:t>
      </w:r>
      <w:proofErr w:type="gramStart"/>
      <w:r w:rsidRPr="003A69E1">
        <w:t>):S</w:t>
      </w:r>
      <w:proofErr w:type="gramEnd"/>
      <w:r w:rsidRPr="003A69E1">
        <w:t xml:space="preserve">12–20. </w:t>
      </w:r>
      <w:proofErr w:type="gramStart"/>
      <w:r w:rsidRPr="003A69E1">
        <w:t>doi:10.1016/j.chest</w:t>
      </w:r>
      <w:proofErr w:type="gramEnd"/>
      <w:r w:rsidRPr="003A69E1">
        <w:t>.2020.03.010</w:t>
      </w:r>
    </w:p>
    <w:p w14:paraId="7E45C330" w14:textId="77777777" w:rsidR="003A69E1" w:rsidRPr="003A69E1" w:rsidRDefault="003A69E1" w:rsidP="003A69E1">
      <w:pPr>
        <w:pStyle w:val="Bibliography"/>
      </w:pPr>
      <w:r w:rsidRPr="003A69E1">
        <w:lastRenderedPageBreak/>
        <w:t>17.</w:t>
      </w:r>
      <w:r w:rsidRPr="003A69E1">
        <w:tab/>
        <w:t>Brown LD, Cai TT, DasGupta A. Interval Estimation for a Binomial Proportion. Stat Sci. 2001;16(2):101–17. Located at: JSTOR</w:t>
      </w:r>
    </w:p>
    <w:p w14:paraId="555E0724" w14:textId="77777777" w:rsidR="003A69E1" w:rsidRPr="003A69E1" w:rsidRDefault="003A69E1" w:rsidP="003A69E1">
      <w:pPr>
        <w:pStyle w:val="Bibliography"/>
      </w:pPr>
      <w:r w:rsidRPr="003A69E1">
        <w:t>18.</w:t>
      </w:r>
      <w:r w:rsidRPr="003A69E1">
        <w:tab/>
        <w:t>Agresti A. Categorical data analysis. John Wiley &amp; Sons; 2013.</w:t>
      </w:r>
    </w:p>
    <w:p w14:paraId="1344CFEA" w14:textId="77777777" w:rsidR="003A69E1" w:rsidRPr="003A69E1" w:rsidRDefault="003A69E1" w:rsidP="003A69E1">
      <w:pPr>
        <w:pStyle w:val="Bibliography"/>
      </w:pPr>
      <w:r w:rsidRPr="003A69E1">
        <w:t>19.</w:t>
      </w:r>
      <w:r w:rsidRPr="003A69E1">
        <w:tab/>
        <w:t>Agresti A, Coull BA. Approximate is better than “exact” for interval estimation of binomial proportions. Am Stat. 1998;52(2):119–26.</w:t>
      </w:r>
    </w:p>
    <w:p w14:paraId="51E903B2" w14:textId="77777777" w:rsidR="003A69E1" w:rsidRPr="003A69E1" w:rsidRDefault="003A69E1" w:rsidP="003A69E1">
      <w:pPr>
        <w:pStyle w:val="Bibliography"/>
      </w:pPr>
      <w:r w:rsidRPr="003A69E1">
        <w:t>20.</w:t>
      </w:r>
      <w:r w:rsidRPr="003A69E1">
        <w:tab/>
        <w:t xml:space="preserve">Clopper CJ, Pearson ES. The use of confidence or fiducial limits illustrated in the case of the binomial. </w:t>
      </w:r>
      <w:proofErr w:type="spellStart"/>
      <w:r w:rsidRPr="003A69E1">
        <w:t>Biometrika</w:t>
      </w:r>
      <w:proofErr w:type="spellEnd"/>
      <w:r w:rsidRPr="003A69E1">
        <w:t>. 1934;26(4):404–13.</w:t>
      </w:r>
    </w:p>
    <w:p w14:paraId="733FACA3" w14:textId="77777777" w:rsidR="003A69E1" w:rsidRPr="003A69E1" w:rsidRDefault="003A69E1" w:rsidP="003A69E1">
      <w:pPr>
        <w:pStyle w:val="Bibliography"/>
      </w:pPr>
      <w:r w:rsidRPr="003A69E1">
        <w:t>21.</w:t>
      </w:r>
      <w:r w:rsidRPr="003A69E1">
        <w:tab/>
        <w:t>Health C for D and R. FDA [Internet]. FDA; 2026 [cited 2026 Jun 10]. CDRH Learn. Available from: https://www.fda.gov/training-and-continuing-education/cdrh-learn</w:t>
      </w:r>
    </w:p>
    <w:p w14:paraId="6CCED569" w14:textId="77777777" w:rsidR="003A69E1" w:rsidRPr="003A69E1" w:rsidRDefault="003A69E1" w:rsidP="003A69E1">
      <w:pPr>
        <w:pStyle w:val="Bibliography"/>
      </w:pPr>
      <w:r w:rsidRPr="003A69E1">
        <w:t>22.</w:t>
      </w:r>
      <w:r w:rsidRPr="003A69E1">
        <w:tab/>
        <w:t>Pires AM, Amado C. Interval estimators for a binomial proportion: Comparison of twenty methods. REVSTAT-Stat J. 2008;6(2):165–97.</w:t>
      </w:r>
    </w:p>
    <w:p w14:paraId="55DE0212" w14:textId="77777777" w:rsidR="003A69E1" w:rsidRPr="003A69E1" w:rsidRDefault="003A69E1" w:rsidP="003A69E1">
      <w:pPr>
        <w:pStyle w:val="Bibliography"/>
      </w:pPr>
      <w:r w:rsidRPr="003A69E1">
        <w:t>23.</w:t>
      </w:r>
      <w:r w:rsidRPr="003A69E1">
        <w:tab/>
        <w:t>Robert CP, Chopin N, Rousseau J. Harold Jeffreys’s theory of probability revisited. 2009.</w:t>
      </w:r>
    </w:p>
    <w:p w14:paraId="41026027" w14:textId="77777777" w:rsidR="003A69E1" w:rsidRPr="003A69E1" w:rsidRDefault="003A69E1" w:rsidP="003A69E1">
      <w:pPr>
        <w:pStyle w:val="Bibliography"/>
      </w:pPr>
      <w:r w:rsidRPr="003A69E1">
        <w:t>24.</w:t>
      </w:r>
      <w:r w:rsidRPr="003A69E1">
        <w:tab/>
        <w:t>Julious SA. Sample sizes for clinical trials with normal data. Stat Med. 2004;23(12):1921–86.</w:t>
      </w:r>
    </w:p>
    <w:p w14:paraId="132F9C6D" w14:textId="77777777" w:rsidR="003A69E1" w:rsidRPr="003A69E1" w:rsidRDefault="003A69E1" w:rsidP="003A69E1">
      <w:pPr>
        <w:pStyle w:val="Bibliography"/>
      </w:pPr>
      <w:r w:rsidRPr="003A69E1">
        <w:t>25.</w:t>
      </w:r>
      <w:r w:rsidRPr="003A69E1">
        <w:tab/>
        <w:t>PASS Sample Size Software Documentation | PASS Software Help [Internet]. [cited 2026 Jun 11]. Available from: https://www.ncss.com/software/pass/pass-documentation/</w:t>
      </w:r>
    </w:p>
    <w:p w14:paraId="2490B66D" w14:textId="77777777" w:rsidR="003A69E1" w:rsidRPr="003A69E1" w:rsidRDefault="003A69E1" w:rsidP="003A69E1">
      <w:pPr>
        <w:pStyle w:val="Bibliography"/>
      </w:pPr>
      <w:r w:rsidRPr="003A69E1">
        <w:t>26.</w:t>
      </w:r>
      <w:r w:rsidRPr="003A69E1">
        <w:tab/>
      </w:r>
      <w:proofErr w:type="spellStart"/>
      <w:r w:rsidRPr="003A69E1">
        <w:t>Elashoff</w:t>
      </w:r>
      <w:proofErr w:type="spellEnd"/>
      <w:r w:rsidRPr="003A69E1">
        <w:t xml:space="preserve"> JD. </w:t>
      </w:r>
      <w:proofErr w:type="spellStart"/>
      <w:r w:rsidRPr="003A69E1">
        <w:t>nQuery</w:t>
      </w:r>
      <w:proofErr w:type="spellEnd"/>
      <w:r w:rsidRPr="003A69E1">
        <w:t xml:space="preserve"> Advisor Version 5.0 User’s Guide.</w:t>
      </w:r>
    </w:p>
    <w:p w14:paraId="5EB3293F" w14:textId="77777777" w:rsidR="003A69E1" w:rsidRPr="003A69E1" w:rsidRDefault="003A69E1" w:rsidP="003A69E1">
      <w:pPr>
        <w:pStyle w:val="Bibliography"/>
      </w:pPr>
      <w:r w:rsidRPr="003A69E1">
        <w:t>27.</w:t>
      </w:r>
      <w:r w:rsidRPr="003A69E1">
        <w:tab/>
        <w:t>East Archives [Internet]. [cited 2026 Jun 11]. Available from: https://dev-www.cytel.com/by-topic/east/</w:t>
      </w:r>
    </w:p>
    <w:p w14:paraId="1A4231D4" w14:textId="77777777" w:rsidR="003A69E1" w:rsidRPr="003A69E1" w:rsidRDefault="003A69E1" w:rsidP="003A69E1">
      <w:pPr>
        <w:pStyle w:val="Bibliography"/>
      </w:pPr>
      <w:r w:rsidRPr="003A69E1">
        <w:t>28.</w:t>
      </w:r>
      <w:r w:rsidRPr="003A69E1">
        <w:tab/>
      </w:r>
      <w:proofErr w:type="spellStart"/>
      <w:r w:rsidRPr="003A69E1">
        <w:t>binom.confint</w:t>
      </w:r>
      <w:proofErr w:type="spellEnd"/>
      <w:r w:rsidRPr="003A69E1">
        <w:t xml:space="preserve"> function - </w:t>
      </w:r>
      <w:proofErr w:type="spellStart"/>
      <w:r w:rsidRPr="003A69E1">
        <w:t>RDocumentation</w:t>
      </w:r>
      <w:proofErr w:type="spellEnd"/>
      <w:r w:rsidRPr="003A69E1">
        <w:t xml:space="preserve"> [Internet]. [cited 2026 Jun 11]. Available from: https://www.rdocumentation.org/packages/binom/versions/1.1-1.1/topics/binom.confint</w:t>
      </w:r>
    </w:p>
    <w:p w14:paraId="787E409E" w14:textId="77777777" w:rsidR="003A69E1" w:rsidRPr="003A69E1" w:rsidRDefault="003A69E1" w:rsidP="003A69E1">
      <w:pPr>
        <w:pStyle w:val="Bibliography"/>
      </w:pPr>
      <w:r w:rsidRPr="003A69E1">
        <w:t>29.</w:t>
      </w:r>
      <w:r w:rsidRPr="003A69E1">
        <w:tab/>
        <w:t xml:space="preserve">Campbell G. Bayesian statistics in medical devices: innovation sparked by the FDA. J </w:t>
      </w:r>
      <w:proofErr w:type="spellStart"/>
      <w:r w:rsidRPr="003A69E1">
        <w:t>Biopharm</w:t>
      </w:r>
      <w:proofErr w:type="spellEnd"/>
      <w:r w:rsidRPr="003A69E1">
        <w:t xml:space="preserve"> Stat. 2011;21(5):871–87.</w:t>
      </w:r>
    </w:p>
    <w:p w14:paraId="1E81ECDB" w14:textId="77777777" w:rsidR="003A69E1" w:rsidRPr="003A69E1" w:rsidRDefault="003A69E1" w:rsidP="003A69E1">
      <w:pPr>
        <w:pStyle w:val="Bibliography"/>
      </w:pPr>
      <w:r w:rsidRPr="003A69E1">
        <w:t>30.</w:t>
      </w:r>
      <w:r w:rsidRPr="003A69E1">
        <w:tab/>
        <w:t>Ibrahim JG, Chen MH. Power prior distributions for regression models. Stat Sci. 2000;46–60.</w:t>
      </w:r>
    </w:p>
    <w:p w14:paraId="79683FFB" w14:textId="77777777" w:rsidR="003A69E1" w:rsidRPr="003A69E1" w:rsidRDefault="003A69E1" w:rsidP="003A69E1">
      <w:pPr>
        <w:pStyle w:val="Bibliography"/>
      </w:pPr>
      <w:r w:rsidRPr="003A69E1">
        <w:t>31.</w:t>
      </w:r>
      <w:r w:rsidRPr="003A69E1">
        <w:tab/>
        <w:t>US Food and Drug Administration. Guidance for the use of Bayesian statistics in medical device clinical trials. Md US Food Drug Adm. 2010.</w:t>
      </w:r>
    </w:p>
    <w:p w14:paraId="2F6B89C1" w14:textId="77777777" w:rsidR="003A69E1" w:rsidRPr="003A69E1" w:rsidRDefault="003A69E1" w:rsidP="003A69E1">
      <w:pPr>
        <w:pStyle w:val="Bibliography"/>
      </w:pPr>
      <w:r w:rsidRPr="003A69E1">
        <w:t>32.</w:t>
      </w:r>
      <w:r w:rsidRPr="003A69E1">
        <w:tab/>
      </w:r>
      <w:proofErr w:type="spellStart"/>
      <w:r w:rsidRPr="003A69E1">
        <w:t>Chiaruttini</w:t>
      </w:r>
      <w:proofErr w:type="spellEnd"/>
      <w:r w:rsidRPr="003A69E1">
        <w:t xml:space="preserve"> MV, Lorenzoni G, Gregori D. Bayesian dynamic borrowing in group-sequential design for medical device studies. BMC Med Res </w:t>
      </w:r>
      <w:proofErr w:type="spellStart"/>
      <w:r w:rsidRPr="003A69E1">
        <w:t>Methodol</w:t>
      </w:r>
      <w:proofErr w:type="spellEnd"/>
      <w:r w:rsidRPr="003A69E1">
        <w:t>. 2025;25(1):78.</w:t>
      </w:r>
    </w:p>
    <w:p w14:paraId="4B907778" w14:textId="77777777" w:rsidR="003A69E1" w:rsidRPr="003A69E1" w:rsidRDefault="003A69E1" w:rsidP="003A69E1">
      <w:pPr>
        <w:pStyle w:val="Bibliography"/>
      </w:pPr>
      <w:r w:rsidRPr="003A69E1">
        <w:t>33.</w:t>
      </w:r>
      <w:r w:rsidRPr="003A69E1">
        <w:tab/>
        <w:t>Gamble C, Krishan A, Stocken D, Lewis S, Juszczak E, Doré C, et al. Guidelines for the content of statistical analysis plans in clinical trials. Jama. 2017;318(23):2337–43.</w:t>
      </w:r>
    </w:p>
    <w:p w14:paraId="004425F1" w14:textId="77777777" w:rsidR="003A69E1" w:rsidRPr="003A69E1" w:rsidRDefault="003A69E1" w:rsidP="003A69E1">
      <w:pPr>
        <w:pStyle w:val="Bibliography"/>
      </w:pPr>
      <w:r w:rsidRPr="003A69E1">
        <w:t>34.</w:t>
      </w:r>
      <w:r w:rsidRPr="003A69E1">
        <w:tab/>
        <w:t>Fradera M, Serra-</w:t>
      </w:r>
      <w:proofErr w:type="spellStart"/>
      <w:r w:rsidRPr="003A69E1">
        <w:t>Aracil</w:t>
      </w:r>
      <w:proofErr w:type="spellEnd"/>
      <w:r w:rsidRPr="003A69E1">
        <w:t xml:space="preserve"> X. Statistical Analysis Plan (SAP): What is it and how to develop it? Cir Esp Engl Ed. 2025;103(1):45–8. </w:t>
      </w:r>
      <w:proofErr w:type="gramStart"/>
      <w:r w:rsidRPr="003A69E1">
        <w:t>doi:10.1016/j.cireng</w:t>
      </w:r>
      <w:proofErr w:type="gramEnd"/>
      <w:r w:rsidRPr="003A69E1">
        <w:t>.2024.07.007</w:t>
      </w:r>
    </w:p>
    <w:p w14:paraId="51703EE1" w14:textId="77777777" w:rsidR="003A69E1" w:rsidRPr="003A69E1" w:rsidRDefault="003A69E1" w:rsidP="003A69E1">
      <w:pPr>
        <w:pStyle w:val="Bibliography"/>
      </w:pPr>
      <w:r w:rsidRPr="003A69E1">
        <w:t>35.</w:t>
      </w:r>
      <w:r w:rsidRPr="003A69E1">
        <w:tab/>
        <w:t xml:space="preserve">Kahan BC, Forbes G, Cro S. How to design a pre-specified statistical analysis approach to limit p-hacking in clinical trials: the </w:t>
      </w:r>
      <w:proofErr w:type="gramStart"/>
      <w:r w:rsidRPr="003A69E1">
        <w:t>Pre-SPEC</w:t>
      </w:r>
      <w:proofErr w:type="gramEnd"/>
      <w:r w:rsidRPr="003A69E1">
        <w:t xml:space="preserve"> framework. BMC Med. 2020;18(1):253.</w:t>
      </w:r>
    </w:p>
    <w:p w14:paraId="5A291DA6" w14:textId="77777777" w:rsidR="003A69E1" w:rsidRPr="003A69E1" w:rsidRDefault="003A69E1" w:rsidP="003A69E1">
      <w:pPr>
        <w:pStyle w:val="Bibliography"/>
      </w:pPr>
      <w:r w:rsidRPr="003A69E1">
        <w:lastRenderedPageBreak/>
        <w:t>36.</w:t>
      </w:r>
      <w:r w:rsidRPr="003A69E1">
        <w:tab/>
      </w:r>
      <w:proofErr w:type="spellStart"/>
      <w:r w:rsidRPr="003A69E1">
        <w:t>Rammos</w:t>
      </w:r>
      <w:proofErr w:type="spellEnd"/>
      <w:r w:rsidRPr="003A69E1">
        <w:t xml:space="preserve"> C, Zeller T, Piorkowski M, </w:t>
      </w:r>
      <w:proofErr w:type="spellStart"/>
      <w:r w:rsidRPr="003A69E1">
        <w:t>Deloose</w:t>
      </w:r>
      <w:proofErr w:type="spellEnd"/>
      <w:r w:rsidRPr="003A69E1">
        <w:t xml:space="preserve"> K, </w:t>
      </w:r>
      <w:proofErr w:type="spellStart"/>
      <w:r w:rsidRPr="003A69E1">
        <w:t>Hertting</w:t>
      </w:r>
      <w:proofErr w:type="spellEnd"/>
      <w:r w:rsidRPr="003A69E1">
        <w:t xml:space="preserve"> K, </w:t>
      </w:r>
      <w:proofErr w:type="spellStart"/>
      <w:r w:rsidRPr="003A69E1">
        <w:t>Sesselmann</w:t>
      </w:r>
      <w:proofErr w:type="spellEnd"/>
      <w:r w:rsidRPr="003A69E1">
        <w:t xml:space="preserve"> V, et al. The </w:t>
      </w:r>
      <w:proofErr w:type="spellStart"/>
      <w:r w:rsidRPr="003A69E1">
        <w:t>BioMimics</w:t>
      </w:r>
      <w:proofErr w:type="spellEnd"/>
      <w:r w:rsidRPr="003A69E1">
        <w:t xml:space="preserve"> 3D Helical Centreline Nitinol Stent in Chronic Limb Threatening Ischaemia and Complex Lesions: Three Year Outcomes of the MIMICS-3D Registry. </w:t>
      </w:r>
      <w:proofErr w:type="spellStart"/>
      <w:r w:rsidRPr="003A69E1">
        <w:t>Eur</w:t>
      </w:r>
      <w:proofErr w:type="spellEnd"/>
      <w:r w:rsidRPr="003A69E1">
        <w:t xml:space="preserve"> J </w:t>
      </w:r>
      <w:proofErr w:type="spellStart"/>
      <w:r w:rsidRPr="003A69E1">
        <w:t>Vasc</w:t>
      </w:r>
      <w:proofErr w:type="spellEnd"/>
      <w:r w:rsidRPr="003A69E1">
        <w:t xml:space="preserve"> </w:t>
      </w:r>
      <w:proofErr w:type="spellStart"/>
      <w:r w:rsidRPr="003A69E1">
        <w:t>Endovasc</w:t>
      </w:r>
      <w:proofErr w:type="spellEnd"/>
      <w:r w:rsidRPr="003A69E1">
        <w:t xml:space="preserve"> Surg. 2024;67(6):923–32. </w:t>
      </w:r>
      <w:proofErr w:type="spellStart"/>
      <w:proofErr w:type="gramStart"/>
      <w:r w:rsidRPr="003A69E1">
        <w:t>doi:https</w:t>
      </w:r>
      <w:proofErr w:type="spellEnd"/>
      <w:r w:rsidRPr="003A69E1">
        <w:t>://doi.org/10.1016/j.ejvs.2024.02.043</w:t>
      </w:r>
      <w:proofErr w:type="gramEnd"/>
    </w:p>
    <w:p w14:paraId="76633E58" w14:textId="77777777" w:rsidR="003A69E1" w:rsidRPr="003A69E1" w:rsidRDefault="003A69E1" w:rsidP="003A69E1">
      <w:pPr>
        <w:pStyle w:val="Bibliography"/>
      </w:pPr>
      <w:r w:rsidRPr="003A69E1">
        <w:t>37.</w:t>
      </w:r>
      <w:r w:rsidRPr="003A69E1">
        <w:tab/>
        <w:t xml:space="preserve">Laird JR, Katzen BT, Scheinert D, Lammer J, Carpenter J, Buchbinder M, et al. Nitinol Stent Implantation Versus Balloon Angioplasty for Lesions in the Superficial Femoral Artery and Proximal Popliteal Artery. </w:t>
      </w:r>
      <w:proofErr w:type="spellStart"/>
      <w:r w:rsidRPr="003A69E1">
        <w:t>Circ</w:t>
      </w:r>
      <w:proofErr w:type="spellEnd"/>
      <w:r w:rsidRPr="003A69E1">
        <w:t xml:space="preserve"> Cardiovasc </w:t>
      </w:r>
      <w:proofErr w:type="spellStart"/>
      <w:r w:rsidRPr="003A69E1">
        <w:t>Interv</w:t>
      </w:r>
      <w:proofErr w:type="spellEnd"/>
      <w:r w:rsidRPr="003A69E1">
        <w:t>. 2010 Jun 1;3(3):267–76. doi:10.1161/CIRCINTERVENTIONS.109.903468</w:t>
      </w:r>
    </w:p>
    <w:p w14:paraId="585BBC64" w14:textId="77777777" w:rsidR="003A69E1" w:rsidRPr="003A69E1" w:rsidRDefault="003A69E1" w:rsidP="003A69E1">
      <w:pPr>
        <w:pStyle w:val="Bibliography"/>
      </w:pPr>
      <w:r w:rsidRPr="003A69E1">
        <w:t>38.</w:t>
      </w:r>
      <w:r w:rsidRPr="003A69E1">
        <w:tab/>
        <w:t xml:space="preserve">Zeller T, Gaines PA, Ansel GM, Caro CG. Helical </w:t>
      </w:r>
      <w:proofErr w:type="spellStart"/>
      <w:r w:rsidRPr="003A69E1">
        <w:t>Centerline</w:t>
      </w:r>
      <w:proofErr w:type="spellEnd"/>
      <w:r w:rsidRPr="003A69E1">
        <w:t xml:space="preserve"> Stent Improves Patency. </w:t>
      </w:r>
      <w:proofErr w:type="spellStart"/>
      <w:r w:rsidRPr="003A69E1">
        <w:t>Circ</w:t>
      </w:r>
      <w:proofErr w:type="spellEnd"/>
      <w:r w:rsidRPr="003A69E1">
        <w:t xml:space="preserve"> Cardiovasc </w:t>
      </w:r>
      <w:proofErr w:type="spellStart"/>
      <w:r w:rsidRPr="003A69E1">
        <w:t>Interv</w:t>
      </w:r>
      <w:proofErr w:type="spellEnd"/>
      <w:r w:rsidRPr="003A69E1">
        <w:t>. 2016;9(6</w:t>
      </w:r>
      <w:proofErr w:type="gramStart"/>
      <w:r w:rsidRPr="003A69E1">
        <w:t>):e</w:t>
      </w:r>
      <w:proofErr w:type="gramEnd"/>
      <w:r w:rsidRPr="003A69E1">
        <w:t>002930. doi:10.1161/CIRCINTERVENTIONS.115.002930</w:t>
      </w:r>
    </w:p>
    <w:p w14:paraId="52571D12" w14:textId="77777777" w:rsidR="003A69E1" w:rsidRPr="003A69E1" w:rsidRDefault="003A69E1" w:rsidP="003A69E1">
      <w:pPr>
        <w:pStyle w:val="Bibliography"/>
      </w:pPr>
      <w:r w:rsidRPr="003A69E1">
        <w:t>39.</w:t>
      </w:r>
      <w:r w:rsidRPr="003A69E1">
        <w:tab/>
        <w:t xml:space="preserve">Tepe G, others. Local delivery of paclitaxel to inhibit restenosis during angioplasty of the leg. N Engl J Med. </w:t>
      </w:r>
      <w:proofErr w:type="gramStart"/>
      <w:r w:rsidRPr="003A69E1">
        <w:t>2008;358:689</w:t>
      </w:r>
      <w:proofErr w:type="gramEnd"/>
      <w:r w:rsidRPr="003A69E1">
        <w:t>–99.</w:t>
      </w:r>
    </w:p>
    <w:p w14:paraId="73032616" w14:textId="77777777" w:rsidR="003A69E1" w:rsidRPr="003A69E1" w:rsidRDefault="003A69E1" w:rsidP="003A69E1">
      <w:pPr>
        <w:pStyle w:val="Bibliography"/>
      </w:pPr>
      <w:r w:rsidRPr="003A69E1">
        <w:t>40.</w:t>
      </w:r>
      <w:r w:rsidRPr="003A69E1">
        <w:tab/>
        <w:t>Everson</w:t>
      </w:r>
      <w:r w:rsidRPr="003A69E1">
        <w:rPr>
          <w:rFonts w:ascii="Cambria Math" w:hAnsi="Cambria Math" w:cs="Cambria Math"/>
        </w:rPr>
        <w:t>‐</w:t>
      </w:r>
      <w:r w:rsidRPr="003A69E1">
        <w:t>Stewart S, Emerson SS. Bio</w:t>
      </w:r>
      <w:r w:rsidRPr="003A69E1">
        <w:rPr>
          <w:rFonts w:ascii="Cambria Math" w:hAnsi="Cambria Math" w:cs="Cambria Math"/>
        </w:rPr>
        <w:t>‐</w:t>
      </w:r>
      <w:r w:rsidRPr="003A69E1">
        <w:t>creep in non</w:t>
      </w:r>
      <w:r w:rsidRPr="003A69E1">
        <w:rPr>
          <w:rFonts w:ascii="Cambria Math" w:hAnsi="Cambria Math" w:cs="Cambria Math"/>
        </w:rPr>
        <w:t>‐</w:t>
      </w:r>
      <w:r w:rsidRPr="003A69E1">
        <w:t>inferiority clinical trials. Stat Med. 2010;29(27):2769–80.</w:t>
      </w:r>
    </w:p>
    <w:p w14:paraId="5DA008A8" w14:textId="51BE30BA" w:rsidR="0094791B" w:rsidRPr="006A4FB4" w:rsidRDefault="006C0F99" w:rsidP="004A3582">
      <w:pPr>
        <w:spacing w:line="276" w:lineRule="auto"/>
      </w:pPr>
      <w:r>
        <w:fldChar w:fldCharType="end"/>
      </w:r>
    </w:p>
    <w:sectPr w:rsidR="0094791B" w:rsidRPr="006A4FB4">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54765A"/>
    <w:multiLevelType w:val="multilevel"/>
    <w:tmpl w:val="7CFAE716"/>
    <w:lvl w:ilvl="0">
      <w:start w:val="4"/>
      <w:numFmt w:val="decimal"/>
      <w:lvlText w:val="%1"/>
      <w:lvlJc w:val="left"/>
      <w:pPr>
        <w:ind w:left="420" w:hanging="42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0CB125C9"/>
    <w:multiLevelType w:val="multilevel"/>
    <w:tmpl w:val="ABE86878"/>
    <w:lvl w:ilvl="0">
      <w:start w:val="4"/>
      <w:numFmt w:val="decimal"/>
      <w:lvlText w:val="%1"/>
      <w:lvlJc w:val="left"/>
      <w:pPr>
        <w:ind w:left="420" w:hanging="420"/>
      </w:pPr>
      <w:rPr>
        <w:rFonts w:hint="default"/>
      </w:rPr>
    </w:lvl>
    <w:lvl w:ilvl="1">
      <w:start w:val="2"/>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7920" w:hanging="2160"/>
      </w:pPr>
      <w:rPr>
        <w:rFonts w:hint="default"/>
      </w:rPr>
    </w:lvl>
  </w:abstractNum>
  <w:abstractNum w:abstractNumId="2" w15:restartNumberingAfterBreak="0">
    <w:nsid w:val="0F043FF1"/>
    <w:multiLevelType w:val="multilevel"/>
    <w:tmpl w:val="621C4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DE6249"/>
    <w:multiLevelType w:val="multilevel"/>
    <w:tmpl w:val="3D70739E"/>
    <w:lvl w:ilvl="0">
      <w:start w:val="4"/>
      <w:numFmt w:val="decimal"/>
      <w:lvlText w:val="%1"/>
      <w:lvlJc w:val="left"/>
      <w:pPr>
        <w:ind w:left="420" w:hanging="42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040" w:hanging="2160"/>
      </w:pPr>
      <w:rPr>
        <w:rFonts w:hint="default"/>
      </w:rPr>
    </w:lvl>
  </w:abstractNum>
  <w:abstractNum w:abstractNumId="4" w15:restartNumberingAfterBreak="0">
    <w:nsid w:val="1E304859"/>
    <w:multiLevelType w:val="hybridMultilevel"/>
    <w:tmpl w:val="5504CFC8"/>
    <w:lvl w:ilvl="0" w:tplc="1809000F">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5" w15:restartNumberingAfterBreak="0">
    <w:nsid w:val="2BEC40C9"/>
    <w:multiLevelType w:val="hybridMultilevel"/>
    <w:tmpl w:val="2D186D9C"/>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6" w15:restartNumberingAfterBreak="0">
    <w:nsid w:val="358E388B"/>
    <w:multiLevelType w:val="multilevel"/>
    <w:tmpl w:val="EF983CE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A505AE6"/>
    <w:multiLevelType w:val="multilevel"/>
    <w:tmpl w:val="279E4A4A"/>
    <w:lvl w:ilvl="0">
      <w:start w:val="1"/>
      <w:numFmt w:val="decimal"/>
      <w:lvlText w:val="%1."/>
      <w:lvlJc w:val="left"/>
      <w:pPr>
        <w:tabs>
          <w:tab w:val="num" w:pos="720"/>
        </w:tabs>
        <w:ind w:left="720" w:hanging="360"/>
      </w:pPr>
    </w:lvl>
    <w:lvl w:ilvl="1">
      <w:start w:val="5"/>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4455DD2"/>
    <w:multiLevelType w:val="hybridMultilevel"/>
    <w:tmpl w:val="2390BC1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9" w15:restartNumberingAfterBreak="0">
    <w:nsid w:val="45884459"/>
    <w:multiLevelType w:val="multilevel"/>
    <w:tmpl w:val="42DA1348"/>
    <w:lvl w:ilvl="0">
      <w:start w:val="1"/>
      <w:numFmt w:val="decimal"/>
      <w:lvlText w:val="%1."/>
      <w:lvlJc w:val="left"/>
      <w:pPr>
        <w:ind w:left="720" w:hanging="360"/>
      </w:pPr>
      <w:rPr>
        <w:rFonts w:hint="default"/>
      </w:rPr>
    </w:lvl>
    <w:lvl w:ilvl="1">
      <w:start w:val="1"/>
      <w:numFmt w:val="decimal"/>
      <w:isLgl/>
      <w:lvlText w:val="%1.%2"/>
      <w:lvlJc w:val="left"/>
      <w:pPr>
        <w:ind w:left="840" w:hanging="4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0" w15:restartNumberingAfterBreak="0">
    <w:nsid w:val="52000C6A"/>
    <w:multiLevelType w:val="hybridMultilevel"/>
    <w:tmpl w:val="BAD03E2A"/>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1" w15:restartNumberingAfterBreak="0">
    <w:nsid w:val="54DC4B91"/>
    <w:multiLevelType w:val="multilevel"/>
    <w:tmpl w:val="9A04F3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9A31678"/>
    <w:multiLevelType w:val="multilevel"/>
    <w:tmpl w:val="59D6F69E"/>
    <w:lvl w:ilvl="0">
      <w:start w:val="4"/>
      <w:numFmt w:val="decimal"/>
      <w:lvlText w:val="%1"/>
      <w:lvlJc w:val="left"/>
      <w:pPr>
        <w:ind w:left="420" w:hanging="42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3" w15:restartNumberingAfterBreak="0">
    <w:nsid w:val="6E8A7373"/>
    <w:multiLevelType w:val="hybridMultilevel"/>
    <w:tmpl w:val="BB78A0DA"/>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4" w15:restartNumberingAfterBreak="0">
    <w:nsid w:val="71F3386C"/>
    <w:multiLevelType w:val="hybridMultilevel"/>
    <w:tmpl w:val="74A660C2"/>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5" w15:restartNumberingAfterBreak="0">
    <w:nsid w:val="7486791B"/>
    <w:multiLevelType w:val="multilevel"/>
    <w:tmpl w:val="B31A70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5BF63F6"/>
    <w:multiLevelType w:val="multilevel"/>
    <w:tmpl w:val="05CA63D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95069023">
    <w:abstractNumId w:val="8"/>
  </w:num>
  <w:num w:numId="2" w16cid:durableId="57174884">
    <w:abstractNumId w:val="4"/>
  </w:num>
  <w:num w:numId="3" w16cid:durableId="1529946840">
    <w:abstractNumId w:val="11"/>
  </w:num>
  <w:num w:numId="4" w16cid:durableId="143394872">
    <w:abstractNumId w:val="9"/>
  </w:num>
  <w:num w:numId="5" w16cid:durableId="1313559567">
    <w:abstractNumId w:val="2"/>
  </w:num>
  <w:num w:numId="6" w16cid:durableId="109201401">
    <w:abstractNumId w:val="15"/>
  </w:num>
  <w:num w:numId="7" w16cid:durableId="860121394">
    <w:abstractNumId w:val="16"/>
  </w:num>
  <w:num w:numId="8" w16cid:durableId="1752972333">
    <w:abstractNumId w:val="6"/>
  </w:num>
  <w:num w:numId="9" w16cid:durableId="1915042036">
    <w:abstractNumId w:val="5"/>
  </w:num>
  <w:num w:numId="10" w16cid:durableId="1630167933">
    <w:abstractNumId w:val="14"/>
  </w:num>
  <w:num w:numId="11" w16cid:durableId="923807778">
    <w:abstractNumId w:val="3"/>
  </w:num>
  <w:num w:numId="12" w16cid:durableId="1535846020">
    <w:abstractNumId w:val="0"/>
  </w:num>
  <w:num w:numId="13" w16cid:durableId="659650048">
    <w:abstractNumId w:val="1"/>
  </w:num>
  <w:num w:numId="14" w16cid:durableId="1520123864">
    <w:abstractNumId w:val="12"/>
  </w:num>
  <w:num w:numId="15" w16cid:durableId="923299747">
    <w:abstractNumId w:val="7"/>
  </w:num>
  <w:num w:numId="16" w16cid:durableId="630743194">
    <w:abstractNumId w:val="10"/>
  </w:num>
  <w:num w:numId="17" w16cid:durableId="68258803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3048"/>
    <w:rsid w:val="00005DBD"/>
    <w:rsid w:val="00020CAA"/>
    <w:rsid w:val="0002441F"/>
    <w:rsid w:val="0004631D"/>
    <w:rsid w:val="00074869"/>
    <w:rsid w:val="000857E2"/>
    <w:rsid w:val="00085F71"/>
    <w:rsid w:val="0009587E"/>
    <w:rsid w:val="000A095D"/>
    <w:rsid w:val="000A1B22"/>
    <w:rsid w:val="000B6EDE"/>
    <w:rsid w:val="000C4323"/>
    <w:rsid w:val="000D27A1"/>
    <w:rsid w:val="000D4F76"/>
    <w:rsid w:val="000D500E"/>
    <w:rsid w:val="000E0D50"/>
    <w:rsid w:val="000F03B2"/>
    <w:rsid w:val="000F0B7E"/>
    <w:rsid w:val="000F3658"/>
    <w:rsid w:val="0011037D"/>
    <w:rsid w:val="001235BB"/>
    <w:rsid w:val="001333DF"/>
    <w:rsid w:val="00133EAB"/>
    <w:rsid w:val="00136DCD"/>
    <w:rsid w:val="001416B0"/>
    <w:rsid w:val="00147DED"/>
    <w:rsid w:val="00150DAD"/>
    <w:rsid w:val="001563CE"/>
    <w:rsid w:val="00157576"/>
    <w:rsid w:val="00161628"/>
    <w:rsid w:val="001744AD"/>
    <w:rsid w:val="00175D0C"/>
    <w:rsid w:val="00181868"/>
    <w:rsid w:val="001939C2"/>
    <w:rsid w:val="00195ACA"/>
    <w:rsid w:val="001B259B"/>
    <w:rsid w:val="001B3D1E"/>
    <w:rsid w:val="001B736D"/>
    <w:rsid w:val="00206CD7"/>
    <w:rsid w:val="00215CCB"/>
    <w:rsid w:val="00216609"/>
    <w:rsid w:val="00220588"/>
    <w:rsid w:val="0022253A"/>
    <w:rsid w:val="00234DD8"/>
    <w:rsid w:val="002425D2"/>
    <w:rsid w:val="00242A37"/>
    <w:rsid w:val="0024424E"/>
    <w:rsid w:val="00246BF1"/>
    <w:rsid w:val="00251E50"/>
    <w:rsid w:val="002728B1"/>
    <w:rsid w:val="002762C2"/>
    <w:rsid w:val="00277E14"/>
    <w:rsid w:val="00287194"/>
    <w:rsid w:val="002A464F"/>
    <w:rsid w:val="002A7ADA"/>
    <w:rsid w:val="002C3AD2"/>
    <w:rsid w:val="002C59A7"/>
    <w:rsid w:val="002D33F8"/>
    <w:rsid w:val="002D3B5F"/>
    <w:rsid w:val="002F2DB2"/>
    <w:rsid w:val="002F3026"/>
    <w:rsid w:val="00300434"/>
    <w:rsid w:val="00302450"/>
    <w:rsid w:val="00305DE4"/>
    <w:rsid w:val="00313F36"/>
    <w:rsid w:val="00314011"/>
    <w:rsid w:val="0031506B"/>
    <w:rsid w:val="003213E4"/>
    <w:rsid w:val="00330FE5"/>
    <w:rsid w:val="00335B43"/>
    <w:rsid w:val="003402F7"/>
    <w:rsid w:val="00353AA1"/>
    <w:rsid w:val="00364309"/>
    <w:rsid w:val="0036466E"/>
    <w:rsid w:val="003729F5"/>
    <w:rsid w:val="00386A74"/>
    <w:rsid w:val="003A0D8B"/>
    <w:rsid w:val="003A10BE"/>
    <w:rsid w:val="003A69E1"/>
    <w:rsid w:val="003B2316"/>
    <w:rsid w:val="003B2E95"/>
    <w:rsid w:val="003B52C3"/>
    <w:rsid w:val="003C2D8B"/>
    <w:rsid w:val="003D38FD"/>
    <w:rsid w:val="003D3F4F"/>
    <w:rsid w:val="003E4E89"/>
    <w:rsid w:val="003E5B50"/>
    <w:rsid w:val="003F28A2"/>
    <w:rsid w:val="003F600E"/>
    <w:rsid w:val="003F7CFE"/>
    <w:rsid w:val="00402E26"/>
    <w:rsid w:val="004053FF"/>
    <w:rsid w:val="004171FF"/>
    <w:rsid w:val="004202B4"/>
    <w:rsid w:val="0043134B"/>
    <w:rsid w:val="004373F2"/>
    <w:rsid w:val="00444E38"/>
    <w:rsid w:val="00451F73"/>
    <w:rsid w:val="00453D1D"/>
    <w:rsid w:val="0045697A"/>
    <w:rsid w:val="00456F71"/>
    <w:rsid w:val="00461BFA"/>
    <w:rsid w:val="004840F3"/>
    <w:rsid w:val="00485545"/>
    <w:rsid w:val="004907D2"/>
    <w:rsid w:val="004A0E11"/>
    <w:rsid w:val="004A28BA"/>
    <w:rsid w:val="004A3582"/>
    <w:rsid w:val="004B0439"/>
    <w:rsid w:val="004B1419"/>
    <w:rsid w:val="004B3134"/>
    <w:rsid w:val="004B3A26"/>
    <w:rsid w:val="004C3DC1"/>
    <w:rsid w:val="004C750A"/>
    <w:rsid w:val="004D05A4"/>
    <w:rsid w:val="004E450C"/>
    <w:rsid w:val="004E5AD8"/>
    <w:rsid w:val="004F13B5"/>
    <w:rsid w:val="004F2945"/>
    <w:rsid w:val="004F6526"/>
    <w:rsid w:val="00501D9F"/>
    <w:rsid w:val="00507D1E"/>
    <w:rsid w:val="00540A16"/>
    <w:rsid w:val="0055053C"/>
    <w:rsid w:val="00566CA0"/>
    <w:rsid w:val="00572B8A"/>
    <w:rsid w:val="00574D56"/>
    <w:rsid w:val="005809B0"/>
    <w:rsid w:val="00581CEC"/>
    <w:rsid w:val="005822D9"/>
    <w:rsid w:val="0058717E"/>
    <w:rsid w:val="00594117"/>
    <w:rsid w:val="00595A2F"/>
    <w:rsid w:val="005A11F9"/>
    <w:rsid w:val="005A2F79"/>
    <w:rsid w:val="005A67D6"/>
    <w:rsid w:val="005B14C0"/>
    <w:rsid w:val="005C356B"/>
    <w:rsid w:val="005C689E"/>
    <w:rsid w:val="005C69C1"/>
    <w:rsid w:val="005C7B3A"/>
    <w:rsid w:val="005D6FA4"/>
    <w:rsid w:val="005E27C5"/>
    <w:rsid w:val="0060084D"/>
    <w:rsid w:val="0061224D"/>
    <w:rsid w:val="006126D1"/>
    <w:rsid w:val="006132E7"/>
    <w:rsid w:val="00626153"/>
    <w:rsid w:val="00631AD0"/>
    <w:rsid w:val="00635FBC"/>
    <w:rsid w:val="0064267F"/>
    <w:rsid w:val="0064623A"/>
    <w:rsid w:val="00647402"/>
    <w:rsid w:val="0065100E"/>
    <w:rsid w:val="0066206C"/>
    <w:rsid w:val="00671A4F"/>
    <w:rsid w:val="006803C8"/>
    <w:rsid w:val="006845ED"/>
    <w:rsid w:val="00694B39"/>
    <w:rsid w:val="006A4FB4"/>
    <w:rsid w:val="006A6655"/>
    <w:rsid w:val="006B1476"/>
    <w:rsid w:val="006B427E"/>
    <w:rsid w:val="006C0F99"/>
    <w:rsid w:val="006C27BE"/>
    <w:rsid w:val="006D6726"/>
    <w:rsid w:val="006D731F"/>
    <w:rsid w:val="006E6D51"/>
    <w:rsid w:val="006F012D"/>
    <w:rsid w:val="006F14B2"/>
    <w:rsid w:val="006F4A07"/>
    <w:rsid w:val="006F77B1"/>
    <w:rsid w:val="00701187"/>
    <w:rsid w:val="00702643"/>
    <w:rsid w:val="007070E1"/>
    <w:rsid w:val="007272C7"/>
    <w:rsid w:val="007445CB"/>
    <w:rsid w:val="00744C20"/>
    <w:rsid w:val="00762536"/>
    <w:rsid w:val="007905F5"/>
    <w:rsid w:val="00792FC7"/>
    <w:rsid w:val="00797711"/>
    <w:rsid w:val="007A48EE"/>
    <w:rsid w:val="007B6069"/>
    <w:rsid w:val="007C2219"/>
    <w:rsid w:val="007C412C"/>
    <w:rsid w:val="007E08F7"/>
    <w:rsid w:val="007E3003"/>
    <w:rsid w:val="007E3290"/>
    <w:rsid w:val="007E3A03"/>
    <w:rsid w:val="007F2EB3"/>
    <w:rsid w:val="007F6E9D"/>
    <w:rsid w:val="007F77B6"/>
    <w:rsid w:val="00801ED7"/>
    <w:rsid w:val="008120AB"/>
    <w:rsid w:val="008209AD"/>
    <w:rsid w:val="00837021"/>
    <w:rsid w:val="0083734D"/>
    <w:rsid w:val="0084261D"/>
    <w:rsid w:val="00843DE8"/>
    <w:rsid w:val="008461C4"/>
    <w:rsid w:val="00852537"/>
    <w:rsid w:val="008527B1"/>
    <w:rsid w:val="008717FA"/>
    <w:rsid w:val="00872B3F"/>
    <w:rsid w:val="00884FAA"/>
    <w:rsid w:val="00886B40"/>
    <w:rsid w:val="008930B9"/>
    <w:rsid w:val="008A1C48"/>
    <w:rsid w:val="008A2BA9"/>
    <w:rsid w:val="008B1F0B"/>
    <w:rsid w:val="008B4B59"/>
    <w:rsid w:val="008C2829"/>
    <w:rsid w:val="008D40C9"/>
    <w:rsid w:val="008D5607"/>
    <w:rsid w:val="008E4317"/>
    <w:rsid w:val="008E7621"/>
    <w:rsid w:val="00902B8D"/>
    <w:rsid w:val="0091762B"/>
    <w:rsid w:val="00921AB0"/>
    <w:rsid w:val="00922B36"/>
    <w:rsid w:val="00923687"/>
    <w:rsid w:val="00923FF1"/>
    <w:rsid w:val="00943E61"/>
    <w:rsid w:val="009448EA"/>
    <w:rsid w:val="0094551C"/>
    <w:rsid w:val="0094791B"/>
    <w:rsid w:val="009566CD"/>
    <w:rsid w:val="0096259A"/>
    <w:rsid w:val="0096727E"/>
    <w:rsid w:val="00973521"/>
    <w:rsid w:val="00974A8C"/>
    <w:rsid w:val="00980AF3"/>
    <w:rsid w:val="00986752"/>
    <w:rsid w:val="0099439E"/>
    <w:rsid w:val="009A26E3"/>
    <w:rsid w:val="009B5901"/>
    <w:rsid w:val="009D7F68"/>
    <w:rsid w:val="00A140B7"/>
    <w:rsid w:val="00A14AE3"/>
    <w:rsid w:val="00A22279"/>
    <w:rsid w:val="00A36E58"/>
    <w:rsid w:val="00A456E5"/>
    <w:rsid w:val="00A57443"/>
    <w:rsid w:val="00A63919"/>
    <w:rsid w:val="00A66D92"/>
    <w:rsid w:val="00A77C0B"/>
    <w:rsid w:val="00A808AC"/>
    <w:rsid w:val="00A91270"/>
    <w:rsid w:val="00AB25CA"/>
    <w:rsid w:val="00AB4184"/>
    <w:rsid w:val="00AB4E6E"/>
    <w:rsid w:val="00AB758A"/>
    <w:rsid w:val="00AD0385"/>
    <w:rsid w:val="00AF16DD"/>
    <w:rsid w:val="00AF2784"/>
    <w:rsid w:val="00B01231"/>
    <w:rsid w:val="00B10C5E"/>
    <w:rsid w:val="00B166C6"/>
    <w:rsid w:val="00B25CED"/>
    <w:rsid w:val="00B373B7"/>
    <w:rsid w:val="00B4219B"/>
    <w:rsid w:val="00B529D9"/>
    <w:rsid w:val="00B52FC8"/>
    <w:rsid w:val="00B570E0"/>
    <w:rsid w:val="00B66B77"/>
    <w:rsid w:val="00B83F5F"/>
    <w:rsid w:val="00B852CB"/>
    <w:rsid w:val="00BB0826"/>
    <w:rsid w:val="00BB6665"/>
    <w:rsid w:val="00BC7004"/>
    <w:rsid w:val="00BD49DF"/>
    <w:rsid w:val="00BD518F"/>
    <w:rsid w:val="00C0132A"/>
    <w:rsid w:val="00C03048"/>
    <w:rsid w:val="00C03DFB"/>
    <w:rsid w:val="00C110AE"/>
    <w:rsid w:val="00C16A68"/>
    <w:rsid w:val="00C34008"/>
    <w:rsid w:val="00C34AA7"/>
    <w:rsid w:val="00C53D46"/>
    <w:rsid w:val="00C56E74"/>
    <w:rsid w:val="00C745FE"/>
    <w:rsid w:val="00C800B8"/>
    <w:rsid w:val="00C81C22"/>
    <w:rsid w:val="00C86E1B"/>
    <w:rsid w:val="00C92D11"/>
    <w:rsid w:val="00CB0239"/>
    <w:rsid w:val="00CB4C8F"/>
    <w:rsid w:val="00CC3E9A"/>
    <w:rsid w:val="00CC755F"/>
    <w:rsid w:val="00CC79A0"/>
    <w:rsid w:val="00CD60B7"/>
    <w:rsid w:val="00CE18D2"/>
    <w:rsid w:val="00CE2B49"/>
    <w:rsid w:val="00CF02C2"/>
    <w:rsid w:val="00CF7A62"/>
    <w:rsid w:val="00D03B3E"/>
    <w:rsid w:val="00D067F6"/>
    <w:rsid w:val="00D070B2"/>
    <w:rsid w:val="00D155E5"/>
    <w:rsid w:val="00D31154"/>
    <w:rsid w:val="00D37C48"/>
    <w:rsid w:val="00D40556"/>
    <w:rsid w:val="00D47EA4"/>
    <w:rsid w:val="00D61637"/>
    <w:rsid w:val="00D644CF"/>
    <w:rsid w:val="00D65B2B"/>
    <w:rsid w:val="00D72C09"/>
    <w:rsid w:val="00D75AFB"/>
    <w:rsid w:val="00DA139A"/>
    <w:rsid w:val="00DA3CB2"/>
    <w:rsid w:val="00DA6817"/>
    <w:rsid w:val="00DA6E22"/>
    <w:rsid w:val="00DB425B"/>
    <w:rsid w:val="00DC2D50"/>
    <w:rsid w:val="00DD5971"/>
    <w:rsid w:val="00DE6030"/>
    <w:rsid w:val="00DF1933"/>
    <w:rsid w:val="00DF40C8"/>
    <w:rsid w:val="00E07870"/>
    <w:rsid w:val="00E15175"/>
    <w:rsid w:val="00E20641"/>
    <w:rsid w:val="00E258FA"/>
    <w:rsid w:val="00E274D1"/>
    <w:rsid w:val="00E30C5A"/>
    <w:rsid w:val="00E34EA5"/>
    <w:rsid w:val="00E52372"/>
    <w:rsid w:val="00E56284"/>
    <w:rsid w:val="00E6238B"/>
    <w:rsid w:val="00E67598"/>
    <w:rsid w:val="00E73DC7"/>
    <w:rsid w:val="00E740F8"/>
    <w:rsid w:val="00E8163C"/>
    <w:rsid w:val="00E855A8"/>
    <w:rsid w:val="00E911F1"/>
    <w:rsid w:val="00EC0BB9"/>
    <w:rsid w:val="00EC2A57"/>
    <w:rsid w:val="00EC4CBB"/>
    <w:rsid w:val="00ED2AC0"/>
    <w:rsid w:val="00F04ED2"/>
    <w:rsid w:val="00F05AFE"/>
    <w:rsid w:val="00F11037"/>
    <w:rsid w:val="00F25F37"/>
    <w:rsid w:val="00F40F77"/>
    <w:rsid w:val="00F430C5"/>
    <w:rsid w:val="00F43A73"/>
    <w:rsid w:val="00F45411"/>
    <w:rsid w:val="00F465A6"/>
    <w:rsid w:val="00F4661D"/>
    <w:rsid w:val="00F62F2E"/>
    <w:rsid w:val="00F75275"/>
    <w:rsid w:val="00FA228E"/>
    <w:rsid w:val="00FB20D3"/>
    <w:rsid w:val="00FB5C1A"/>
    <w:rsid w:val="00FC0B3C"/>
    <w:rsid w:val="00FC0D25"/>
    <w:rsid w:val="00FC1EA5"/>
    <w:rsid w:val="00FC44E3"/>
    <w:rsid w:val="00FD0AAF"/>
    <w:rsid w:val="00FD18DC"/>
    <w:rsid w:val="00FD22AA"/>
    <w:rsid w:val="00FE2CFF"/>
    <w:rsid w:val="00FE3252"/>
    <w:rsid w:val="00FF0761"/>
    <w:rsid w:val="00FF0F91"/>
    <w:rsid w:val="00FF14C9"/>
    <w:rsid w:val="00FF761C"/>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E9038A"/>
  <w15:chartTrackingRefBased/>
  <w15:docId w15:val="{64764657-D391-44EC-867B-DA2E3B5E26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259A"/>
  </w:style>
  <w:style w:type="paragraph" w:styleId="Heading1">
    <w:name w:val="heading 1"/>
    <w:basedOn w:val="Normal"/>
    <w:next w:val="Normal"/>
    <w:link w:val="Heading1Char"/>
    <w:uiPriority w:val="9"/>
    <w:qFormat/>
    <w:rsid w:val="00C0304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0304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0304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C0304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0304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030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30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30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30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304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0304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0304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C0304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0304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030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30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30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3048"/>
    <w:rPr>
      <w:rFonts w:eastAsiaTheme="majorEastAsia" w:cstheme="majorBidi"/>
      <w:color w:val="272727" w:themeColor="text1" w:themeTint="D8"/>
    </w:rPr>
  </w:style>
  <w:style w:type="paragraph" w:styleId="Title">
    <w:name w:val="Title"/>
    <w:basedOn w:val="Normal"/>
    <w:next w:val="Normal"/>
    <w:link w:val="TitleChar"/>
    <w:uiPriority w:val="10"/>
    <w:qFormat/>
    <w:rsid w:val="00C030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30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30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30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3048"/>
    <w:pPr>
      <w:spacing w:before="160"/>
      <w:jc w:val="center"/>
    </w:pPr>
    <w:rPr>
      <w:i/>
      <w:iCs/>
      <w:color w:val="404040" w:themeColor="text1" w:themeTint="BF"/>
    </w:rPr>
  </w:style>
  <w:style w:type="character" w:customStyle="1" w:styleId="QuoteChar">
    <w:name w:val="Quote Char"/>
    <w:basedOn w:val="DefaultParagraphFont"/>
    <w:link w:val="Quote"/>
    <w:uiPriority w:val="29"/>
    <w:rsid w:val="00C03048"/>
    <w:rPr>
      <w:i/>
      <w:iCs/>
      <w:color w:val="404040" w:themeColor="text1" w:themeTint="BF"/>
    </w:rPr>
  </w:style>
  <w:style w:type="paragraph" w:styleId="ListParagraph">
    <w:name w:val="List Paragraph"/>
    <w:basedOn w:val="Normal"/>
    <w:uiPriority w:val="34"/>
    <w:qFormat/>
    <w:rsid w:val="00C03048"/>
    <w:pPr>
      <w:ind w:left="720"/>
      <w:contextualSpacing/>
    </w:pPr>
  </w:style>
  <w:style w:type="character" w:styleId="IntenseEmphasis">
    <w:name w:val="Intense Emphasis"/>
    <w:basedOn w:val="DefaultParagraphFont"/>
    <w:uiPriority w:val="21"/>
    <w:qFormat/>
    <w:rsid w:val="00C03048"/>
    <w:rPr>
      <w:i/>
      <w:iCs/>
      <w:color w:val="0F4761" w:themeColor="accent1" w:themeShade="BF"/>
    </w:rPr>
  </w:style>
  <w:style w:type="paragraph" w:styleId="IntenseQuote">
    <w:name w:val="Intense Quote"/>
    <w:basedOn w:val="Normal"/>
    <w:next w:val="Normal"/>
    <w:link w:val="IntenseQuoteChar"/>
    <w:uiPriority w:val="30"/>
    <w:qFormat/>
    <w:rsid w:val="00C030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03048"/>
    <w:rPr>
      <w:i/>
      <w:iCs/>
      <w:color w:val="0F4761" w:themeColor="accent1" w:themeShade="BF"/>
    </w:rPr>
  </w:style>
  <w:style w:type="character" w:styleId="IntenseReference">
    <w:name w:val="Intense Reference"/>
    <w:basedOn w:val="DefaultParagraphFont"/>
    <w:uiPriority w:val="32"/>
    <w:qFormat/>
    <w:rsid w:val="00C03048"/>
    <w:rPr>
      <w:b/>
      <w:bCs/>
      <w:smallCaps/>
      <w:color w:val="0F4761" w:themeColor="accent1" w:themeShade="BF"/>
      <w:spacing w:val="5"/>
    </w:rPr>
  </w:style>
  <w:style w:type="character" w:styleId="PlaceholderText">
    <w:name w:val="Placeholder Text"/>
    <w:basedOn w:val="DefaultParagraphFont"/>
    <w:uiPriority w:val="99"/>
    <w:semiHidden/>
    <w:rsid w:val="007445CB"/>
    <w:rPr>
      <w:color w:val="666666"/>
    </w:rPr>
  </w:style>
  <w:style w:type="paragraph" w:styleId="HTMLPreformatted">
    <w:name w:val="HTML Preformatted"/>
    <w:basedOn w:val="Normal"/>
    <w:link w:val="HTMLPreformattedChar"/>
    <w:uiPriority w:val="99"/>
    <w:semiHidden/>
    <w:unhideWhenUsed/>
    <w:rsid w:val="00277E14"/>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277E14"/>
    <w:rPr>
      <w:rFonts w:ascii="Consolas" w:hAnsi="Consolas"/>
      <w:sz w:val="20"/>
      <w:szCs w:val="20"/>
    </w:rPr>
  </w:style>
  <w:style w:type="paragraph" w:styleId="NormalWeb">
    <w:name w:val="Normal (Web)"/>
    <w:basedOn w:val="Normal"/>
    <w:uiPriority w:val="99"/>
    <w:unhideWhenUsed/>
    <w:rsid w:val="005809B0"/>
    <w:pPr>
      <w:spacing w:before="100" w:beforeAutospacing="1" w:after="100" w:afterAutospacing="1" w:line="240" w:lineRule="auto"/>
    </w:pPr>
    <w:rPr>
      <w:rFonts w:ascii="Times New Roman" w:eastAsia="Times New Roman" w:hAnsi="Times New Roman" w:cs="Times New Roman"/>
      <w:kern w:val="0"/>
      <w:sz w:val="24"/>
      <w:szCs w:val="24"/>
      <w:lang w:eastAsia="en-IE"/>
      <w14:ligatures w14:val="none"/>
    </w:rPr>
  </w:style>
  <w:style w:type="character" w:styleId="Emphasis">
    <w:name w:val="Emphasis"/>
    <w:basedOn w:val="DefaultParagraphFont"/>
    <w:uiPriority w:val="20"/>
    <w:qFormat/>
    <w:rsid w:val="005809B0"/>
    <w:rPr>
      <w:i/>
      <w:iCs/>
    </w:rPr>
  </w:style>
  <w:style w:type="paragraph" w:styleId="Bibliography">
    <w:name w:val="Bibliography"/>
    <w:basedOn w:val="Normal"/>
    <w:next w:val="Normal"/>
    <w:uiPriority w:val="37"/>
    <w:unhideWhenUsed/>
    <w:rsid w:val="006C0F99"/>
    <w:pPr>
      <w:tabs>
        <w:tab w:val="left" w:pos="384"/>
      </w:tabs>
      <w:spacing w:after="240" w:line="240" w:lineRule="auto"/>
      <w:ind w:left="384" w:hanging="384"/>
    </w:pPr>
  </w:style>
  <w:style w:type="paragraph" w:customStyle="1" w:styleId="font-claude-response-body">
    <w:name w:val="font-claude-response-body"/>
    <w:basedOn w:val="Normal"/>
    <w:rsid w:val="00BD518F"/>
    <w:pPr>
      <w:spacing w:before="100" w:beforeAutospacing="1" w:after="100" w:afterAutospacing="1" w:line="240" w:lineRule="auto"/>
    </w:pPr>
    <w:rPr>
      <w:rFonts w:ascii="Times New Roman" w:eastAsia="Times New Roman" w:hAnsi="Times New Roman" w:cs="Times New Roman"/>
      <w:kern w:val="0"/>
      <w:sz w:val="24"/>
      <w:szCs w:val="24"/>
      <w:lang w:eastAsia="en-IE"/>
      <w14:ligatures w14:val="none"/>
    </w:rPr>
  </w:style>
  <w:style w:type="paragraph" w:styleId="Caption">
    <w:name w:val="caption"/>
    <w:basedOn w:val="Normal"/>
    <w:next w:val="Normal"/>
    <w:uiPriority w:val="35"/>
    <w:unhideWhenUsed/>
    <w:qFormat/>
    <w:rsid w:val="008527B1"/>
    <w:pPr>
      <w:spacing w:after="200" w:line="240" w:lineRule="auto"/>
    </w:pPr>
    <w:rPr>
      <w:i/>
      <w:iCs/>
      <w:color w:val="0E2841" w:themeColor="text2"/>
      <w:sz w:val="18"/>
      <w:szCs w:val="18"/>
    </w:rPr>
  </w:style>
  <w:style w:type="character" w:styleId="Strong">
    <w:name w:val="Strong"/>
    <w:basedOn w:val="DefaultParagraphFont"/>
    <w:uiPriority w:val="22"/>
    <w:qFormat/>
    <w:rsid w:val="00EC4CBB"/>
    <w:rPr>
      <w:b/>
      <w:bCs/>
    </w:rPr>
  </w:style>
  <w:style w:type="character" w:styleId="Hyperlink">
    <w:name w:val="Hyperlink"/>
    <w:basedOn w:val="DefaultParagraphFont"/>
    <w:uiPriority w:val="99"/>
    <w:unhideWhenUsed/>
    <w:rsid w:val="006A4FB4"/>
    <w:rPr>
      <w:color w:val="467886" w:themeColor="hyperlink"/>
      <w:u w:val="single"/>
    </w:rPr>
  </w:style>
  <w:style w:type="character" w:styleId="UnresolvedMention">
    <w:name w:val="Unresolved Mention"/>
    <w:basedOn w:val="DefaultParagraphFont"/>
    <w:uiPriority w:val="99"/>
    <w:semiHidden/>
    <w:unhideWhenUsed/>
    <w:rsid w:val="006A4FB4"/>
    <w:rPr>
      <w:color w:val="605E5C"/>
      <w:shd w:val="clear" w:color="auto" w:fill="E1DFDD"/>
    </w:rPr>
  </w:style>
  <w:style w:type="paragraph" w:styleId="TOCHeading">
    <w:name w:val="TOC Heading"/>
    <w:basedOn w:val="Heading1"/>
    <w:next w:val="Normal"/>
    <w:uiPriority w:val="39"/>
    <w:unhideWhenUsed/>
    <w:qFormat/>
    <w:rsid w:val="00020CAA"/>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020CAA"/>
    <w:pPr>
      <w:spacing w:after="100"/>
    </w:pPr>
  </w:style>
  <w:style w:type="paragraph" w:styleId="TOC2">
    <w:name w:val="toc 2"/>
    <w:basedOn w:val="Normal"/>
    <w:next w:val="Normal"/>
    <w:autoRedefine/>
    <w:uiPriority w:val="39"/>
    <w:unhideWhenUsed/>
    <w:rsid w:val="00020CAA"/>
    <w:pPr>
      <w:spacing w:after="100"/>
      <w:ind w:left="220"/>
    </w:pPr>
  </w:style>
  <w:style w:type="paragraph" w:styleId="TOC3">
    <w:name w:val="toc 3"/>
    <w:basedOn w:val="Normal"/>
    <w:next w:val="Normal"/>
    <w:autoRedefine/>
    <w:uiPriority w:val="39"/>
    <w:unhideWhenUsed/>
    <w:rsid w:val="00020CAA"/>
    <w:pPr>
      <w:spacing w:after="100"/>
      <w:ind w:left="440"/>
    </w:pPr>
  </w:style>
  <w:style w:type="paragraph" w:styleId="TableofFigures">
    <w:name w:val="table of figures"/>
    <w:basedOn w:val="Normal"/>
    <w:next w:val="Normal"/>
    <w:uiPriority w:val="99"/>
    <w:unhideWhenUsed/>
    <w:rsid w:val="00020CAA"/>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image" Target="media/image13.PNG"/><Relationship Id="rId7"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3.png"/><Relationship Id="rId24" Type="http://schemas.openxmlformats.org/officeDocument/2006/relationships/hyperlink" Target="https://github.com/FilipMKgit/MDX2526" TargetMode="External"/><Relationship Id="rId5" Type="http://schemas.openxmlformats.org/officeDocument/2006/relationships/numbering" Target="numbering.xml"/><Relationship Id="rId15" Type="http://schemas.openxmlformats.org/officeDocument/2006/relationships/image" Target="media/image7.png"/><Relationship Id="rId23" Type="http://schemas.openxmlformats.org/officeDocument/2006/relationships/image" Target="media/image15.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customXml" Target="../customXml/item4.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4EAC52E6EC78543BC2523538C645861" ma:contentTypeVersion="17" ma:contentTypeDescription="Create a new document." ma:contentTypeScope="" ma:versionID="dfb9fe6101392e43b8ebd4bde64eee94">
  <xsd:schema xmlns:xsd="http://www.w3.org/2001/XMLSchema" xmlns:xs="http://www.w3.org/2001/XMLSchema" xmlns:p="http://schemas.microsoft.com/office/2006/metadata/properties" xmlns:ns3="76242816-6bc5-45ff-89ea-647b5d79523e" xmlns:ns4="decf4ffa-c7e1-4328-8e59-3b9dccb46494" targetNamespace="http://schemas.microsoft.com/office/2006/metadata/properties" ma:root="true" ma:fieldsID="aa185e363440b1b88f68ea438f89be76" ns3:_="" ns4:_="">
    <xsd:import namespace="76242816-6bc5-45ff-89ea-647b5d79523e"/>
    <xsd:import namespace="decf4ffa-c7e1-4328-8e59-3b9dccb46494"/>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AutoTags" minOccurs="0"/>
                <xsd:element ref="ns3:MediaLengthInSeconds" minOccurs="0"/>
                <xsd:element ref="ns3:_activity" minOccurs="0"/>
                <xsd:element ref="ns3:MediaServiceObjectDetectorVersions" minOccurs="0"/>
                <xsd:element ref="ns3:MediaServiceSearchProperties" minOccurs="0"/>
                <xsd:element ref="ns3:MediaServiceDateTaken"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6242816-6bc5-45ff-89ea-647b5d79523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_activity" ma:index="17" nillable="true" ma:displayName="_activity" ma:hidden="true" ma:internalName="_activity">
      <xsd:simpleType>
        <xsd:restriction base="dms:Note"/>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ServiceSystemTags" ma:index="21" nillable="true" ma:displayName="MediaServiceSystemTags" ma:hidden="true" ma:internalName="MediaServiceSystemTags" ma:readOnly="true">
      <xsd:simpleType>
        <xsd:restriction base="dms:Note"/>
      </xsd:simpleType>
    </xsd:element>
    <xsd:element name="MediaServiceOCR" ma:index="22" nillable="true" ma:displayName="Extracted Text" ma:internalName="MediaServiceOCR" ma:readOnly="true">
      <xsd:simpleType>
        <xsd:restriction base="dms:Note">
          <xsd:maxLength value="255"/>
        </xsd:restriction>
      </xsd:simpleType>
    </xsd:element>
    <xsd:element name="MediaServiceGenerationTime" ma:index="23" nillable="true" ma:displayName="MediaServiceGenerationTime" ma:hidden="true" ma:internalName="MediaServiceGenerationTime" ma:readOnly="true">
      <xsd:simpleType>
        <xsd:restriction base="dms:Text"/>
      </xsd:simpleType>
    </xsd:element>
    <xsd:element name="MediaServiceEventHashCode" ma:index="24"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ecf4ffa-c7e1-4328-8e59-3b9dccb46494"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76242816-6bc5-45ff-89ea-647b5d79523e"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1969F02-F9FD-45D6-8908-E2B8B4E3BCA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6242816-6bc5-45ff-89ea-647b5d79523e"/>
    <ds:schemaRef ds:uri="decf4ffa-c7e1-4328-8e59-3b9dccb4649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E9D036D-8723-4192-B747-D51B52ABF4D1}">
  <ds:schemaRefs>
    <ds:schemaRef ds:uri="http://schemas.microsoft.com/office/2006/metadata/properties"/>
    <ds:schemaRef ds:uri="http://schemas.microsoft.com/office/infopath/2007/PartnerControls"/>
    <ds:schemaRef ds:uri="76242816-6bc5-45ff-89ea-647b5d79523e"/>
  </ds:schemaRefs>
</ds:datastoreItem>
</file>

<file path=customXml/itemProps3.xml><?xml version="1.0" encoding="utf-8"?>
<ds:datastoreItem xmlns:ds="http://schemas.openxmlformats.org/officeDocument/2006/customXml" ds:itemID="{3862255D-0279-442A-BFC2-F16F558D9F77}">
  <ds:schemaRefs>
    <ds:schemaRef ds:uri="http://schemas.openxmlformats.org/officeDocument/2006/bibliography"/>
  </ds:schemaRefs>
</ds:datastoreItem>
</file>

<file path=customXml/itemProps4.xml><?xml version="1.0" encoding="utf-8"?>
<ds:datastoreItem xmlns:ds="http://schemas.openxmlformats.org/officeDocument/2006/customXml" ds:itemID="{F7AC5465-5A5A-4FD6-826E-40C0335D947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41</Pages>
  <Words>76781</Words>
  <Characters>437655</Characters>
  <Application>Microsoft Office Word</Application>
  <DocSecurity>0</DocSecurity>
  <Lines>3647</Lines>
  <Paragraphs>1026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513410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Klosowski, Filip</dc:creator>
  <cp:keywords/>
  <dc:description/>
  <cp:lastModifiedBy>Klosowski, Filip</cp:lastModifiedBy>
  <cp:revision>2</cp:revision>
  <dcterms:created xsi:type="dcterms:W3CDTF">2026-06-11T23:42:00Z</dcterms:created>
  <dcterms:modified xsi:type="dcterms:W3CDTF">2026-06-11T23:42:00Z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0x010100C4EAC52E6EC78543BC2523538C645861</vt:lpwstr>
  </property>
  <property fmtid="{D5CDD505-2E9C-101B-9397-08002B2CF9AE}" pid="3" name="ZOTERO_PREF_1">
    <vt:lpwstr>&lt;data data-version="3" zotero-version="9.0.5"&gt;&lt;session id="P7iWqoQS"/&gt;&lt;style id="http://www.zotero.org/styles/nlm-citation-sequence" locale="en-US" hasBibliography="1" bibliographyStyleHasBeenSet="1"/&gt;&lt;prefs&gt;&lt;pref name="fieldType" value="Field"/&gt;&lt;pref nam</vt:lpwstr>
  </property>
  <property fmtid="{D5CDD505-2E9C-101B-9397-08002B2CF9AE}" pid="4" name="ZOTERO_PREF_2">
    <vt:lpwstr>e="automaticJournalAbbreviations" value="true"/&gt;&lt;/prefs&gt;&lt;/data&gt;</vt:lpwstr>
  </property>
</Properties>
</file>