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pageBreakBefore w:val="0"/>
      </w:pPr>
      <w:bookmarkStart w:id="101" w:name="_Toc900101"/>
      <w:r>
        <w:rPr>
          <w:rFonts w:ascii="Times New Roman" w:hAnsi="Times New Roman" w:cs="Times New Roman" w:eastAsia="Times New Roman"/>
          <w:b/>
          <w:color w:val="000000"/>
          <w:sz w:val="26"/>
        </w:rPr>
        <w:t>6 NON-FUNCTIONAL REQUIREMENTS</w:t>
      </w:r>
      <w:bookmarkEnd w:id="101"/>
    </w:p>
    <w:p>
      <w:pPr>
        <w:pStyle w:val="BodyText2026"/>
      </w:pPr>
      <w:r>
        <w:rPr>
          <w:rFonts w:ascii="Times New Roman" w:hAnsi="Times New Roman" w:cs="Times New Roman" w:eastAsia="Times New Roman"/>
          <w:color w:val="000000"/>
          <w:sz w:val="24"/>
        </w:rPr>
        <w:t>This section completes the software requirements specification of the AgroHub platform with its non-functional requirements. Chapters 1–5 of the specification describe what the system does; this chapter describes how well it must do it and how each quality is verified.</w:t>
      </w:r>
    </w:p>
    <w:p>
      <w:pPr>
        <w:pStyle w:val="BodyText2026"/>
      </w:pPr>
      <w:r>
        <w:rPr>
          <w:rFonts w:ascii="Times New Roman" w:hAnsi="Times New Roman" w:cs="Times New Roman" w:eastAsia="Times New Roman"/>
          <w:color w:val="000000"/>
          <w:sz w:val="24"/>
        </w:rPr>
        <w:t>The non-functional requirements describe the quality of the system rather than its functions. They were classified according to the product quality model of ISO/IEC 25010:2023, which describes software quality through nine characteristics, each divided into subcharacteristics: functional suitability, performance efficiency, compatibility, interaction capability, reliability, security, maintainability, flexibility and safety [1]. Compared to the 2011 edition, usability was renamed interaction capability, portability was renamed flexibility, and safety was added.</w:t>
      </w:r>
    </w:p>
    <w:p>
      <w:pPr>
        <w:pStyle w:val="BodyText2026"/>
      </w:pPr>
      <w:r>
        <w:rPr>
          <w:rFonts w:ascii="Times New Roman" w:hAnsi="Times New Roman" w:cs="Times New Roman" w:eastAsia="Times New Roman"/>
          <w:color w:val="000000"/>
          <w:sz w:val="24"/>
        </w:rPr>
        <w:t>For every requirement a measurable acceptance criterion was defined, together with the way it is checked: a load test, the automated API tests, monitoring of the public version or a short test with users. Table 6.1 contains the requirements for performance efficiency and reliability.</w:t>
      </w:r>
    </w:p>
    <w:p>
      <w:pPr>
        <w:keepNext/>
        <w:spacing w:before="120"/>
        <w:jc w:val="right"/>
      </w:pPr>
      <w:r>
        <w:rPr>
          <w:rFonts w:ascii="Times New Roman" w:hAnsi="Times New Roman" w:cs="Times New Roman" w:eastAsia="Times New Roman"/>
          <w:b/>
          <w:color w:val="000000"/>
          <w:sz w:val="24"/>
        </w:rPr>
        <w:t>Table 6.1 – Non-functional requirements: performance efficiency and reliability</w:t>
      </w:r>
    </w:p>
    <w:tbl>
      <w:tblPr>
        <w:tblStyle w:val="TableGrid"/>
        <w:tblW w:type="auto" w:w="0"/>
        <w:jc w:val="center"/>
        <w:tblLayout w:type="fixed"/>
        <w:tblLook w:firstColumn="1" w:firstRow="1" w:lastColumn="0" w:lastRow="0" w:noHBand="0" w:noVBand="1" w:val="04A0"/>
      </w:tblPr>
      <w:tblGrid>
        <w:gridCol w:w="1077"/>
        <w:gridCol w:w="2381"/>
        <w:gridCol w:w="2154"/>
        <w:gridCol w:w="4592"/>
      </w:tblGrid>
      <w:tr>
        <w:trPr>
          <w:tblHeader w:val="true"/>
        </w:trPr>
        <w:tc>
          <w:tcPr>
            <w:tcW w:type="dxa" w:w="107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238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Requirement</w:t>
            </w:r>
          </w:p>
        </w:tc>
        <w:tc>
          <w:tcPr>
            <w:tcW w:type="dxa" w:w="215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ISO/IEC 25010 characteristic (subcharacteristic)</w:t>
            </w:r>
          </w:p>
        </w:tc>
        <w:tc>
          <w:tcPr>
            <w:tcW w:type="dxa" w:w="459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Measurable acceptance criterion</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NFR-01</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The catalogue and the order operations respond quickly</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Performance efficiency (time behaviour)</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95% of the requests for the catalogue, placing an order and changing its status are answered in under 2 seconds, measured on 200 requests with 1,000 active listings</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NFR-02</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The system serves many users at the same time</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Performance efficiency (capacity)</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With 50 simultaneous virtual users for 5 minutes, fewer than 1% of the requests fail and 95% are answered in under 3 seconds</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NFR-03</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The public version of the platform is available</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Reliability (availability)</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Monthly availability of at least 99%, measured by an external monitor that calls the health endpoint every 5 minutes</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NFR-04</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The stock never becomes inconsistent</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Reliability (faultlessness)</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In 100% of the runs of the test with two simultaneous acceptances, exactly one succeeds and the stock decreases once; the stock can never be negative</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NFR-05</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An outage of the AI service does not block the publication of listings</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Reliability (fault tolerance, recoverability)</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If the AI service does not answer within 45 seconds, the listing goes to manual moderation and is rechecked automatically every 15 minutes, up to 12 times; no listing is lost</w:t>
            </w:r>
          </w:p>
        </w:tc>
      </w:tr>
    </w:tbl>
    <w:p>
      <w:pPr>
        <w:spacing w:after="0"/>
      </w:pPr>
    </w:p>
    <w:p>
      <w:pPr>
        <w:pStyle w:val="BodyText2026"/>
      </w:pPr>
      <w:r>
        <w:rPr>
          <w:rFonts w:ascii="Times New Roman" w:hAnsi="Times New Roman" w:cs="Times New Roman" w:eastAsia="Times New Roman"/>
          <w:color w:val="000000"/>
          <w:sz w:val="24"/>
        </w:rPr>
        <w:t>The values in Table 6.1 were chosen for the expected scale of the first year: a few hundred producers and buyers, most of them active in the harvest season. Requirement NFR-03 also takes into account that the server runs on a free hosting plan, which is put to sleep when nobody uses it; the external monitor keeps it awake.</w:t>
      </w:r>
    </w:p>
    <w:p>
      <w:pPr>
        <w:pStyle w:val="BodyText2026"/>
      </w:pPr>
      <w:r>
        <w:rPr>
          <w:rFonts w:ascii="Times New Roman" w:hAnsi="Times New Roman" w:cs="Times New Roman" w:eastAsia="Times New Roman"/>
          <w:color w:val="000000"/>
          <w:sz w:val="24"/>
        </w:rPr>
        <w:t>Table 6.2 covers security, interaction capability, flexibility and maintainability. The security requirements follow the most common risks of web applications described by OWASP [2] and the national legislation on personal data [3].</w:t>
      </w:r>
    </w:p>
    <w:p>
      <w:pPr>
        <w:keepNext/>
        <w:spacing w:before="120"/>
        <w:jc w:val="right"/>
      </w:pPr>
      <w:r>
        <w:rPr>
          <w:rFonts w:ascii="Times New Roman" w:hAnsi="Times New Roman" w:cs="Times New Roman" w:eastAsia="Times New Roman"/>
          <w:b/>
          <w:color w:val="000000"/>
          <w:sz w:val="24"/>
        </w:rPr>
        <w:t>Table 6.2 – Non-functional requirements: security, interaction capability, flexibility and maintainability</w:t>
      </w:r>
    </w:p>
    <w:tbl>
      <w:tblPr>
        <w:tblStyle w:val="TableGrid"/>
        <w:tblW w:type="auto" w:w="0"/>
        <w:jc w:val="center"/>
        <w:tblLayout w:type="fixed"/>
        <w:tblLook w:firstColumn="1" w:firstRow="1" w:lastColumn="0" w:lastRow="0" w:noHBand="0" w:noVBand="1" w:val="04A0"/>
      </w:tblPr>
      <w:tblGrid>
        <w:gridCol w:w="1077"/>
        <w:gridCol w:w="2381"/>
        <w:gridCol w:w="2154"/>
        <w:gridCol w:w="4592"/>
      </w:tblGrid>
      <w:tr>
        <w:trPr>
          <w:tblHeader w:val="true"/>
        </w:trPr>
        <w:tc>
          <w:tcPr>
            <w:tcW w:type="dxa" w:w="107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238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Requirement</w:t>
            </w:r>
          </w:p>
        </w:tc>
        <w:tc>
          <w:tcPr>
            <w:tcW w:type="dxa" w:w="215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ISO/IEC 25010 characteristic (subcharacteristic)</w:t>
            </w:r>
          </w:p>
        </w:tc>
        <w:tc>
          <w:tcPr>
            <w:tcW w:type="dxa" w:w="459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Measurable acceptance criterion</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NFR-06</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Passwords and codes cannot be read or guessed</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Security (authenticity, confidentiality)</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The database contains 0 passwords or codes in clear text (bcrypt and SHA-256 only); codes expire after 15 minutes, the 6th wrong attempt is refused; all traffic uses HTTPS</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NFR-07</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The system resists repeated attempts and abuse</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Security (resistance)</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The 21st sign-in attempt and the 6th e-mail request from the same address within 15 minutes receive HTTP 429</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NFR-08</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Each user reaches only the data and actions of their role</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Security (confidentiality, integrity)</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100% of the protected requests return 401 without a token and 403 for a wrong role or a blocked account; only name, e-mail, phone and region are stored as personal data</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NFR-09</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Frequent operations are fast to perform</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Interaction capability (operability, learnability)</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In a test with 3 new users, each publishes a first listing in at most 3 minutes and places an order in at most 5 actions from the catalogue, without help</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NFR-10</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The platform works on the devices of the target users</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Flexibility (adaptability)</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The key user flows F1–F3 (Chapter 2) run without errors in the last two versions of Chrome, Firefox, Safari and Edge and on screens from 360 pixels wide, without horizontal scrolling</w:t>
            </w:r>
          </w:p>
        </w:tc>
      </w:tr>
      <w:tr>
        <w:trPr>
          <w:cantSplit w:val="true"/>
        </w:trPr>
        <w:tc>
          <w:tcPr>
            <w:tcW w:type="dxa" w:w="1077"/>
          </w:tcPr>
          <w:p>
            <w:pPr>
              <w:spacing w:line="240" w:lineRule="auto" w:before="0" w:after="0"/>
              <w:ind w:firstLine="0"/>
              <w:jc w:val="left"/>
            </w:pPr>
            <w:r>
              <w:rPr>
                <w:rFonts w:ascii="Times New Roman" w:hAnsi="Times New Roman" w:cs="Times New Roman" w:eastAsia="Times New Roman"/>
                <w:b w:val="0"/>
                <w:color w:val="000000"/>
                <w:sz w:val="22"/>
              </w:rPr>
              <w:t>NFR-11</w:t>
            </w:r>
          </w:p>
        </w:tc>
        <w:tc>
          <w:tcPr>
            <w:tcW w:type="dxa" w:w="2381"/>
          </w:tcPr>
          <w:p>
            <w:pPr>
              <w:spacing w:line="240" w:lineRule="auto" w:before="0" w:after="0"/>
              <w:ind w:firstLine="0"/>
              <w:jc w:val="left"/>
            </w:pPr>
            <w:r>
              <w:rPr>
                <w:rFonts w:ascii="Times New Roman" w:hAnsi="Times New Roman" w:cs="Times New Roman" w:eastAsia="Times New Roman"/>
                <w:b w:val="0"/>
                <w:color w:val="000000"/>
                <w:sz w:val="22"/>
              </w:rPr>
              <w:t>Changes can be verified quickly</w:t>
            </w:r>
          </w:p>
        </w:tc>
        <w:tc>
          <w:tcPr>
            <w:tcW w:type="dxa" w:w="2154"/>
          </w:tcPr>
          <w:p>
            <w:pPr>
              <w:spacing w:line="240" w:lineRule="auto" w:before="0" w:after="0"/>
              <w:ind w:firstLine="0"/>
              <w:jc w:val="left"/>
            </w:pPr>
            <w:r>
              <w:rPr>
                <w:rFonts w:ascii="Times New Roman" w:hAnsi="Times New Roman" w:cs="Times New Roman" w:eastAsia="Times New Roman"/>
                <w:b w:val="0"/>
                <w:color w:val="000000"/>
                <w:sz w:val="22"/>
              </w:rPr>
              <w:t>Maintainability (testability)</w:t>
            </w:r>
          </w:p>
        </w:tc>
        <w:tc>
          <w:tcPr>
            <w:tcW w:type="dxa" w:w="4592"/>
          </w:tcPr>
          <w:p>
            <w:pPr>
              <w:spacing w:line="240" w:lineRule="auto" w:before="0" w:after="0"/>
              <w:ind w:firstLine="0"/>
              <w:jc w:val="left"/>
            </w:pPr>
            <w:r>
              <w:rPr>
                <w:rFonts w:ascii="Times New Roman" w:hAnsi="Times New Roman" w:cs="Times New Roman" w:eastAsia="Times New Roman"/>
                <w:b w:val="0"/>
                <w:color w:val="000000"/>
                <w:sz w:val="22"/>
              </w:rPr>
              <w:t>Every mandatory functional requirement is covered by at least one automated test; the 19 API tests run on every push and finish in under 5 minutes</w:t>
            </w:r>
          </w:p>
        </w:tc>
      </w:tr>
    </w:tbl>
    <w:p>
      <w:pPr>
        <w:spacing w:after="0"/>
      </w:pPr>
    </w:p>
    <w:p>
      <w:pPr>
        <w:pStyle w:val="BodyText2026"/>
      </w:pPr>
      <w:r>
        <w:rPr>
          <w:rFonts w:ascii="Times New Roman" w:hAnsi="Times New Roman" w:cs="Times New Roman" w:eastAsia="Times New Roman"/>
          <w:color w:val="000000"/>
          <w:sz w:val="24"/>
        </w:rPr>
        <w:t>Six of the nine characteristics of ISO/IEC 25010 are therefore covered by at least one requirement. Functional suitability is covered by the functional requirements and the user stories, while compatibility and safety are not critical for a web platform that does not exchange data with other business systems and cannot cause physical harm.</w:t>
      </w:r>
    </w:p>
    <w:p>
      <w:pPr>
        <w:pStyle w:val="Heading1"/>
        <w:pageBreakBefore w:val="0"/>
        <w:spacing w:before="360"/>
      </w:pPr>
      <w:bookmarkStart w:id="102" w:name="_Toc900102"/>
      <w:r>
        <w:rPr>
          <w:rFonts w:ascii="Times New Roman" w:hAnsi="Times New Roman" w:cs="Times New Roman" w:eastAsia="Times New Roman"/>
          <w:b/>
          <w:color w:val="000000"/>
          <w:sz w:val="26"/>
        </w:rPr>
        <w:t>REFERENCES</w:t>
      </w:r>
      <w:bookmarkEnd w:id="102"/>
    </w:p>
    <w:p>
      <w:pPr>
        <w:tabs>
          <w:tab w:pos="567" w:val="left"/>
        </w:tabs>
        <w:spacing w:after="60"/>
        <w:ind w:left="567" w:hanging="567"/>
        <w:jc w:val="left"/>
      </w:pPr>
      <w:r>
        <w:rPr>
          <w:rFonts w:ascii="Times New Roman" w:hAnsi="Times New Roman" w:cs="Times New Roman" w:eastAsia="Times New Roman"/>
          <w:color w:val="000000"/>
          <w:sz w:val="24"/>
        </w:rPr>
        <w:t>[1]</w:t>
        <w:tab/>
        <w:t>ISO/IEC 25010:2023, Systems and software engineering – Systems and software Quality Requirements and Evaluation (SQuaRE) – Product quality model. Geneva, Switzerland: ISO, 2023.</w:t>
      </w:r>
    </w:p>
    <w:p>
      <w:pPr>
        <w:tabs>
          <w:tab w:pos="567" w:val="left"/>
        </w:tabs>
        <w:spacing w:after="60"/>
        <w:ind w:left="567" w:hanging="567"/>
        <w:jc w:val="left"/>
      </w:pPr>
      <w:r>
        <w:rPr>
          <w:rFonts w:ascii="Times New Roman" w:hAnsi="Times New Roman" w:cs="Times New Roman" w:eastAsia="Times New Roman"/>
          <w:color w:val="000000"/>
          <w:sz w:val="24"/>
        </w:rPr>
        <w:t>[2]</w:t>
        <w:tab/>
        <w:t>OWASP Foundation, "OWASP Top 10:2021 – The ten most critical web application security risks." [Online]. Available: https://owasp.org/Top10/ (accessed Oct. 12, 2026).</w:t>
      </w:r>
    </w:p>
    <w:p>
      <w:pPr>
        <w:tabs>
          <w:tab w:pos="567" w:val="left"/>
        </w:tabs>
        <w:spacing w:after="60"/>
        <w:ind w:left="567" w:hanging="567"/>
        <w:jc w:val="left"/>
      </w:pPr>
      <w:r>
        <w:rPr>
          <w:rFonts w:ascii="Times New Roman" w:hAnsi="Times New Roman" w:cs="Times New Roman" w:eastAsia="Times New Roman"/>
          <w:color w:val="000000"/>
          <w:sz w:val="24"/>
        </w:rPr>
        <w:t>[3]</w:t>
        <w:tab/>
        <w:t>Law No. 195 of 25.07.2024 on personal data protection. Official Monitor of the Republic of Moldova, 23.08.2024 (in force since 23.08.2026).</w:t>
      </w:r>
    </w:p>
    <w:sectPr w:rsidR="00E328A4" w:rsidRPr="009237CD">
      <w:footerReference w:type="even" r:id="rId18"/>
      <w:footerReference w:type="default" r:id="rId19"/>
      <w:footerReference w:type="first" r:id="rId20"/>
      <w:pgSz w:w="11906" w:h="16838"/>
      <w:pgMar w:top="1134" w:right="567" w:bottom="1134" w:left="1134"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8D694" w14:textId="77777777" w:rsidR="00E63D28" w:rsidRDefault="00E63D28">
      <w:pPr>
        <w:spacing w:line="240" w:lineRule="auto"/>
      </w:pPr>
      <w:r>
        <w:separator/>
      </w:r>
    </w:p>
  </w:endnote>
  <w:endnote w:type="continuationSeparator" w:id="0">
    <w:p w14:paraId="3BDCF2F7" w14:textId="77777777" w:rsidR="00E63D28" w:rsidRDefault="00E63D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29E32" w14:textId="77777777" w:rsidR="00E328A4" w:rsidRDefault="00E32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26061" w14:textId="77777777" w:rsidR="00E328A4" w:rsidRDefault="00E328A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1E179" w14:textId="77777777" w:rsidR="00E328A4" w:rsidRDefault="00E328A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1D520" w14:textId="77777777" w:rsidR="00E328A4" w:rsidRDefault="00E328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5CFEA" w14:textId="77777777" w:rsidR="00E328A4" w:rsidRDefault="00E328A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70A17" w14:textId="77777777" w:rsidR="00E328A4" w:rsidRDefault="00E328A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5BC95" w14:textId="77777777" w:rsidR="00E328A4" w:rsidRDefault="00E328A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8E342" w14:textId="77777777" w:rsidR="00E328A4" w:rsidRDefault="00E328A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09099" w14:textId="77777777" w:rsidR="00E328A4" w:rsidRDefault="00E328A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F53A2" w14:textId="77777777" w:rsidR="00E328A4" w:rsidRDefault="00E328A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A1DB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5AE0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6CBF1" w14:textId="77777777" w:rsidR="00E63D28" w:rsidRDefault="00E63D28">
      <w:pPr>
        <w:spacing w:line="240" w:lineRule="auto"/>
      </w:pPr>
      <w:r>
        <w:separator/>
      </w:r>
    </w:p>
  </w:footnote>
  <w:footnote w:type="continuationSeparator" w:id="0">
    <w:p w14:paraId="5B0B7C26" w14:textId="77777777" w:rsidR="00E63D28" w:rsidRDefault="00E63D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A74CB"/>
    <w:multiLevelType w:val="multilevel"/>
    <w:tmpl w:val="BDBC509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C3394"/>
    <w:multiLevelType w:val="multilevel"/>
    <w:tmpl w:val="65D64B92"/>
    <w:lvl w:ilvl="0">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179E4D90"/>
    <w:multiLevelType w:val="multilevel"/>
    <w:tmpl w:val="C25001B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90DC8"/>
    <w:multiLevelType w:val="multilevel"/>
    <w:tmpl w:val="C21673A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E111ED"/>
    <w:multiLevelType w:val="multilevel"/>
    <w:tmpl w:val="D72C60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37839FE"/>
    <w:multiLevelType w:val="multilevel"/>
    <w:tmpl w:val="EE90992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B900BA"/>
    <w:multiLevelType w:val="multilevel"/>
    <w:tmpl w:val="073AA3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66354A2"/>
    <w:multiLevelType w:val="multilevel"/>
    <w:tmpl w:val="4A9E1FA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AE51C0"/>
    <w:multiLevelType w:val="multilevel"/>
    <w:tmpl w:val="57F6FB3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93589293">
    <w:abstractNumId w:val="8"/>
  </w:num>
  <w:num w:numId="2" w16cid:durableId="826243582">
    <w:abstractNumId w:val="7"/>
  </w:num>
  <w:num w:numId="3" w16cid:durableId="1348557013">
    <w:abstractNumId w:val="2"/>
  </w:num>
  <w:num w:numId="4" w16cid:durableId="2026441459">
    <w:abstractNumId w:val="3"/>
  </w:num>
  <w:num w:numId="5" w16cid:durableId="258485427">
    <w:abstractNumId w:val="5"/>
  </w:num>
  <w:num w:numId="6" w16cid:durableId="967705047">
    <w:abstractNumId w:val="0"/>
  </w:num>
  <w:num w:numId="7" w16cid:durableId="1085878336">
    <w:abstractNumId w:val="6"/>
  </w:num>
  <w:num w:numId="8" w16cid:durableId="1861624034">
    <w:abstractNumId w:val="4"/>
  </w:num>
  <w:num w:numId="9" w16cid:durableId="503210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A4"/>
    <w:rsid w:val="00203039"/>
    <w:rsid w:val="0029561E"/>
    <w:rsid w:val="00401F5A"/>
    <w:rsid w:val="00496741"/>
    <w:rsid w:val="009237CD"/>
    <w:rsid w:val="00B6290E"/>
    <w:rsid w:val="00C4269B"/>
    <w:rsid w:val="00CA07B4"/>
    <w:rsid w:val="00CB19F3"/>
    <w:rsid w:val="00CC73BA"/>
    <w:rsid w:val="00D93634"/>
    <w:rsid w:val="00E225F5"/>
    <w:rsid w:val="00E328A4"/>
    <w:rsid w:val="00E50EDE"/>
    <w:rsid w:val="00E63D28"/>
    <w:rsid w:val="00F24D7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8E03"/>
  <w15:docId w15:val="{DF6C69F5-F54B-4630-B2FF-317A64AC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aps/>
      <w:color w:val="000000"/>
      <w:sz w:val="26"/>
      <w:szCs w:val="28"/>
    </w:rPr>
  </w:style>
  <w:style w:type="paragraph" w:styleId="Heading2">
    <w:name w:val="heading 2"/>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Roboto"/>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Roboto"/>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BodyText2026">
    <w:name w:val="Body Text 2026"/>
    <w:basedOn w:val="Normal"/>
    <w:qFormat/>
    <w:pPr>
      <w:ind w:firstLine="709"/>
      <w:jc w:val="both"/>
    </w:pPr>
  </w:style>
  <w:style w:type="paragraph" w:customStyle="1" w:styleId="SectionTitle2026">
    <w:name w:val="Section Title 2026"/>
    <w:qFormat/>
    <w:pPr>
      <w:pageBreakBefore/>
      <w:spacing w:after="240"/>
      <w:jc w:val="center"/>
    </w:pPr>
    <w:rPr>
      <w:rFonts w:ascii="Times New Roman" w:hAnsi="Times New Roman"/>
      <w:b/>
      <w:sz w:val="26"/>
    </w:rPr>
  </w:style>
  <w:style w:type="paragraph" w:customStyle="1" w:styleId="SourceCode2026">
    <w:name w:val="Source Code 2026"/>
    <w:qFormat/>
    <w:rPr>
      <w:rFonts w:ascii="Courier New" w:hAnsi="Courier New"/>
      <w:sz w:val="20"/>
    </w:rPr>
  </w:style>
  <w:style w:type="paragraph" w:customStyle="1" w:styleId="FigureCaption2026">
    <w:name w:val="Figure Caption 2026"/>
    <w:qFormat/>
    <w:pPr>
      <w:spacing w:before="120" w:after="120"/>
      <w:jc w:val="center"/>
    </w:pPr>
    <w:rPr>
      <w:rFonts w:ascii="Times New Roman" w:hAnsi="Times New Roman"/>
      <w:b/>
      <w:sz w:val="24"/>
    </w:rPr>
  </w:style>
  <w:style w:type="paragraph" w:customStyle="1" w:styleId="TableCaption2026">
    <w:name w:val="Table Caption 2026"/>
    <w:qFormat/>
    <w:pPr>
      <w:spacing w:before="120" w:after="60"/>
      <w:jc w:val="right"/>
    </w:pPr>
    <w:rPr>
      <w:rFonts w:ascii="Times New Roman" w:hAnsi="Times New Roman"/>
      <w:sz w:val="24"/>
    </w:rPr>
  </w:style>
  <w:style w:type="paragraph" w:customStyle="1" w:styleId="TableText2026">
    <w:name w:val="Table Text 2026"/>
    <w:qFormat/>
    <w:rPr>
      <w:rFonts w:ascii="Times New Roman" w:hAnsi="Times New Roman"/>
    </w:rPr>
  </w:style>
  <w:style w:type="paragraph" w:customStyle="1" w:styleId="ReferenceItem2026">
    <w:name w:val="Reference Item 2026"/>
    <w:qFormat/>
    <w:pPr>
      <w:spacing w:after="120" w:line="360" w:lineRule="auto"/>
      <w:ind w:left="425"/>
      <w:jc w:val="both"/>
    </w:pPr>
    <w:rPr>
      <w:rFonts w:ascii="Times New Roman" w:hAnsi="Times New Roman"/>
      <w:sz w:val="24"/>
    </w:rPr>
  </w:style>
  <w:style w:type="paragraph" w:customStyle="1" w:styleId="DashList2026">
    <w:name w:val="Dash List 2026"/>
    <w:qFormat/>
    <w:pPr>
      <w:spacing w:line="360" w:lineRule="auto"/>
      <w:ind w:left="283" w:hanging="283"/>
      <w:jc w:val="both"/>
    </w:pPr>
    <w:rPr>
      <w:rFonts w:ascii="Times New Roman" w:hAnsi="Times New Roman"/>
      <w:sz w:val="24"/>
    </w:rPr>
  </w:style>
  <w:style w:type="paragraph" w:styleId="TOC1">
    <w:name w:val="toc 1"/>
    <w:basedOn w:val="Index"/>
    <w:uiPriority w:val="39"/>
    <w:pPr>
      <w:tabs>
        <w:tab w:val="right" w:leader="dot" w:pos="10205"/>
      </w:tabs>
    </w:pPr>
  </w:style>
  <w:style w:type="paragraph" w:styleId="TOC2">
    <w:name w:val="toc 2"/>
    <w:basedOn w:val="Index"/>
    <w:uiPriority w:val="39"/>
    <w:pPr>
      <w:tabs>
        <w:tab w:val="right" w:leader="dot" w:pos="9922"/>
      </w:tabs>
      <w:ind w:left="283"/>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37CD"/>
    <w:pPr>
      <w:suppressAutoHyphens w:val="0"/>
      <w:spacing w:before="100" w:beforeAutospacing="1" w:after="100" w:afterAutospacing="1" w:line="240" w:lineRule="auto"/>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1728</Words>
  <Characters>9852</Characters>
  <Application>Microsoft Office Word</Application>
  <DocSecurity>0</DocSecurity>
  <Lines>82</Lines>
  <Paragraphs>23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Gogoi Elena</cp:lastModifiedBy>
  <cp:revision>3</cp:revision>
  <dcterms:created xsi:type="dcterms:W3CDTF">2026-09-16T05:51:00Z</dcterms:created>
  <dcterms:modified xsi:type="dcterms:W3CDTF">2026-09-16T05:53:00Z</dcterms:modified>
  <dc:language>en-US</dc:language>
</cp:coreProperties>
</file>