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117"/>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Software Engineering Study Programme</w:t>
            </w:r>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37FFA3B7" w14:textId="77777777" w:rsidR="00E328A4" w:rsidRPr="009237CD" w:rsidRDefault="00000000">
      <w:pPr>
        <w:spacing w:line="240" w:lineRule="auto"/>
        <w:jc w:val="center"/>
        <w:rPr>
          <w:rFonts w:cs="Times New Roman"/>
          <w:color w:val="EE0000"/>
        </w:rPr>
      </w:pPr>
      <w:r w:rsidRPr="009237CD">
        <w:rPr>
          <w:rFonts w:cs="Times New Roman"/>
          <w:b/>
          <w:color w:val="000000"/>
          <w:sz w:val="36"/>
        </w:rPr>
        <w:t>SOFTWARE REQUIREMENTS SPECIFICATION</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C9211E"/>
        </w:rPr>
      </w:pPr>
      <w:r w:rsidRPr="009237CD">
        <w:rPr>
          <w:rFonts w:cs="Times New Roman"/>
          <w:color w:val="000000"/>
          <w:sz w:val="26"/>
        </w:rPr>
        <w:t>B2B Web Platform for Wholesale Order Management and Optimisation of Agricultural Product Distribution Flows</w:t>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i w:val="0"/>
                <w:color w:val="000000"/>
              </w:rPr>
              <w:t>Obrijan Filip, FAF-232</w:t>
            </w:r>
          </w:p>
        </w:tc>
        <w:tc>
          <w:tcPr>
            <w:tcW w:w="3402" w:type="dxa"/>
            <w:vAlign w:val="center"/>
          </w:tcPr>
          <w:p w14:paraId="69991A88" w14:textId="77777777" w:rsidR="00E328A4" w:rsidRPr="009237CD" w:rsidRDefault="00000000">
            <w:pPr>
              <w:spacing w:line="240" w:lineRule="auto"/>
              <w:rPr>
                <w:rFonts w:cs="Times New Roman"/>
              </w:rPr>
            </w:pPr>
            <w:r w:rsidRPr="009237CD">
              <w:rPr>
                <w:rFonts w:cs="Times New Roman"/>
                <w:i w:val="0"/>
                <w:color w:val="000000"/>
              </w:rPr>
            </w:r>
          </w:p>
        </w:tc>
      </w:tr>
      <w:tr w:rsidR="00B6290E" w:rsidRPr="009237CD" w14:paraId="371C1C2A" w14:textId="77777777">
        <w:trPr>
          <w:jc w:val="center"/>
        </w:trPr>
        <w:tc>
          <w:tcPr>
            <w:tcW w:w="3402" w:type="dxa"/>
            <w:tcBorders>
              <w:top w:val="nil"/>
            </w:tcBorders>
            <w:vAlign w:val="center"/>
          </w:tcPr>
          <w:p w14:paraId="7631D90D" w14:textId="65A0C2B8" w:rsidR="00B6290E" w:rsidRPr="009237CD" w:rsidRDefault="00B6290E" w:rsidP="00B6290E">
            <w:pPr>
              <w:spacing w:line="240" w:lineRule="auto"/>
              <w:rPr>
                <w:rFonts w:cs="Times New Roman"/>
                <w:b/>
              </w:rPr>
            </w:pPr>
            <w:r w:rsidRPr="009237CD">
              <w:rPr>
                <w:rFonts w:cs="Times New Roman"/>
                <w:b/>
                <w:i w:val="0"/>
                <w:color w:val="000000"/>
              </w:rPr>
              <w:t>University Mentor</w:t>
            </w:r>
          </w:p>
        </w:tc>
        <w:tc>
          <w:tcPr>
            <w:tcW w:w="3402" w:type="dxa"/>
            <w:tcBorders>
              <w:top w:val="nil"/>
            </w:tcBorders>
            <w:vAlign w:val="center"/>
          </w:tcPr>
          <w:p w14:paraId="7160BACF" w14:textId="0A39BA64" w:rsidR="00B6290E" w:rsidRPr="009237CD" w:rsidRDefault="00B6290E" w:rsidP="00B6290E">
            <w:pPr>
              <w:spacing w:line="240" w:lineRule="auto"/>
              <w:rPr>
                <w:rFonts w:cs="Times New Roman"/>
              </w:rPr>
            </w:pPr>
            <w:r w:rsidRPr="009237CD">
              <w:rPr>
                <w:rFonts w:cs="Times New Roman"/>
                <w:i w:val="0"/>
                <w:color w:val="000000"/>
              </w:rPr>
              <w:t>Ciutac Ștefănița</w:t>
            </w:r>
          </w:p>
        </w:tc>
        <w:tc>
          <w:tcPr>
            <w:tcW w:w="3402" w:type="dxa"/>
            <w:tcBorders>
              <w:top w:val="nil"/>
            </w:tcBorders>
            <w:vAlign w:val="center"/>
          </w:tcPr>
          <w:p w14:paraId="26EB9767" w14:textId="7F4448B3" w:rsidR="00B6290E" w:rsidRPr="009237CD" w:rsidRDefault="00B6290E" w:rsidP="00B6290E">
            <w:pPr>
              <w:spacing w:line="240" w:lineRule="auto"/>
              <w:rPr>
                <w:rFonts w:cs="Times New Roman"/>
              </w:rPr>
            </w:pPr>
            <w:r w:rsidRPr="009237CD">
              <w:rPr>
                <w:rFonts w:cs="Times New Roman"/>
                <w:i w:val="0"/>
                <w:color w:val="000000"/>
              </w:rPr>
            </w: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color w:val="000000"/>
          <w:sz w:val="20"/>
        </w:rPr>
        <w:t>*By signing the cover page of this report, the student confirms their active involvement in both the development of the project and the writing of the report.</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6C9401F4" w14:textId="77777777" w:rsidR="00E328A4" w:rsidRPr="009237CD" w:rsidRDefault="00E328A4">
      <w:pPr>
        <w:rPr>
          <w:rFonts w:cs="Times New Roman"/>
        </w:rPr>
      </w:pPr>
    </w:p>
    <w:p w14:paraId="4E178002" w14:textId="77777777" w:rsidR="00496741" w:rsidRPr="009237CD" w:rsidRDefault="00496741">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br w:type="page"/>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pPr>
            <w:pStyle w:val="TOC1"/>
          </w:pPr>
          <w:r>
            <w:rPr>
              <w:rFonts w:ascii="Times New Roman" w:hAnsi="Times New Roman" w:cs="Times New Roman"/>
              <w:noProof/>
            </w:rPr>
            <w:fldChar w:fldCharType="begin"/>
          </w:r>
          <w:r>
            <w:rPr>
              <w:rFonts w:ascii="Times New Roman" w:hAnsi="Times New Roman" w:cs="Times New Roman"/>
              <w:noProof/>
            </w:rPr>
            <w:instrText xml:space="preserve"> TOC \o "1-3" \h \z \u </w:instrText>
          </w:r>
          <w:r>
            <w:rPr>
              <w:rFonts w:ascii="Times New Roman" w:hAnsi="Times New Roman" w:cs="Times New Roman"/>
              <w:noProof/>
            </w:rPr>
            <w:fldChar w:fldCharType="separate"/>
          </w:r>
          <w:hyperlink w:anchor="_Toc900100" w:history="1">
            <w:r>
              <w:rPr>
                <w:rFonts w:ascii="Times New Roman" w:hAnsi="Times New Roman" w:cs="Times New Roman"/>
                <w:noProof/>
              </w:rPr>
              <w:t xml:space="preserve">LIST OF ABBREVIATIONS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_Toc900100 \h </w:instrText>
            </w:r>
            <w:r>
              <w:rPr>
                <w:rFonts w:ascii="Times New Roman" w:hAnsi="Times New Roman" w:cs="Times New Roman"/>
                <w:noProof/>
              </w:rPr>
              <w:fldChar w:fldCharType="separate"/>
            </w:r>
            <w:r>
              <w:rPr>
                <w:rFonts w:ascii="Times New Roman" w:hAnsi="Times New Roman" w:cs="Times New Roman"/>
                <w:noProof/>
              </w:rPr>
              <w:t xml:space="preserve">3</w:t>
            </w:r>
            <w:r>
              <w:rPr>
                <w:rFonts w:ascii="Times New Roman" w:hAnsi="Times New Roman" w:cs="Times New Roman"/>
                <w:noProof/>
              </w:rPr>
              <w:fldChar w:fldCharType="end"/>
            </w:r>
          </w:hyperlink>
        </w:p>
        <w:p>
          <w:pPr>
            <w:pStyle w:val="TOC1"/>
          </w:pPr>
          <w:hyperlink w:anchor="_Toc900101" w:history="1">
            <w:r>
              <w:rPr>
                <w:rFonts w:ascii="Times New Roman" w:hAnsi="Times New Roman" w:cs="Times New Roman"/>
                <w:noProof/>
              </w:rPr>
              <w:t xml:space="preserve">1 INTRODUCTION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_Toc900101 \h </w:instrText>
            </w:r>
            <w:r>
              <w:rPr>
                <w:rFonts w:ascii="Times New Roman" w:hAnsi="Times New Roman" w:cs="Times New Roman"/>
                <w:noProof/>
              </w:rPr>
              <w:fldChar w:fldCharType="separate"/>
            </w:r>
            <w:r>
              <w:rPr>
                <w:rFonts w:ascii="Times New Roman" w:hAnsi="Times New Roman" w:cs="Times New Roman"/>
                <w:noProof/>
              </w:rPr>
              <w:t xml:space="preserve">4</w:t>
            </w:r>
            <w:r>
              <w:rPr>
                <w:rFonts w:ascii="Times New Roman" w:hAnsi="Times New Roman" w:cs="Times New Roman"/>
                <w:noProof/>
              </w:rPr>
              <w:fldChar w:fldCharType="end"/>
            </w:r>
          </w:hyperlink>
        </w:p>
        <w:p>
          <w:pPr>
            <w:pStyle w:val="TOC1"/>
          </w:pPr>
          <w:hyperlink w:anchor="_Toc900102" w:history="1">
            <w:r>
              <w:rPr>
                <w:rFonts w:ascii="Times New Roman" w:hAnsi="Times New Roman" w:cs="Times New Roman"/>
                <w:noProof/>
              </w:rPr>
              <w:t xml:space="preserve">2 INFORMAL REQUIREMENTS AND THEIR CLARIFICATION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_Toc900102 \h </w:instrText>
            </w:r>
            <w:r>
              <w:rPr>
                <w:rFonts w:ascii="Times New Roman" w:hAnsi="Times New Roman" w:cs="Times New Roman"/>
                <w:noProof/>
              </w:rPr>
              <w:fldChar w:fldCharType="separate"/>
            </w:r>
            <w:r>
              <w:rPr>
                <w:rFonts w:ascii="Times New Roman" w:hAnsi="Times New Roman" w:cs="Times New Roman"/>
                <w:noProof/>
              </w:rPr>
              <w:t xml:space="preserve">5</w:t>
            </w:r>
            <w:r>
              <w:rPr>
                <w:rFonts w:ascii="Times New Roman" w:hAnsi="Times New Roman" w:cs="Times New Roman"/>
                <w:noProof/>
              </w:rPr>
              <w:fldChar w:fldCharType="end"/>
            </w:r>
          </w:hyperlink>
        </w:p>
        <w:p>
          <w:pPr>
            <w:pStyle w:val="TOC1"/>
          </w:pPr>
          <w:hyperlink w:anchor="_Toc900103" w:history="1">
            <w:r>
              <w:rPr>
                <w:rFonts w:ascii="Times New Roman" w:hAnsi="Times New Roman" w:cs="Times New Roman"/>
                <w:noProof/>
              </w:rPr>
              <w:t xml:space="preserve">3 GENERAL DESCRIPTION OF THE SYSTEM, ACTORS AND ROLES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_Toc900103 \h </w:instrText>
            </w:r>
            <w:r>
              <w:rPr>
                <w:rFonts w:ascii="Times New Roman" w:hAnsi="Times New Roman" w:cs="Times New Roman"/>
                <w:noProof/>
              </w:rPr>
              <w:fldChar w:fldCharType="separate"/>
            </w:r>
            <w:r>
              <w:rPr>
                <w:rFonts w:ascii="Times New Roman" w:hAnsi="Times New Roman" w:cs="Times New Roman"/>
                <w:noProof/>
              </w:rPr>
              <w:t xml:space="preserve">8</w:t>
            </w:r>
            <w:r>
              <w:rPr>
                <w:rFonts w:ascii="Times New Roman" w:hAnsi="Times New Roman" w:cs="Times New Roman"/>
                <w:noProof/>
              </w:rPr>
              <w:fldChar w:fldCharType="end"/>
            </w:r>
          </w:hyperlink>
        </w:p>
        <w:p>
          <w:pPr>
            <w:pStyle w:val="TOC1"/>
          </w:pPr>
          <w:hyperlink w:anchor="_Toc900104" w:history="1">
            <w:r>
              <w:rPr>
                <w:rFonts w:ascii="Times New Roman" w:hAnsi="Times New Roman" w:cs="Times New Roman"/>
                <w:noProof/>
              </w:rPr>
              <w:t xml:space="preserve">4 FUNCTIONAL REQUIREMENTS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_Toc900104 \h </w:instrText>
            </w:r>
            <w:r>
              <w:rPr>
                <w:rFonts w:ascii="Times New Roman" w:hAnsi="Times New Roman" w:cs="Times New Roman"/>
                <w:noProof/>
              </w:rPr>
              <w:fldChar w:fldCharType="separate"/>
            </w:r>
            <w:r>
              <w:rPr>
                <w:rFonts w:ascii="Times New Roman" w:hAnsi="Times New Roman" w:cs="Times New Roman"/>
                <w:noProof/>
              </w:rPr>
              <w:t xml:space="preserve">10</w:t>
            </w:r>
            <w:r>
              <w:rPr>
                <w:rFonts w:ascii="Times New Roman" w:hAnsi="Times New Roman" w:cs="Times New Roman"/>
                <w:noProof/>
              </w:rPr>
              <w:fldChar w:fldCharType="end"/>
            </w:r>
          </w:hyperlink>
        </w:p>
        <w:p>
          <w:pPr>
            <w:pStyle w:val="TOC1"/>
          </w:pPr>
          <w:hyperlink w:anchor="_Toc900105" w:history="1">
            <w:r>
              <w:rPr>
                <w:rFonts w:ascii="Times New Roman" w:hAnsi="Times New Roman" w:cs="Times New Roman"/>
                <w:noProof/>
              </w:rPr>
              <w:t xml:space="preserve">5 USE CASES AND USER STORIES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_Toc900105 \h </w:instrText>
            </w:r>
            <w:r>
              <w:rPr>
                <w:rFonts w:ascii="Times New Roman" w:hAnsi="Times New Roman" w:cs="Times New Roman"/>
                <w:noProof/>
              </w:rPr>
              <w:fldChar w:fldCharType="separate"/>
            </w:r>
            <w:r>
              <w:rPr>
                <w:rFonts w:ascii="Times New Roman" w:hAnsi="Times New Roman" w:cs="Times New Roman"/>
                <w:noProof/>
              </w:rPr>
              <w:t xml:space="preserve">12</w:t>
            </w:r>
            <w:r>
              <w:rPr>
                <w:rFonts w:ascii="Times New Roman" w:hAnsi="Times New Roman" w:cs="Times New Roman"/>
                <w:noProof/>
              </w:rPr>
              <w:fldChar w:fldCharType="end"/>
            </w:r>
          </w:hyperlink>
        </w:p>
        <w:p>
          <w:pPr>
            <w:pStyle w:val="TOC1"/>
          </w:pPr>
          <w:hyperlink w:anchor="_Toc900106" w:history="1">
            <w:r>
              <w:rPr>
                <w:rFonts w:ascii="Times New Roman" w:hAnsi="Times New Roman" w:cs="Times New Roman"/>
                <w:noProof/>
              </w:rPr>
              <w:t xml:space="preserve">REFERENCES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_Toc900106 \h </w:instrText>
            </w:r>
            <w:r>
              <w:rPr>
                <w:rFonts w:ascii="Times New Roman" w:hAnsi="Times New Roman" w:cs="Times New Roman"/>
                <w:noProof/>
              </w:rPr>
              <w:fldChar w:fldCharType="separate"/>
            </w:r>
            <w:r>
              <w:rPr>
                <w:rFonts w:ascii="Times New Roman" w:hAnsi="Times New Roman" w:cs="Times New Roman"/>
                <w:noProof/>
              </w:rPr>
              <w:t xml:space="preserve">16</w:t>
            </w:r>
            <w:r>
              <w:rPr>
                <w:rFonts w:ascii="Times New Roman" w:hAnsi="Times New Roman" w:cs="Times New Roman"/>
                <w:noProof/>
              </w:rPr>
              <w:fldChar w:fldCharType="end"/>
            </w:r>
          </w:hyperlink>
        </w:p>
        <w:p w14:paraId="52E35CEF" w14:textId="6514FB30" w:rsidR="00E328A4" w:rsidRPr="009237CD" w:rsidRDefault="00000000">
          <w:pPr>
            <w:pStyle w:val="TOC1"/>
            <w:tabs>
              <w:tab w:val="clear" w:pos="10205"/>
              <w:tab w:val="right" w:leader="dot" w:pos="10204"/>
            </w:tabs>
            <w:rPr>
              <w:rFonts w:cs="Times New Roman"/>
            </w:rPr>
          </w:pPr>
          <w:r w:rsidRPr="009237CD">
            <w:rPr>
              <w:rStyle w:val="IndexLink"/>
              <w:rFonts w:cs="Times New Roman"/>
            </w:rP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br w:type="page"/>
          </w:r>
        </w:p>
      </w:sdtContent>
    </w:sdt>
    <w:p>
      <w:pPr>
        <w:pStyle w:val="Heading1"/>
      </w:pPr>
      <w:bookmarkStart w:id="100" w:name="_Toc900100"/>
      <w:r>
        <w:rPr>
          <w:rFonts w:ascii="Times New Roman" w:hAnsi="Times New Roman" w:cs="Times New Roman" w:eastAsia="Times New Roman"/>
          <w:b/>
          <w:color w:val="000000"/>
          <w:sz w:val="26"/>
        </w:rPr>
        <w:t>LIST OF ABBREVIATIONS</w:t>
      </w:r>
      <w:bookmarkEnd w:id="100"/>
    </w:p>
    <w:tbl>
      <w:tblPr>
        <w:tblW w:type="auto" w:w="0"/>
        <w:tblLook w:firstColumn="1" w:firstRow="1" w:lastColumn="0" w:lastRow="0" w:noHBand="0" w:noVBand="1" w:val="04A0"/>
      </w:tblPr>
      <w:tblGrid>
        <w:gridCol w:w="1701"/>
        <w:gridCol w:w="7938"/>
      </w:tblGrid>
      <w:tr>
        <w:tc>
          <w:tcPr>
            <w:tcW w:type="dxa" w:w="1701"/>
          </w:tcPr>
          <w:p>
            <w:pPr>
              <w:spacing w:line="240" w:lineRule="auto" w:before="0" w:after="80"/>
              <w:ind w:firstLine="0"/>
              <w:jc w:val="left"/>
            </w:pPr>
            <w:r>
              <w:rPr>
                <w:rFonts w:ascii="Times New Roman" w:hAnsi="Times New Roman" w:cs="Times New Roman" w:eastAsia="Times New Roman"/>
                <w:b/>
                <w:color w:val="000000"/>
                <w:sz w:val="24"/>
              </w:rPr>
              <w:t>AI</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Artificial Intelligence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API</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Application Programming Interface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B2B</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Business-to-Business, trade relations between companies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FR</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Functional Requirement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HoReCa</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Hotels, Restaurants and Cafés, the food service sector</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REST</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Representational State Transfer, an architectural style for web APIs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SRS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Software Requirements Specification</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UC</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Use Case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UML</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Unified Modeling Language</w:t>
            </w:r>
          </w:p>
        </w:tc>
      </w:tr>
    </w:tbl>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br w:type="page"/>
      </w:r>
    </w:p>
    <w:p>
      <w:pPr>
        <w:pStyle w:val="Heading1"/>
      </w:pPr>
      <w:bookmarkStart w:id="101" w:name="_Toc900101"/>
      <w:r>
        <w:rPr>
          <w:rFonts w:ascii="Times New Roman" w:hAnsi="Times New Roman" w:cs="Times New Roman" w:eastAsia="Times New Roman"/>
          <w:b/>
          <w:color w:val="000000"/>
          <w:sz w:val="26"/>
        </w:rPr>
        <w:t>1 INTRODUCTION</w:t>
      </w:r>
      <w:bookmarkEnd w:id="101"/>
    </w:p>
    <w:p>
      <w:pPr>
        <w:pStyle w:val="BodyText2026"/>
      </w:pPr>
      <w:r>
        <w:rPr>
          <w:rFonts w:ascii="Times New Roman" w:hAnsi="Times New Roman" w:cs="Times New Roman" w:eastAsia="Times New Roman"/>
          <w:color w:val="000000"/>
          <w:sz w:val="24"/>
        </w:rPr>
        <w:t>This document specifies the software requirements of AgroHub, a B2B web platform for wholesale order management and optimisation of agricultural product distribution flows, developed as a bachelor's project at the Technical University of Moldova. It states what the system must do and how well it must do it, in a form that can later be modelled, implemented and tested. It follows the structure recommended by the ISO/IEC/IEEE 29148 standard for requirements engineering, which treats a software requirements specification (SRS) as the agreed description of the system that both the client and the developer rely on [1].</w:t>
      </w:r>
    </w:p>
    <w:p>
      <w:pPr>
        <w:pStyle w:val="BodyText2026"/>
      </w:pPr>
      <w:r>
        <w:rPr>
          <w:rFonts w:ascii="Times New Roman" w:hAnsi="Times New Roman" w:cs="Times New Roman" w:eastAsia="Times New Roman"/>
          <w:color w:val="000000"/>
          <w:sz w:val="24"/>
        </w:rPr>
        <w:t>The specification was produced in three steps. First, the initial requirements were written down in an informal way, as a future user or the owner of the platform would say them. Then each of them was clarified by questions about its meaning, limits and exceptions, which also brought out the goals, the constraints and the main user flows. Finally, the clarified requirements were written as functional requirements, which describe what the system does, and non-functional requirements, which describe the qualities and limits of the system as a whole [2]. The functional requirements are numbered FR-01 to FR-22, so that they can be traced to use cases, UML models and test cases in the following chapters.</w:t>
      </w:r>
    </w:p>
    <w:p>
      <w:pPr>
        <w:pStyle w:val="BodyText2026"/>
      </w:pPr>
      <w:r>
        <w:rPr>
          <w:rFonts w:ascii="Times New Roman" w:hAnsi="Times New Roman" w:cs="Times New Roman" w:eastAsia="Times New Roman"/>
          <w:color w:val="000000"/>
          <w:sz w:val="24"/>
        </w:rPr>
        <w:t>The document is organised as follows. Chapter 2 presents the informal requirements, their clarification, the goals, the constraints and the key user flows. Chapter 3 gives the general description of the system together with its actors and roles. Chapter 4 lists the functional requirements, and Chapter 5 the use cases and the user stories. The non-functional requirements are specified in Chapter 6, delivered as a separate section that is appended to this document.</w:t>
      </w:r>
    </w:p>
    <w:p>
      <w:pPr>
        <w:pStyle w:val="Heading1"/>
      </w:pPr>
      <w:bookmarkStart w:id="102" w:name="_Toc900102"/>
      <w:r>
        <w:rPr>
          <w:rFonts w:ascii="Times New Roman" w:hAnsi="Times New Roman" w:cs="Times New Roman" w:eastAsia="Times New Roman"/>
          <w:b/>
          <w:color w:val="000000"/>
          <w:sz w:val="26"/>
        </w:rPr>
        <w:t>2 INFORMAL REQUIREMENTS AND THEIR CLARIFICATION</w:t>
      </w:r>
      <w:bookmarkEnd w:id="102"/>
    </w:p>
    <w:p>
      <w:pPr>
        <w:pStyle w:val="BodyText2026"/>
      </w:pPr>
      <w:r>
        <w:rPr>
          <w:rFonts w:ascii="Times New Roman" w:hAnsi="Times New Roman" w:cs="Times New Roman" w:eastAsia="Times New Roman"/>
          <w:color w:val="000000"/>
          <w:sz w:val="24"/>
        </w:rPr>
        <w:t>The informal requirements come from the field analysis carried out for the project: the problems of the current trade process, the needs of the target users and the value proposition of the platform. They were deliberately kept in everyday language, the way a farmer or a buyer would put them in a conversation, for example “nobody should be able to sell the same tomatoes twice” or “it should cost nothing to start”. Eight such statements were collected, and they are listed in the first column of Table 2.1.</w:t>
      </w:r>
    </w:p>
    <w:p>
      <w:pPr>
        <w:pStyle w:val="BodyText2026"/>
      </w:pPr>
      <w:r>
        <w:rPr>
          <w:rFonts w:ascii="Times New Roman" w:hAnsi="Times New Roman" w:cs="Times New Roman" w:eastAsia="Times New Roman"/>
          <w:color w:val="000000"/>
          <w:sz w:val="24"/>
        </w:rPr>
        <w:t>Before clarifying the individual statements, it is useful to fix the goals of the system, since every decision has to serve at least one of them. They follow directly from the three key problems identified in the field analysis (finding a reliable partner, recording stock and agreements, communication around an order) and from the value proposition:</w:t>
      </w:r>
    </w:p>
    <w:p>
      <w:pPr>
        <w:pStyle w:val="ListParagraph"/>
        <w:numPr>
          <w:ilvl w:val="0"/>
          <w:numId w:val="9"/>
        </w:numPr>
        <w:jc w:val="both"/>
      </w:pPr>
      <w:r>
        <w:rPr>
          <w:rFonts w:ascii="Times New Roman" w:hAnsi="Times New Roman" w:cs="Times New Roman" w:eastAsia="Times New Roman"/>
          <w:color w:val="000000"/>
          <w:sz w:val="24"/>
        </w:rPr>
        <w:t>G1 – shorten the time needed by producers and buyers to find each other and agree on a deal;</w:t>
      </w:r>
    </w:p>
    <w:p>
      <w:pPr>
        <w:pStyle w:val="ListParagraph"/>
        <w:numPr>
          <w:ilvl w:val="0"/>
          <w:numId w:val="9"/>
        </w:numPr>
        <w:jc w:val="both"/>
      </w:pPr>
      <w:r>
        <w:rPr>
          <w:rFonts w:ascii="Times New Roman" w:hAnsi="Times New Roman" w:cs="Times New Roman" w:eastAsia="Times New Roman"/>
          <w:color w:val="000000"/>
          <w:sz w:val="24"/>
        </w:rPr>
        <w:t>G2 – keep a single, shared record of stock, orders and agreements;</w:t>
      </w:r>
    </w:p>
    <w:p>
      <w:pPr>
        <w:pStyle w:val="ListParagraph"/>
        <w:numPr>
          <w:ilvl w:val="0"/>
          <w:numId w:val="9"/>
        </w:numPr>
        <w:jc w:val="both"/>
      </w:pPr>
      <w:r>
        <w:rPr>
          <w:rFonts w:ascii="Times New Roman" w:hAnsi="Times New Roman" w:cs="Times New Roman" w:eastAsia="Times New Roman"/>
          <w:color w:val="000000"/>
          <w:sz w:val="24"/>
        </w:rPr>
        <w:t>G3 – build trust between partners who do not know each other;</w:t>
      </w:r>
    </w:p>
    <w:p>
      <w:pPr>
        <w:pStyle w:val="ListParagraph"/>
        <w:numPr>
          <w:ilvl w:val="0"/>
          <w:numId w:val="9"/>
        </w:numPr>
        <w:jc w:val="both"/>
      </w:pPr>
      <w:r>
        <w:rPr>
          <w:rFonts w:ascii="Times New Roman" w:hAnsi="Times New Roman" w:cs="Times New Roman" w:eastAsia="Times New Roman"/>
          <w:color w:val="000000"/>
          <w:sz w:val="24"/>
        </w:rPr>
        <w:t>G4 – keep the platform free and easy to use for small producers.</w:t>
      </w:r>
    </w:p>
    <w:p>
      <w:pPr>
        <w:pStyle w:val="BodyText2026"/>
      </w:pPr>
      <w:r>
        <w:rPr>
          <w:rFonts w:ascii="Times New Roman" w:hAnsi="Times New Roman" w:cs="Times New Roman" w:eastAsia="Times New Roman"/>
          <w:color w:val="000000"/>
          <w:sz w:val="24"/>
        </w:rPr>
        <w:t>Just as important are the constraints, which limit the possible solutions regardless of what the users would like to have:</w:t>
      </w:r>
    </w:p>
    <w:p>
      <w:pPr>
        <w:pStyle w:val="ListParagraph"/>
        <w:numPr>
          <w:ilvl w:val="0"/>
          <w:numId w:val="9"/>
        </w:numPr>
        <w:jc w:val="both"/>
      </w:pPr>
      <w:r>
        <w:rPr>
          <w:rFonts w:ascii="Times New Roman" w:hAnsi="Times New Roman" w:cs="Times New Roman" w:eastAsia="Times New Roman"/>
          <w:color w:val="000000"/>
          <w:sz w:val="24"/>
        </w:rPr>
        <w:t>the budget is zero, so the system must run on free plans of hosting, database and e-mail services;</w:t>
      </w:r>
    </w:p>
    <w:p>
      <w:pPr>
        <w:pStyle w:val="ListParagraph"/>
        <w:numPr>
          <w:ilvl w:val="0"/>
          <w:numId w:val="9"/>
        </w:numPr>
        <w:jc w:val="both"/>
      </w:pPr>
      <w:r>
        <w:rPr>
          <w:rFonts w:ascii="Times New Roman" w:hAnsi="Times New Roman" w:cs="Times New Roman" w:eastAsia="Times New Roman"/>
          <w:color w:val="000000"/>
          <w:sz w:val="24"/>
        </w:rPr>
        <w:t>the system is built by a single developer within the academic year 2026–2027;</w:t>
      </w:r>
    </w:p>
    <w:p>
      <w:pPr>
        <w:pStyle w:val="ListParagraph"/>
        <w:numPr>
          <w:ilvl w:val="0"/>
          <w:numId w:val="9"/>
        </w:numPr>
        <w:jc w:val="both"/>
      </w:pPr>
      <w:r>
        <w:rPr>
          <w:rFonts w:ascii="Times New Roman" w:hAnsi="Times New Roman" w:cs="Times New Roman" w:eastAsia="Times New Roman"/>
          <w:color w:val="000000"/>
          <w:sz w:val="24"/>
        </w:rPr>
        <w:t>the interface is in Romanian, the language of the target users;</w:t>
      </w:r>
    </w:p>
    <w:p>
      <w:pPr>
        <w:pStyle w:val="ListParagraph"/>
        <w:numPr>
          <w:ilvl w:val="0"/>
          <w:numId w:val="9"/>
        </w:numPr>
        <w:jc w:val="both"/>
      </w:pPr>
      <w:r>
        <w:rPr>
          <w:rFonts w:ascii="Times New Roman" w:hAnsi="Times New Roman" w:cs="Times New Roman" w:eastAsia="Times New Roman"/>
          <w:color w:val="000000"/>
          <w:sz w:val="24"/>
        </w:rPr>
        <w:t>the system is a web application, available on phones and computers without installation;</w:t>
      </w:r>
    </w:p>
    <w:p>
      <w:pPr>
        <w:pStyle w:val="ListParagraph"/>
        <w:numPr>
          <w:ilvl w:val="0"/>
          <w:numId w:val="9"/>
        </w:numPr>
        <w:jc w:val="both"/>
      </w:pPr>
      <w:r>
        <w:rPr>
          <w:rFonts w:ascii="Times New Roman" w:hAnsi="Times New Roman" w:cs="Times New Roman" w:eastAsia="Times New Roman"/>
          <w:color w:val="000000"/>
          <w:sz w:val="24"/>
        </w:rPr>
        <w:t>personal data are processed according to Law No. 195/2024 on personal data protection [3];</w:t>
      </w:r>
    </w:p>
    <w:p>
      <w:pPr>
        <w:pStyle w:val="ListParagraph"/>
        <w:numPr>
          <w:ilvl w:val="0"/>
          <w:numId w:val="9"/>
        </w:numPr>
        <w:jc w:val="both"/>
      </w:pPr>
      <w:r>
        <w:rPr>
          <w:rFonts w:ascii="Times New Roman" w:hAnsi="Times New Roman" w:cs="Times New Roman" w:eastAsia="Times New Roman"/>
          <w:color w:val="000000"/>
          <w:sz w:val="24"/>
        </w:rPr>
        <w:t>payments, fiscal documents and transport remain outside the scope, as established in the problem analysis of the project.</w:t>
      </w:r>
    </w:p>
    <w:p>
      <w:pPr>
        <w:pStyle w:val="BodyText2026"/>
        <w:keepNext/>
      </w:pPr>
      <w:r>
        <w:rPr>
          <w:rFonts w:ascii="Times New Roman" w:hAnsi="Times New Roman" w:cs="Times New Roman" w:eastAsia="Times New Roman"/>
          <w:color w:val="000000"/>
          <w:sz w:val="24"/>
        </w:rPr>
        <w:t>With the goals and constraints in place, the informal statements can be clarified. Each of them is useful as an intention, but none of them can be implemented or tested as it is. “Quickly”, “really left” or “know whom” can be understood in several ways. For this reason every statement was clarified by asking what exactly it means, when it applies and what happens in the unusual cases. The questions and the decisions taken are shown in the same table.</w:t>
      </w:r>
    </w:p>
    <w:p>
      <w:pPr>
        <w:keepNext/>
        <w:spacing w:before="120"/>
        <w:jc w:val="right"/>
      </w:pPr>
      <w:r>
        <w:rPr>
          <w:rFonts w:ascii="Times New Roman" w:hAnsi="Times New Roman" w:cs="Times New Roman" w:eastAsia="Times New Roman"/>
          <w:b/>
          <w:color w:val="000000"/>
          <w:sz w:val="24"/>
        </w:rPr>
        <w:t>Table 2.1 – Clarification of the informal requirements</w:t>
      </w:r>
    </w:p>
    <w:tbl>
      <w:tblPr>
        <w:tblStyle w:val="TableGrid"/>
        <w:tblW w:type="auto" w:w="0"/>
        <w:jc w:val="center"/>
        <w:tblLayout w:type="fixed"/>
        <w:tblLook w:firstColumn="1" w:firstRow="1" w:lastColumn="0" w:lastRow="0" w:noHBand="0" w:noVBand="1" w:val="04A0"/>
      </w:tblPr>
      <w:tblGrid>
        <w:gridCol w:w="2494"/>
        <w:gridCol w:w="2381"/>
        <w:gridCol w:w="5329"/>
      </w:tblGrid>
      <w:tr>
        <w:trPr>
          <w:tblHeader w:val="true"/>
        </w:trPr>
        <w:tc>
          <w:tcPr>
            <w:tcW w:type="dxa" w:w="24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Informal requirement (as stated)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Clarifying question</w:t>
            </w:r>
          </w:p>
        </w:tc>
        <w:tc>
          <w:tcPr>
            <w:tcW w:type="dxa" w:w="532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Decision</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“Farmers should put their produce online quickly, from the phone”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must a listing contain, and on which device is it created?</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One form with product, variety, quantity in kilograms, price per kilogram, region and a mandatory photo; the interface works in the phone browser, nothing is installed</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“Buyers must see how much is really left”</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When exactly does the stock change?</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Stock decreases only when the seller accepts an order and returns if an accepted order is cancelled; at zero the listing is paused</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“Nobody should sell the same tomatoes twice”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if two orders are accepted at the same moment?</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Acceptance runs in a database transaction that locks the listing; the second acceptance fails if the stock is no longer enough</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“Agreements should be written somewhere, not only said on the phone”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counts as an agreement?</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An order with quantity, the price fixed at the moment of ordering, the total amount, a status and its own conversation</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“People need to know whom they are dealing with”</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How is a participant verified?</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The e-mail is confirmed with a code, the account is approved automatically or by the administrator, and reviews can be left only after a real order</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“The platform should tell me when something happens with my order”</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Which events and through which channel?</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New, changed, accepted, rejected, delivered and cancelled orders produce an in-app notification and an e-mail; new messages update the unread counter and produce an e-mail</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“Fake and spam listings must not reach the catalogue”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Who decides whether a listing is acceptable?</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Rule-based checks and an AI check run first; doubtful listings wait for the administrator together with the reasons</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“It should cost nothing to start”</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Free for whom, and for how long?</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Users pay no fees; the platform runs on free hosting plans while the number of users is small</w:t>
            </w:r>
          </w:p>
        </w:tc>
      </w:tr>
    </w:tbl>
    <w:p>
      <w:pPr>
        <w:keepNext/>
        <w:spacing w:after="0"/>
      </w:pPr>
    </w:p>
    <w:p>
      <w:pPr>
        <w:pStyle w:val="BodyText2026"/>
      </w:pPr>
      <w:r>
        <w:rPr>
          <w:rFonts w:ascii="Times New Roman" w:hAnsi="Times New Roman" w:cs="Times New Roman" w:eastAsia="Times New Roman"/>
          <w:color w:val="000000"/>
          <w:sz w:val="24"/>
        </w:rPr>
        <w:t>The decisions in Table 2.1 are already concrete enough to be checked. Each of them names a value, an event or a rule that can be observed in the finished system, and together they became the basis of the functional requirements formulated in Chapter 4.</w:t>
      </w:r>
    </w:p>
    <w:p>
      <w:pPr>
        <w:pStyle w:val="BodyText2026"/>
        <w:keepNext/>
      </w:pPr>
      <w:r>
        <w:rPr>
          <w:rFonts w:ascii="Times New Roman" w:hAnsi="Times New Roman" w:cs="Times New Roman" w:eastAsia="Times New Roman"/>
          <w:color w:val="000000"/>
          <w:sz w:val="24"/>
        </w:rPr>
        <w:t>The clarification also showed which sequences of actions matter most for the users. Four key user flows were identified, and the rest of the functionality exists mainly to support them. They are summarised in Table 2.2.</w:t>
      </w:r>
    </w:p>
    <w:p>
      <w:pPr>
        <w:keepNext/>
        <w:spacing w:before="120"/>
        <w:jc w:val="right"/>
      </w:pPr>
      <w:r>
        <w:rPr>
          <w:rFonts w:ascii="Times New Roman" w:hAnsi="Times New Roman" w:cs="Times New Roman" w:eastAsia="Times New Roman"/>
          <w:b/>
          <w:color w:val="000000"/>
          <w:sz w:val="24"/>
        </w:rPr>
        <w:t>Table 2.2 – Key user flows</w:t>
      </w:r>
    </w:p>
    <w:tbl>
      <w:tblPr>
        <w:tblStyle w:val="TableGrid"/>
        <w:tblW w:type="auto" w:w="0"/>
        <w:jc w:val="center"/>
        <w:tblLayout w:type="fixed"/>
        <w:tblLook w:firstColumn="1" w:firstRow="1" w:lastColumn="0" w:lastRow="0" w:noHBand="0" w:noVBand="1" w:val="04A0"/>
      </w:tblPr>
      <w:tblGrid>
        <w:gridCol w:w="1701"/>
        <w:gridCol w:w="1587"/>
        <w:gridCol w:w="5216"/>
        <w:gridCol w:w="1701"/>
      </w:tblGrid>
      <w:tr>
        <w:trPr>
          <w:tblHeader w:val="true"/>
        </w:trPr>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Flow</w:t>
            </w:r>
          </w:p>
        </w:tc>
        <w:tc>
          <w:tcPr>
            <w:tcW w:type="dxa" w:w="158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Actors</w:t>
            </w:r>
          </w:p>
        </w:tc>
        <w:tc>
          <w:tcPr>
            <w:tcW w:type="dxa" w:w="5216"/>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steps</w:t>
            </w:r>
          </w:p>
        </w:tc>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Result</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F1. Publishing an offer</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Seller, AI service, administrator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seller fills in the listing form and adds a photo;</w:t>
            </w:r>
          </w:p>
          <w:p>
            <w:pPr>
              <w:keepNext/>
              <w:spacing w:line="240" w:lineRule="auto" w:before="0" w:after="0"/>
              <w:ind w:firstLine="0"/>
              <w:jc w:val="left"/>
            </w:pPr>
            <w:r>
              <w:rPr>
                <w:rFonts w:ascii="Times New Roman" w:hAnsi="Times New Roman" w:cs="Times New Roman" w:eastAsia="Times New Roman"/>
                <w:b w:val="0"/>
                <w:color w:val="000000"/>
                <w:sz w:val="22"/>
              </w:rPr>
              <w:t>- the system checks the listing with rules and AI;</w:t>
            </w:r>
          </w:p>
          <w:p>
            <w:pPr>
              <w:keepNext/>
              <w:spacing w:line="240" w:lineRule="auto" w:before="0" w:after="0"/>
              <w:ind w:firstLine="0"/>
              <w:jc w:val="left"/>
            </w:pPr>
            <w:r>
              <w:rPr>
                <w:rFonts w:ascii="Times New Roman" w:hAnsi="Times New Roman" w:cs="Times New Roman" w:eastAsia="Times New Roman"/>
                <w:b w:val="0"/>
                <w:color w:val="000000"/>
                <w:sz w:val="22"/>
              </w:rPr>
              <w:t>- the listing is published or waits for the administrator</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The offer is visible in the catalogue</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F2. Ordering</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Distributor, seller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distributor finds a listing and sees its stock and rating;</w:t>
            </w:r>
          </w:p>
          <w:p>
            <w:pPr>
              <w:keepNext/>
              <w:spacing w:line="240" w:lineRule="auto" w:before="0" w:after="0"/>
              <w:ind w:firstLine="0"/>
              <w:jc w:val="left"/>
            </w:pPr>
            <w:r>
              <w:rPr>
                <w:rFonts w:ascii="Times New Roman" w:hAnsi="Times New Roman" w:cs="Times New Roman" w:eastAsia="Times New Roman"/>
                <w:b w:val="0"/>
                <w:color w:val="000000"/>
                <w:sz w:val="22"/>
              </w:rPr>
              <w:t>- the distributor sends an order with the quantity;</w:t>
            </w:r>
          </w:p>
          <w:p>
            <w:pPr>
              <w:keepNext/>
              <w:spacing w:line="240" w:lineRule="auto" w:before="0" w:after="0"/>
              <w:ind w:firstLine="0"/>
              <w:jc w:val="left"/>
            </w:pPr>
            <w:r>
              <w:rPr>
                <w:rFonts w:ascii="Times New Roman" w:hAnsi="Times New Roman" w:cs="Times New Roman" w:eastAsia="Times New Roman"/>
                <w:b w:val="0"/>
                <w:color w:val="000000"/>
                <w:sz w:val="22"/>
              </w:rPr>
              <w:t>- the seller accepts or rejects it and the stock is updated</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confirmed order and an updated stock</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F3. Delivery and feedback</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details are discussed in the order conversation;</w:t>
            </w:r>
          </w:p>
          <w:p>
            <w:pPr>
              <w:keepNext/>
              <w:spacing w:line="240" w:lineRule="auto" w:before="0" w:after="0"/>
              <w:ind w:firstLine="0"/>
              <w:jc w:val="left"/>
            </w:pPr>
            <w:r>
              <w:rPr>
                <w:rFonts w:ascii="Times New Roman" w:hAnsi="Times New Roman" w:cs="Times New Roman" w:eastAsia="Times New Roman"/>
                <w:b w:val="0"/>
                <w:color w:val="000000"/>
                <w:sz w:val="22"/>
              </w:rPr>
              <w:t>- the seller delivers and marks the order as delivered;</w:t>
            </w:r>
          </w:p>
          <w:p>
            <w:pPr>
              <w:keepNext/>
              <w:spacing w:line="240" w:lineRule="auto" w:before="0" w:after="0"/>
              <w:ind w:firstLine="0"/>
              <w:jc w:val="left"/>
            </w:pPr>
            <w:r>
              <w:rPr>
                <w:rFonts w:ascii="Times New Roman" w:hAnsi="Times New Roman" w:cs="Times New Roman" w:eastAsia="Times New Roman"/>
                <w:b w:val="0"/>
                <w:color w:val="000000"/>
                <w:sz w:val="22"/>
              </w:rPr>
              <w:t>- both parties leave reviews</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closed deal and updated ratings</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F4. Moderation</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administrator is notified about pending items;</w:t>
            </w:r>
          </w:p>
          <w:p>
            <w:pPr>
              <w:keepNext/>
              <w:spacing w:line="240" w:lineRule="auto" w:before="0" w:after="0"/>
              <w:ind w:firstLine="0"/>
              <w:jc w:val="left"/>
            </w:pPr>
            <w:r>
              <w:rPr>
                <w:rFonts w:ascii="Times New Roman" w:hAnsi="Times New Roman" w:cs="Times New Roman" w:eastAsia="Times New Roman"/>
                <w:b w:val="0"/>
                <w:color w:val="000000"/>
                <w:sz w:val="22"/>
              </w:rPr>
              <w:t>- reads the reasons and approves, rejects or rechecks;</w:t>
            </w:r>
          </w:p>
          <w:p>
            <w:pPr>
              <w:keepNext/>
              <w:spacing w:line="240" w:lineRule="auto" w:before="0" w:after="0"/>
              <w:ind w:firstLine="0"/>
              <w:jc w:val="left"/>
            </w:pPr>
            <w:r>
              <w:rPr>
                <w:rFonts w:ascii="Times New Roman" w:hAnsi="Times New Roman" w:cs="Times New Roman" w:eastAsia="Times New Roman"/>
                <w:b w:val="0"/>
                <w:color w:val="000000"/>
                <w:sz w:val="22"/>
              </w:rPr>
              <w:t>- adjusts the moderation settings when needed</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catalogue without spam and fake offers</w:t>
            </w:r>
          </w:p>
        </w:tc>
      </w:tr>
    </w:tbl>
    <w:p>
      <w:pPr>
        <w:keepNext/>
        <w:spacing w:after="0"/>
      </w:pPr>
    </w:p>
    <w:p>
      <w:pPr>
        <w:pStyle w:val="BodyText2026"/>
      </w:pPr>
      <w:r>
        <w:rPr>
          <w:rFonts w:ascii="Times New Roman" w:hAnsi="Times New Roman" w:cs="Times New Roman" w:eastAsia="Times New Roman"/>
          <w:color w:val="000000"/>
          <w:sz w:val="24"/>
        </w:rPr>
        <w:t>Flows F1 and F2 cover the core of the platform and correspond to the two primary target segments, producers and wholesale buyers. Flow F3 closes the loop of trust on which the value proposition of the platform is built, because reviews are only possible after a real order, while flow F4 belongs to the administrator and keeps the catalogue clean without making the users wait longer than necessary.</w:t>
      </w:r>
    </w:p>
    <w:p>
      <w:pPr>
        <w:pStyle w:val="Heading1"/>
      </w:pPr>
      <w:bookmarkStart w:id="103" w:name="_Toc900103"/>
      <w:r>
        <w:rPr>
          <w:rFonts w:ascii="Times New Roman" w:hAnsi="Times New Roman" w:cs="Times New Roman" w:eastAsia="Times New Roman"/>
          <w:b/>
          <w:color w:val="000000"/>
          <w:sz w:val="26"/>
        </w:rPr>
        <w:t>3 GENERAL DESCRIPTION OF THE SYSTEM, ACTORS AND ROLES</w:t>
      </w:r>
      <w:bookmarkEnd w:id="103"/>
    </w:p>
    <w:p>
      <w:pPr>
        <w:pStyle w:val="BodyText2026"/>
      </w:pPr>
      <w:r>
        <w:rPr>
          <w:rFonts w:ascii="Times New Roman" w:hAnsi="Times New Roman" w:cs="Times New Roman" w:eastAsia="Times New Roman"/>
          <w:color w:val="000000"/>
          <w:sz w:val="24"/>
        </w:rPr>
        <w:t>AgroHub is a B2B web platform through which agricultural producers in the Republic of Moldova sell their produce wholesale directly to distributors, shops and HoReCa businesses. The system covers the part of the trade that today happens by phone: publishing an offer, searching for products, ordering, confirming the order, communicating about it and evaluating the partner afterwards. The public version of the platform is available at https://agrohub-efh.pages.dev/.</w:t>
      </w:r>
    </w:p>
    <w:p>
      <w:pPr>
        <w:pStyle w:val="BodyText2026"/>
        <w:keepNext/>
      </w:pPr>
      <w:r>
        <w:rPr>
          <w:rFonts w:ascii="Times New Roman" w:hAnsi="Times New Roman" w:cs="Times New Roman" w:eastAsia="Times New Roman"/>
          <w:color w:val="000000"/>
          <w:sz w:val="24"/>
        </w:rPr>
        <w:t>The system has a three-tier client-server architecture. The web client runs in the browser and adapts to phone, tablet and computer screens. It communicates with a REST API on the server, which applies all the business rules and stores the data in a PostgreSQL database. Three external services complete the system: an e-mail service for codes and notifications, Google Identity Services for signing in with a Google account, and an AI service that checks new listings. The boundary of the system and its exchanges with the environment are shown in the context diagram in Figure 3.1.</w:t>
      </w:r>
    </w:p>
    <w:p>
      <w:pPr>
        <w:keepNext/>
        <w:ind w:firstLine="0"/>
        <w:jc w:val="center"/>
      </w:pPr>
      <w:r>
        <w:drawing>
          <wp:inline xmlns:a="http://schemas.openxmlformats.org/drawingml/2006/main" xmlns:pic="http://schemas.openxmlformats.org/drawingml/2006/picture">
            <wp:extent cx="5580000" cy="3128288"/>
            <wp:docPr id="1127837091" name="Picture 1127837091"/>
            <wp:cNvGraphicFramePr>
              <a:graphicFrameLocks noChangeAspect="1"/>
            </wp:cNvGraphicFramePr>
            <a:graphic>
              <a:graphicData uri="http://schemas.openxmlformats.org/drawingml/2006/picture">
                <pic:pic>
                  <pic:nvPicPr>
                    <pic:cNvPr id="0" name="context.png"/>
                    <pic:cNvPicPr/>
                  </pic:nvPicPr>
                  <pic:blipFill>
                    <a:blip r:embed="rId23"/>
                    <a:stretch>
                      <a:fillRect/>
                    </a:stretch>
                  </pic:blipFill>
                  <pic:spPr>
                    <a:xfrm>
                      <a:off x="0" y="0"/>
                      <a:ext cx="5580000" cy="3128288"/>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3.1 – Context diagram of the AgroHub platform</w:t>
      </w:r>
    </w:p>
    <w:p>
      <w:pPr>
        <w:pStyle w:val="BodyText2026"/>
      </w:pPr>
      <w:r>
        <w:rPr>
          <w:rFonts w:ascii="Times New Roman" w:hAnsi="Times New Roman" w:cs="Times New Roman" w:eastAsia="Times New Roman"/>
          <w:color w:val="000000"/>
          <w:sz w:val="24"/>
        </w:rPr>
        <w:t>In Figure 3.1 the platform is represented as a single block, without its internal structure. On the left are the four human actors and the information they send to the system: the guest searches the catalogue and registers, the seller manages listings, stock and order decisions, the distributor sends orders and reviews, and the administrator takes decisions about accounts, listings and settings. On the right are the external systems: the platform sends codes, notifications and the daily summary to the e-mail service, asks Google to verify the sign-in token, and sends the text and photo of a listing to the AI service, which returns a verdict. The internal structure of the platform is modelled in the UML modelling chapter of the project report.</w:t>
      </w:r>
    </w:p>
    <w:p>
      <w:pPr>
        <w:pStyle w:val="BodyText2026"/>
        <w:keepNext/>
      </w:pPr>
      <w:r>
        <w:rPr>
          <w:rFonts w:ascii="Times New Roman" w:hAnsi="Times New Roman" w:cs="Times New Roman" w:eastAsia="Times New Roman"/>
          <w:color w:val="000000"/>
          <w:sz w:val="24"/>
        </w:rPr>
        <w:t>The actors are summarised in Table 3.1. Each human actor corresponds to a role in the system, and the rights of the role are checked by the server for every request, not only hidden in the interface.</w:t>
      </w:r>
    </w:p>
    <w:p>
      <w:pPr>
        <w:keepNext/>
        <w:spacing w:before="120"/>
        <w:jc w:val="right"/>
      </w:pPr>
      <w:r>
        <w:rPr>
          <w:rFonts w:ascii="Times New Roman" w:hAnsi="Times New Roman" w:cs="Times New Roman" w:eastAsia="Times New Roman"/>
          <w:b/>
          <w:color w:val="000000"/>
          <w:sz w:val="24"/>
        </w:rPr>
        <w:t>Table 3.1 – Actors and roles of the system</w:t>
      </w:r>
    </w:p>
    <w:tbl>
      <w:tblPr>
        <w:tblStyle w:val="TableGrid"/>
        <w:tblW w:type="auto" w:w="0"/>
        <w:jc w:val="center"/>
        <w:tblLayout w:type="fixed"/>
        <w:tblLook w:firstColumn="1" w:firstRow="1" w:lastColumn="0" w:lastRow="0" w:noHBand="0" w:noVBand="1" w:val="04A0"/>
      </w:tblPr>
      <w:tblGrid>
        <w:gridCol w:w="1927"/>
        <w:gridCol w:w="1360"/>
        <w:gridCol w:w="3061"/>
        <w:gridCol w:w="3855"/>
      </w:tblGrid>
      <w:tr>
        <w:trPr>
          <w:tblHeader w:val="true"/>
        </w:trPr>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w:t>
            </w:r>
          </w:p>
        </w:tc>
        <w:tc>
          <w:tcPr>
            <w:tcW w:type="dxa" w:w="136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Type</w:t>
            </w:r>
          </w:p>
        </w:tc>
        <w:tc>
          <w:tcPr>
            <w:tcW w:type="dxa" w:w="306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385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rights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Any visitor who has not signed 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Browse and search the catalogue, register, sign in</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Producer or company that owns the goods (primary segment)</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Manage listings and stock, accept, reject and deliver orders, messages, reviews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Wholesale buyer (primary segment)</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Place, edit and cancel orders, messages, reviews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Platform staff (secondary segment)</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Approve, reject and block accounts, moderate listings and reviews, change settings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E-mail service</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Brevo, used for transactional e-mails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Receives messages to be delivered to users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Google Identity Services</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Google sign-in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Confirms the identity behind a Google sign-in token</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AI moderation service</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Gemini, with Claude as an alternative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Receives a listing and returns an approval verdict with a reason</w:t>
            </w:r>
          </w:p>
        </w:tc>
      </w:tr>
    </w:tbl>
    <w:p>
      <w:pPr>
        <w:keepNext/>
        <w:spacing w:after="0"/>
      </w:pPr>
    </w:p>
    <w:p>
      <w:pPr>
        <w:pStyle w:val="BodyText2026"/>
      </w:pPr>
      <w:r>
        <w:rPr>
          <w:rFonts w:ascii="Times New Roman" w:hAnsi="Times New Roman" w:cs="Times New Roman" w:eastAsia="Times New Roman"/>
          <w:color w:val="000000"/>
          <w:sz w:val="24"/>
        </w:rPr>
        <w:t>A registered seller or distributor keeps all the rights of a guest, so the catalogue remains available to them after signing in. The administrator does not trade on the platform and therefore has no access to ordering, which keeps the moderation role independent from the commercial one.</w:t>
      </w:r>
    </w:p>
    <w:p>
      <w:pPr>
        <w:pStyle w:val="Heading1"/>
      </w:pPr>
      <w:bookmarkStart w:id="104" w:name="_Toc900104"/>
      <w:r>
        <w:rPr>
          <w:rFonts w:ascii="Times New Roman" w:hAnsi="Times New Roman" w:cs="Times New Roman" w:eastAsia="Times New Roman"/>
          <w:b/>
          <w:color w:val="000000"/>
          <w:sz w:val="26"/>
        </w:rPr>
        <w:t>4 FUNCTIONAL REQUIREMENTS</w:t>
      </w:r>
      <w:bookmarkEnd w:id="104"/>
    </w:p>
    <w:p>
      <w:pPr>
        <w:pStyle w:val="BodyText2026"/>
        <w:keepNext/>
      </w:pPr>
      <w:r>
        <w:rPr>
          <w:rFonts w:ascii="Times New Roman" w:hAnsi="Times New Roman" w:cs="Times New Roman" w:eastAsia="Times New Roman"/>
          <w:color w:val="000000"/>
          <w:sz w:val="24"/>
        </w:rPr>
        <w:t>The functional requirements are written as verifiable actions of the system, one function per requirement. Each has a unique identifier, the role that uses it and a priority: mandatory requirements are needed for the first public version, desirable ones increase its value but the platform can work without them. To keep the tables readable, the requirements are grouped in two tables. Table 4.1 contains the requirements for accounts, the catalogue and the listings.</w:t>
      </w:r>
    </w:p>
    <w:p>
      <w:pPr>
        <w:keepNext/>
        <w:spacing w:before="120"/>
        <w:jc w:val="right"/>
      </w:pPr>
      <w:r>
        <w:rPr>
          <w:rFonts w:ascii="Times New Roman" w:hAnsi="Times New Roman" w:cs="Times New Roman" w:eastAsia="Times New Roman"/>
          <w:b/>
          <w:color w:val="000000"/>
          <w:sz w:val="24"/>
        </w:rPr>
        <w:t>Table 4.1 – Functional requirements: accounts, catalogue and listings</w:t>
      </w:r>
    </w:p>
    <w:tbl>
      <w:tblPr>
        <w:tblStyle w:val="TableGrid"/>
        <w:tblW w:type="auto" w:w="0"/>
        <w:jc w:val="center"/>
        <w:tblLayout w:type="fixed"/>
        <w:tblLook w:firstColumn="1" w:firstRow="1" w:lastColumn="0" w:lastRow="0" w:noHBand="0" w:noVBand="1" w:val="04A0"/>
      </w:tblPr>
      <w:tblGrid>
        <w:gridCol w:w="793"/>
        <w:gridCol w:w="1530"/>
        <w:gridCol w:w="5103"/>
        <w:gridCol w:w="1474"/>
        <w:gridCol w:w="1304"/>
      </w:tblGrid>
      <w:tr>
        <w:trPr>
          <w:tblHeader w:val="true"/>
        </w:trPr>
        <w:tc>
          <w:tcPr>
            <w:tcW w:type="dxa" w:w="7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53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51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Role</w:t>
            </w:r>
          </w:p>
        </w:tc>
        <w:tc>
          <w:tcPr>
            <w:tcW w:type="dxa" w:w="130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Priority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FR-01</w:t>
            </w:r>
          </w:p>
        </w:tc>
        <w:tc>
          <w:tcPr>
            <w:tcW w:type="dxa" w:w="1531"/>
          </w:tcPr>
          <w:p>
            <w:pPr>
              <w:keepNext/>
              <w:spacing w:line="240" w:lineRule="auto" w:before="0" w:after="0"/>
              <w:ind w:firstLine="0"/>
              <w:jc w:val="center"/>
            </w:pPr>
            <w:r>
              <w:rPr>
                <w:rFonts w:ascii="Times New Roman" w:hAnsi="Times New Roman" w:cs="Times New Roman" w:eastAsia="Times New Roman"/>
                <w:b w:val="0"/>
                <w:color w:val="000000"/>
                <w:sz w:val="22"/>
              </w:rPr>
              <w:t>Registration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guest to create a seller or distributor account with name, e-mail, password and, optionally, phone and region</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Guest</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E-mail verification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sends a six-digit code to the e-mail address and activates the account only after the correct code is entered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Guest</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FR-03</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Authentication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signing in with e-mail and password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FR-04</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Google sign-in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signing in or registering with a Google account</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FR-05</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Password recovery</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setting a new password with a code sent by e-mail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FR-06</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Account approval</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approves verified accounts automatically or leaves them to the administrator, who can approve, reject or block any account</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FR-07</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Catalogue search</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displays the active listings and allows searching by product or variety and filtering by region</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FR-08</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Listing details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displays the quantity, price per kilogram, region, harvest date, delivery terms, contacts and rating of the seller</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FR-09</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Listing management</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seller to create, edit, pause and delete listings; a new listing requires a photo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FR-10</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Stock adjustment</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seller to correct the stock of a listing with a stated reason and records every change</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FR-11</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Automatic listing check</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checks every new or edited listing with rules and an AI service and leaves doubtful listings to the administrator, with the reasons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System</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bl>
    <w:p>
      <w:pPr>
        <w:keepNext/>
        <w:spacing w:after="0"/>
      </w:pPr>
    </w:p>
    <w:p>
      <w:pPr>
        <w:pStyle w:val="BodyText2026"/>
      </w:pPr>
      <w:r>
        <w:rPr>
          <w:rFonts w:ascii="Times New Roman" w:hAnsi="Times New Roman" w:cs="Times New Roman" w:eastAsia="Times New Roman"/>
          <w:color w:val="000000"/>
          <w:sz w:val="24"/>
        </w:rPr>
        <w:t>Account approval (FR-06) is the first barrier against fake participants and applies before a user can publish or order anything. The second barrier, the automatic listing check (FR-11), is what makes publishing fast for honest sellers without opening the catalogue to spam. A trusted seller sees the listing published in seconds, while an unusual price, a link in the text or an unrelated photo sends it to the administrator.</w:t>
      </w:r>
    </w:p>
    <w:p>
      <w:pPr>
        <w:pStyle w:val="BodyText2026"/>
        <w:keepNext/>
      </w:pPr>
      <w:r>
        <w:rPr>
          <w:rFonts w:ascii="Times New Roman" w:hAnsi="Times New Roman" w:cs="Times New Roman" w:eastAsia="Times New Roman"/>
          <w:color w:val="000000"/>
          <w:sz w:val="24"/>
        </w:rPr>
        <w:t>Table 4.2 covers the life cycle of an order, from the request of the distributor to the delivery confirmed by the seller, together with the communication between users, the reviews and the administration of the platform.</w:t>
      </w:r>
    </w:p>
    <w:p>
      <w:pPr>
        <w:keepNext/>
        <w:spacing w:before="120"/>
        <w:jc w:val="right"/>
      </w:pPr>
      <w:r>
        <w:rPr>
          <w:rFonts w:ascii="Times New Roman" w:hAnsi="Times New Roman" w:cs="Times New Roman" w:eastAsia="Times New Roman"/>
          <w:b/>
          <w:color w:val="000000"/>
          <w:sz w:val="24"/>
        </w:rPr>
        <w:t>Table 4.2 – Functional requirements: orders, communication and administration</w:t>
      </w:r>
    </w:p>
    <w:tbl>
      <w:tblPr>
        <w:tblStyle w:val="TableGrid"/>
        <w:tblW w:type="auto" w:w="0"/>
        <w:jc w:val="center"/>
        <w:tblLayout w:type="fixed"/>
        <w:tblLook w:firstColumn="1" w:firstRow="1" w:lastColumn="0" w:lastRow="0" w:noHBand="0" w:noVBand="1" w:val="04A0"/>
      </w:tblPr>
      <w:tblGrid>
        <w:gridCol w:w="793"/>
        <w:gridCol w:w="1530"/>
        <w:gridCol w:w="5103"/>
        <w:gridCol w:w="1474"/>
        <w:gridCol w:w="1304"/>
      </w:tblGrid>
      <w:tr>
        <w:trPr>
          <w:tblHeader w:val="true"/>
        </w:trPr>
        <w:tc>
          <w:tcPr>
            <w:tcW w:type="dxa" w:w="7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53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51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Role</w:t>
            </w:r>
          </w:p>
        </w:tc>
        <w:tc>
          <w:tcPr>
            <w:tcW w:type="dxa" w:w="130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Priority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Placing an order</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distributor to order a quantity no larger than the available stock, with an optional message; the price is fixed at the moment of ordering</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FR-13</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Accepting or rejecting</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seller to accept or reject a pending order; on acceptance the stock decreases and a listing with zero stock is paused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FR-14</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Editing or cancelling</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distributor to edit and resend an order that is pending, rejected or cancelled, and to cancel an order that is not yet delivered; the stock of an accepted order is restored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FR-15</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Delivery confirmation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seller to mark an accepted order as delivered, after which it can no longer be cancelled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FR-16</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Personal dashboard</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shows each user the statistics and the history of their listings and orders, and lets them hide old orders from their own history</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FR-17</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Order conversation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provides a conversation for every order and shows the number of unread messages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FR-18</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Notifications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creates an in-app notification and sends an e-mail for every change of an order; for a new message it sends an e-mail, unless the recipient has read the conversation in the last 30 seconds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 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FR-19</w:t>
            </w:r>
          </w:p>
        </w:tc>
        <w:tc>
          <w:tcPr>
            <w:tcW w:type="dxa" w:w="1531"/>
          </w:tcPr>
          <w:p>
            <w:pPr>
              <w:keepNext/>
              <w:spacing w:line="240" w:lineRule="auto" w:before="0" w:after="0"/>
              <w:ind w:firstLine="0"/>
              <w:jc w:val="center"/>
            </w:pPr>
            <w:r>
              <w:rPr>
                <w:rFonts w:ascii="Times New Roman" w:hAnsi="Times New Roman" w:cs="Times New Roman" w:eastAsia="Times New Roman"/>
                <w:b w:val="0"/>
                <w:color w:val="000000"/>
                <w:sz w:val="22"/>
              </w:rPr>
              <w:t>Reviews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both parties of an accepted or delivered order to give a rating from 1 to 5 with a comment, and the reviewed user to reply; the average rating is public</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FR-20</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Moderation of listings and reviews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administrator to approve or reject listings, to request a new AI check and to delete reviews or replies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FR-21</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Moderation settings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administrator to change the automatic approval rules: thresholds for trusted sellers, price limits, banned words and the AI check</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Daily summary</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sends the administrators a daily e-mail summary of the moderation events at a configured hour, Moldova time</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bl>
    <w:p>
      <w:pPr>
        <w:keepNext/>
        <w:spacing w:after="0"/>
      </w:pPr>
    </w:p>
    <w:p>
      <w:pPr>
        <w:pStyle w:val="BodyText2026"/>
      </w:pPr>
      <w:r>
        <w:rPr>
          <w:rFonts w:ascii="Times New Roman" w:hAnsi="Times New Roman" w:cs="Times New Roman" w:eastAsia="Times New Roman"/>
          <w:color w:val="000000"/>
          <w:sz w:val="24"/>
        </w:rPr>
        <w:t>Together, FR-12 to FR-15 define the order statuses: pending, confirmed, rejected, cancelled and completed (delivered). This life cycle is modelled as a state machine diagram in the UML modelling chapter of the project report.</w:t>
      </w:r>
    </w:p>
    <w:p>
      <w:pPr>
        <w:pStyle w:val="BodyText2026"/>
      </w:pPr>
      <w:r>
        <w:rPr>
          <w:rFonts w:ascii="Times New Roman" w:hAnsi="Times New Roman" w:cs="Times New Roman" w:eastAsia="Times New Roman"/>
          <w:color w:val="000000"/>
          <w:sz w:val="24"/>
        </w:rPr>
        <w:t>Out of the 22 functional requirements, 18 are mandatory and 4 are desirable. All of them are already implemented in the current version of the platform, which makes it possible to verify each one through the test cases described in the implementation chapter of the project report.</w:t>
      </w:r>
    </w:p>
    <w:p>
      <w:pPr>
        <w:pStyle w:val="Heading1"/>
      </w:pPr>
      <w:bookmarkStart w:id="105" w:name="_Toc900105"/>
      <w:r>
        <w:rPr>
          <w:rFonts w:ascii="Times New Roman" w:hAnsi="Times New Roman" w:cs="Times New Roman" w:eastAsia="Times New Roman"/>
          <w:b/>
          <w:color w:val="000000"/>
          <w:sz w:val="26"/>
        </w:rPr>
        <w:t>5 USE CASES AND USER STORIES</w:t>
      </w:r>
      <w:bookmarkEnd w:id="105"/>
    </w:p>
    <w:p>
      <w:pPr>
        <w:pStyle w:val="BodyText2026"/>
        <w:keepNext/>
      </w:pPr>
      <w:r>
        <w:rPr>
          <w:rFonts w:ascii="Times New Roman" w:hAnsi="Times New Roman" w:cs="Times New Roman" w:eastAsia="Times New Roman"/>
          <w:color w:val="000000"/>
          <w:sz w:val="24"/>
        </w:rPr>
        <w:t>The functional requirements describe the system from the inside. Use cases describe the same behaviour from the point of view of the actors: what each actor can achieve with the system. Following the recommendation to draw separate diagrams for different groups of actors, the use cases were split into two diagrams. Figure 5.1 shows the use cases related to access and administration.</w:t>
      </w:r>
    </w:p>
    <w:p>
      <w:pPr>
        <w:keepNext/>
        <w:ind w:firstLine="0"/>
        <w:jc w:val="center"/>
      </w:pPr>
      <w:r>
        <w:drawing>
          <wp:inline xmlns:a="http://schemas.openxmlformats.org/drawingml/2006/main" xmlns:pic="http://schemas.openxmlformats.org/drawingml/2006/picture">
            <wp:extent cx="5040000" cy="3549296"/>
            <wp:docPr id="1127837092" name="Picture 1127837092"/>
            <wp:cNvGraphicFramePr>
              <a:graphicFrameLocks noChangeAspect="1"/>
            </wp:cNvGraphicFramePr>
            <a:graphic>
              <a:graphicData uri="http://schemas.openxmlformats.org/drawingml/2006/picture">
                <pic:pic>
                  <pic:nvPicPr>
                    <pic:cNvPr id="0" name="usecases_access.png"/>
                    <pic:cNvPicPr/>
                  </pic:nvPicPr>
                  <pic:blipFill>
                    <a:blip r:embed="rId24"/>
                    <a:stretch>
                      <a:fillRect/>
                    </a:stretch>
                  </pic:blipFill>
                  <pic:spPr>
                    <a:xfrm>
                      <a:off x="0" y="0"/>
                      <a:ext cx="5040000" cy="3549296"/>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5.1 – Use case diagram: access and administration</w:t>
      </w:r>
    </w:p>
    <w:p>
      <w:pPr>
        <w:pStyle w:val="BodyText2026"/>
      </w:pPr>
      <w:r>
        <w:rPr>
          <w:rFonts w:ascii="Times New Roman" w:hAnsi="Times New Roman" w:cs="Times New Roman" w:eastAsia="Times New Roman"/>
          <w:color w:val="000000"/>
          <w:sz w:val="24"/>
        </w:rPr>
        <w:t>In Figure 5.1 the guest can browse the catalogue (UC01), register (UC02) and sign in (UC04). Registration always includes the verification of the e-mail with a code (UC03), which is why it is connected by an «include» relationship and linked to the e-mail service. Signing in with Google (UC04a) is an optional variant of signing in, shown as «extend», and depends on Google Identity Services. The administrator moderates accounts (UC14), moderates listings and reviews (UC15), where the AI service can be asked to check a listing again, and configures the automatic moderation (UC16).</w:t>
      </w:r>
    </w:p>
    <w:p>
      <w:pPr>
        <w:pStyle w:val="BodyText2026"/>
        <w:keepNext/>
      </w:pPr>
      <w:r>
        <w:rPr>
          <w:rFonts w:ascii="Times New Roman" w:hAnsi="Times New Roman" w:cs="Times New Roman" w:eastAsia="Times New Roman"/>
          <w:color w:val="000000"/>
          <w:sz w:val="24"/>
        </w:rPr>
        <w:t>The second diagram, in Figure 5.2, contains the use cases through which sellers and distributors trade with each other. Use cases common to both roles are placed in the middle of the system boundary.</w:t>
      </w:r>
    </w:p>
    <w:p>
      <w:pPr>
        <w:keepNext/>
        <w:ind w:firstLine="0"/>
        <w:jc w:val="center"/>
      </w:pPr>
      <w:r>
        <w:drawing>
          <wp:inline xmlns:a="http://schemas.openxmlformats.org/drawingml/2006/main" xmlns:pic="http://schemas.openxmlformats.org/drawingml/2006/picture">
            <wp:extent cx="5040000" cy="3549296"/>
            <wp:docPr id="1127837093" name="Picture 1127837093"/>
            <wp:cNvGraphicFramePr>
              <a:graphicFrameLocks noChangeAspect="1"/>
            </wp:cNvGraphicFramePr>
            <a:graphic>
              <a:graphicData uri="http://schemas.openxmlformats.org/drawingml/2006/picture">
                <pic:pic>
                  <pic:nvPicPr>
                    <pic:cNvPr id="0" name="usecases_trading.png"/>
                    <pic:cNvPicPr/>
                  </pic:nvPicPr>
                  <pic:blipFill>
                    <a:blip r:embed="rId25"/>
                    <a:stretch>
                      <a:fillRect/>
                    </a:stretch>
                  </pic:blipFill>
                  <pic:spPr>
                    <a:xfrm>
                      <a:off x="0" y="0"/>
                      <a:ext cx="5040000" cy="3549296"/>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5.2 – Use case diagram: trading between sellers and distributors</w:t>
      </w:r>
    </w:p>
    <w:p>
      <w:pPr>
        <w:pStyle w:val="BodyText2026"/>
      </w:pPr>
      <w:r>
        <w:rPr>
          <w:rFonts w:ascii="Times New Roman" w:hAnsi="Times New Roman" w:cs="Times New Roman" w:eastAsia="Times New Roman"/>
          <w:color w:val="000000"/>
          <w:sz w:val="24"/>
        </w:rPr>
        <w:t>The seller, on the left of Figure 5.2, manages listings and stock (UC05), accepts or rejects orders (UC09) and marks them as delivered (UC10). Every change of a listing includes its automatic check (UC06), performed with the AI moderation service. The distributor, on the right, places orders (UC07) and edits or cancels them (UC08). Both roles exchange messages on an order (UC11), leave reviews (UC12) and follow their orders and notifications (UC13), for which the e-mail service delivers the messages outside the platform.</w:t>
      </w:r>
    </w:p>
    <w:p>
      <w:pPr>
        <w:pStyle w:val="BodyText2026"/>
        <w:keepNext/>
      </w:pPr>
      <w:r>
        <w:rPr>
          <w:rFonts w:ascii="Times New Roman" w:hAnsi="Times New Roman" w:cs="Times New Roman" w:eastAsia="Times New Roman"/>
          <w:color w:val="000000"/>
          <w:sz w:val="24"/>
        </w:rPr>
        <w:t>Table 5.1 links each use case to the functional requirements it covers. All 22 requirements appear in the table, which confirms that the use case model is complete with respect to the specification.</w:t>
      </w:r>
    </w:p>
    <w:p>
      <w:pPr>
        <w:keepNext/>
        <w:spacing w:before="120"/>
        <w:jc w:val="right"/>
      </w:pPr>
      <w:r>
        <w:rPr>
          <w:rFonts w:ascii="Times New Roman" w:hAnsi="Times New Roman" w:cs="Times New Roman" w:eastAsia="Times New Roman"/>
          <w:b/>
          <w:color w:val="000000"/>
          <w:sz w:val="24"/>
        </w:rPr>
        <w:t>Table 5.1 – Use cases and the functional requirements they cover</w:t>
      </w:r>
    </w:p>
    <w:tbl>
      <w:tblPr>
        <w:tblStyle w:val="TableGrid"/>
        <w:tblW w:type="auto" w:w="0"/>
        <w:jc w:val="center"/>
        <w:tblLayout w:type="fixed"/>
        <w:tblLook w:firstColumn="1" w:firstRow="1" w:lastColumn="0" w:lastRow="0" w:noHBand="0" w:noVBand="1" w:val="04A0"/>
      </w:tblPr>
      <w:tblGrid>
        <w:gridCol w:w="1020"/>
        <w:gridCol w:w="3402"/>
        <w:gridCol w:w="3855"/>
        <w:gridCol w:w="1927"/>
      </w:tblGrid>
      <w:tr>
        <w:trPr>
          <w:tblHeader w:val="true"/>
        </w:trPr>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Use case</w:t>
            </w:r>
          </w:p>
        </w:tc>
        <w:tc>
          <w:tcPr>
            <w:tcW w:type="dxa" w:w="34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385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Actors</w:t>
            </w:r>
          </w:p>
        </w:tc>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Requirements</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UC01</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Browse and search the catalogue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FR-07, FR-08</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UC02</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Register an account</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FR-01</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UC03</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Verify the e-mail with a code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e-mail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FR-02</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UC04</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Sign 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FR-03, FR-05</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UC04a</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Sign in with Google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Google Identity Services</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FR-04</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UC05</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Manage listings and stock</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FR-09, FR-10</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UC06</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Check a listing automatically</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AI moderation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FR-11</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UC07</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Place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FR-12</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UC08</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Edit or cancel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FR-14</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UC09</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Accept or reject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FR-13</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UC10</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Mark an order as delivered</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FR-15</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UC11</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Exchange messages on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FR-17</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UC12</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Leave a review</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FR-19</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UC13</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Follow orders and notifications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 e-mail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FR-16, FR-18</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UC14</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Moderate accounts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FR-06</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UC15</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Moderate listings and reviews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 AI moderation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FR-11, FR-20</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UC16</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Configure automatic moderation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FR-21, FR-22</w:t>
            </w:r>
          </w:p>
        </w:tc>
      </w:tr>
    </w:tbl>
    <w:p>
      <w:pPr>
        <w:keepNext/>
        <w:spacing w:after="0"/>
      </w:pPr>
    </w:p>
    <w:p>
      <w:pPr>
        <w:pStyle w:val="BodyText2026"/>
      </w:pPr>
      <w:r>
        <w:rPr>
          <w:rFonts w:ascii="Times New Roman" w:hAnsi="Times New Roman" w:cs="Times New Roman" w:eastAsia="Times New Roman"/>
          <w:color w:val="000000"/>
          <w:sz w:val="24"/>
        </w:rPr>
        <w:t>The detailed specification of the main use cases, with preconditions, main and alternative flows, is presented in the UML modelling chapter of the project report, where the use case model is refined together with the other UML diagrams.</w:t>
      </w:r>
    </w:p>
    <w:p>
      <w:pPr>
        <w:pStyle w:val="BodyText2026"/>
        <w:keepNext/>
      </w:pPr>
      <w:r>
        <w:rPr>
          <w:rFonts w:ascii="Times New Roman" w:hAnsi="Times New Roman" w:cs="Times New Roman" w:eastAsia="Times New Roman"/>
          <w:color w:val="000000"/>
          <w:sz w:val="24"/>
        </w:rPr>
        <w:t>Use cases are complemented by user stories, which state the same needs in the words of the user and add acceptance criteria that tell when the story is done [4]. Table 5.2 contains the main user stories. The last column refers to the automated test cases that check each story, described in the implementation chapter of the project report.</w:t>
      </w:r>
    </w:p>
    <w:p>
      <w:pPr>
        <w:keepNext/>
        <w:spacing w:before="120"/>
        <w:jc w:val="right"/>
      </w:pPr>
      <w:r>
        <w:rPr>
          <w:rFonts w:ascii="Times New Roman" w:hAnsi="Times New Roman" w:cs="Times New Roman" w:eastAsia="Times New Roman"/>
          <w:b/>
          <w:color w:val="000000"/>
          <w:sz w:val="24"/>
        </w:rPr>
        <w:t>Table 5.2 – Main user stories with acceptance criteria</w:t>
      </w:r>
    </w:p>
    <w:tbl>
      <w:tblPr>
        <w:tblStyle w:val="TableGrid"/>
        <w:tblW w:type="auto" w:w="0"/>
        <w:jc w:val="center"/>
        <w:tblLayout w:type="fixed"/>
        <w:tblLook w:firstColumn="1" w:firstRow="1" w:lastColumn="0" w:lastRow="0" w:noHBand="0" w:noVBand="1" w:val="04A0"/>
      </w:tblPr>
      <w:tblGrid>
        <w:gridCol w:w="737"/>
        <w:gridCol w:w="3742"/>
        <w:gridCol w:w="4309"/>
        <w:gridCol w:w="1417"/>
      </w:tblGrid>
      <w:tr>
        <w:trPr>
          <w:tblHeader w:val="true"/>
        </w:trPr>
        <w:tc>
          <w:tcPr>
            <w:tcW w:type="dxa" w:w="73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User story</w:t>
            </w:r>
          </w:p>
        </w:tc>
        <w:tc>
          <w:tcPr>
            <w:tcW w:type="dxa" w:w="430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Acceptance criteria</w:t>
            </w:r>
          </w:p>
        </w:tc>
        <w:tc>
          <w:tcPr>
            <w:tcW w:type="dxa" w:w="141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Tests</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publish a listing with a photo from my phone, so that buyers see my produce the same day</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The listing is saved; a trusted seller's listing is published at once, a new seller's listing waits for moderation with the reason shown</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TC05, TC06</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US02</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see the real stock of a listing, so that I do not order goods that are already sold</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An order larger than the stock is refused with a message showing the available quantity</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TC07</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US03</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accept or reject an order with one click, so that the buyer quickly knows whether the deal happens</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Acceptance reduces the stock once, a second or simultaneous acceptance is refused, the buyer is notified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TC10, TC11, TC12</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US04</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cancel an order before delivery, so that I can react to changes in my plans</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The stock of a cancelled accepted order is restored; a delivered order cannot be cancelled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TC15, TC16</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US05</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mark an order as delivered, so that the deal is closed</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Only an accepted order can be marked as delivered; the distributor is notified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TC13, TC14</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US06</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read the reviews of a seller, so that I can trust an unknown producer</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 review is possible only after an accepted order, with a rating from 1 to 5; the average is shown on the listing</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TC17</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US07</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user, I want to be notified about my orders, so that I do not have to check the site all the time</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Each change of an order creates a notification; notifications can be marked as read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TC08, TC14, TC18</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US08</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an administrator, I want to block a dishonest user, so that they can no longer trade</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 blocked user loses access immediately and cannot sign in again</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TC19</w:t>
            </w:r>
          </w:p>
        </w:tc>
      </w:tr>
    </w:tbl>
    <w:p>
      <w:pPr>
        <w:keepNext/>
        <w:spacing w:after="0"/>
      </w:pPr>
    </w:p>
    <w:p>
      <w:pPr>
        <w:pStyle w:val="BodyText2026"/>
      </w:pPr>
      <w:r>
        <w:rPr>
          <w:rFonts w:ascii="Times New Roman" w:hAnsi="Times New Roman" w:cs="Times New Roman" w:eastAsia="Times New Roman"/>
          <w:color w:val="000000"/>
          <w:sz w:val="24"/>
        </w:rPr>
        <w:t>Each user story is short on purpose. The details that are not written in the story, such as the exact error messages or the layout of the screens, are settled during implementation, while the acceptance criteria fix what must not change.</w:t>
      </w:r>
    </w:p>
    <w:p>
      <w:pPr>
        <w:pStyle w:val="Heading1"/>
      </w:pPr>
      <w:bookmarkStart w:id="106" w:name="_Toc900106"/>
      <w:r>
        <w:rPr>
          <w:rFonts w:ascii="Times New Roman" w:hAnsi="Times New Roman" w:cs="Times New Roman" w:eastAsia="Times New Roman"/>
          <w:b/>
          <w:color w:val="000000"/>
          <w:sz w:val="26"/>
        </w:rPr>
        <w:t>REFERENCES</w:t>
      </w:r>
      <w:bookmarkEnd w:id="106"/>
    </w:p>
    <w:p>
      <w:pPr>
        <w:tabs>
          <w:tab w:pos="567" w:val="left"/>
        </w:tabs>
        <w:spacing w:after="60"/>
        <w:ind w:left="567" w:hanging="567"/>
        <w:jc w:val="left"/>
      </w:pPr>
      <w:r>
        <w:rPr>
          <w:rFonts w:ascii="Times New Roman" w:hAnsi="Times New Roman" w:cs="Times New Roman" w:eastAsia="Times New Roman"/>
          <w:color w:val="000000"/>
          <w:sz w:val="24"/>
        </w:rPr>
        <w:t>[1]</w:t>
        <w:tab/>
        <w:t>ISO/IEC/IEEE 29148:2018, Systems and software engineering – Life cycle processes – Requirements engineering. Geneva, Switzerland: ISO, 2018.</w:t>
      </w:r>
    </w:p>
    <w:p>
      <w:pPr>
        <w:tabs>
          <w:tab w:pos="567" w:val="left"/>
        </w:tabs>
        <w:spacing w:after="60"/>
        <w:ind w:left="567" w:hanging="567"/>
        <w:jc w:val="left"/>
      </w:pPr>
      <w:r>
        <w:rPr>
          <w:rFonts w:ascii="Times New Roman" w:hAnsi="Times New Roman" w:cs="Times New Roman" w:eastAsia="Times New Roman"/>
          <w:color w:val="000000"/>
          <w:sz w:val="24"/>
        </w:rPr>
        <w:t>[2]</w:t>
        <w:tab/>
        <w:t>I. Sommerville, Software Engineering, 10th ed. Boston, MA, USA: Pearson, 2016.</w:t>
      </w:r>
    </w:p>
    <w:p>
      <w:pPr>
        <w:tabs>
          <w:tab w:pos="567" w:val="left"/>
        </w:tabs>
        <w:spacing w:after="60"/>
        <w:ind w:left="567" w:hanging="567"/>
        <w:jc w:val="left"/>
      </w:pPr>
      <w:r>
        <w:rPr>
          <w:rFonts w:ascii="Times New Roman" w:hAnsi="Times New Roman" w:cs="Times New Roman" w:eastAsia="Times New Roman"/>
          <w:color w:val="000000"/>
          <w:sz w:val="24"/>
        </w:rPr>
        <w:t>[3]</w:t>
        <w:tab/>
        <w:t>Law No. 195 of 25.07.2024 on personal data protection. Official Monitor of the Republic of Moldova, 23.08.2024 (in force since 23.08.2026).</w:t>
      </w:r>
    </w:p>
    <w:p>
      <w:pPr>
        <w:tabs>
          <w:tab w:pos="567" w:val="left"/>
        </w:tabs>
        <w:spacing w:after="60"/>
        <w:ind w:left="567" w:hanging="567"/>
        <w:jc w:val="left"/>
      </w:pPr>
      <w:r>
        <w:rPr>
          <w:rFonts w:ascii="Times New Roman" w:hAnsi="Times New Roman" w:cs="Times New Roman" w:eastAsia="Times New Roman"/>
          <w:color w:val="000000"/>
          <w:sz w:val="24"/>
        </w:rPr>
        <w:t>[4]</w:t>
        <w:tab/>
        <w:t>M. Cohn, User Stories Applied: For Agile Software Development. Boston, MA, USA: Addison-Wesley, 2004.</w:t>
      </w: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8D694" w14:textId="77777777" w:rsidR="00E63D28" w:rsidRDefault="00E63D28">
      <w:pPr>
        <w:spacing w:line="240" w:lineRule="auto"/>
      </w:pPr>
      <w:r>
        <w:separator/>
      </w:r>
    </w:p>
  </w:endnote>
  <w:endnote w:type="continuationSeparator" w:id="0">
    <w:p w14:paraId="3BDCF2F7" w14:textId="77777777" w:rsidR="00E63D28" w:rsidRDefault="00E63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6CBF1" w14:textId="77777777" w:rsidR="00E63D28" w:rsidRDefault="00E63D28">
      <w:pPr>
        <w:spacing w:line="240" w:lineRule="auto"/>
      </w:pPr>
      <w:r>
        <w:separator/>
      </w:r>
    </w:p>
  </w:footnote>
  <w:footnote w:type="continuationSeparator" w:id="0">
    <w:p w14:paraId="5B0B7C26" w14:textId="77777777" w:rsidR="00E63D28" w:rsidRDefault="00E63D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B6290E"/>
    <w:rsid w:val="00C4269B"/>
    <w:rsid w:val="00CA07B4"/>
    <w:rsid w:val="00CB19F3"/>
    <w:rsid w:val="00CC73BA"/>
    <w:rsid w:val="00D93634"/>
    <w:rsid w:val="00E225F5"/>
    <w:rsid w:val="00E328A4"/>
    <w:rsid w:val="00E50EDE"/>
    <w:rsid w:val="00E63D28"/>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1728</Words>
  <Characters>9852</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3</cp:revision>
  <dcterms:created xsi:type="dcterms:W3CDTF">2026-09-16T05:51:00Z</dcterms:created>
  <dcterms:modified xsi:type="dcterms:W3CDTF">2026-09-16T05:53:00Z</dcterms:modified>
  <dc:language>en-US</dc:language>
</cp:coreProperties>
</file>