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Rule="auto"/>
        <w:rPr/>
      </w:pPr>
      <w:r w:rsidDel="00000000" w:rsidR="00000000" w:rsidRPr="00000000">
        <w:rPr>
          <w:b w:val="1"/>
          <w:bCs w:val="1"/>
          <w:color w:val="0067b1"/>
          <w:sz w:val="34"/>
          <w:szCs w:val="34"/>
          <w:rtl w:val="0"/>
        </w:rPr>
        <w:t xml:space="preserve">Reto Vivienda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i w:val="1"/>
          <w:iCs w:val="1"/>
          <w:color w:val="575756"/>
          <w:sz w:val="21"/>
          <w:szCs w:val="21"/>
          <w:rtl w:val="0"/>
        </w:rPr>
        <w:t xml:space="preserve">Hackathon Colsubsidio x 30X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Para este reto los participantes cuentan con tres insumos principales. </w:t>
      </w:r>
      <w:r w:rsidDel="00000000" w:rsidR="00000000" w:rsidRPr="00000000">
        <w:rPr>
          <w:b w:val="1"/>
          <w:bCs w:val="1"/>
          <w:color w:val="0067b1"/>
          <w:sz w:val="26"/>
          <w:szCs w:val="26"/>
          <w:rtl w:val="0"/>
        </w:rPr>
        <w:t xml:space="preserve">1. Buyer personas por proyecto (PPT)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Presentaciones con las características de los compradores actuales de cada proyecto de vivienda. Todas siguen la misma estructura, con las siguientes 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Afiliación: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porcentaje de compradores afiliados vs. no afiliados a Colsubsidio (por ejemplo, 63% afiliados y 37% no afiliados en uno de los proyectos).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Género del titular: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distribución entre hombres y mujeres.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Rangos salariales: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ejemplo, hasta 2 salarios mínimos vs. más de 2 salarios mínimos.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Rangos de edad: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los compradores (por ejemplo, 20 a 35 años, 35 a 45 años).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Segmentación de la caja: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cuatro categorías definidas por Colsubsidio: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3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Básico: gana hasta 1.44 salarios mínimos y tiene personas a cargo registradas en Colsubsidio.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3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Medio: gana entre 1.44 y 20 salarios mínimos y tiene grupo familiar.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3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Alto: gana más de 20 salarios mínimos, con o sin grupo familiar.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3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Joven: menor de 39 años sin personas a cargo registradas.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Segmentación familiar: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conformación del hogar según variables del DANE (monoparental, nuclear ampliada, monoparental ampliada, pareja conyugal).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Personas a cargo: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cuántos familiares tiene registrados el comprador en la caja.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Estrato: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distribución por estrato. Ojo: esta variable no siempre tiene información completa, por eso los porcentajes pueden no sumar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Pirámide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empresas: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los compradores afiliados, distribución según el tipo de empresa (top, micro, medianas, estándar).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Ubicación: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departamento, localidad (si es Bogotá) o municipios mas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Entidad financiera: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banco o entidad donde se otorga el crédito de vivienda.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Además de los proyectos individuales, hay versiones agrupadas: municipios sur (Soacha, Ricaurte y demás municipios al sur de Bogotá) y municipios norte, con la misma información condensada.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0067b1"/>
          <w:sz w:val="26"/>
          <w:szCs w:val="26"/>
          <w:rtl w:val="0"/>
        </w:rPr>
        <w:t xml:space="preserve">2. Base de compradores (Excel)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Base anonimizada con 4.142 compradores de los últimos 3 o 4 años. No incluye cédulas ni datos identificables. Columnas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Proyecto, etapa y código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opción (indica cuándo compró la persona).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desistimiento: si está vacía, la compra sigue vigente o el proceso terminó bien.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Entidad financiera del crédito.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Medio por el que se enteró del proyecto (valla, referido, radio,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promedio de la vivienda. Importante: hay un tema de formato con los dígitos, hay que quitar los últimos ceros para leer el valor real (por ejemplo, 523.620 corresponde a 523 millones aprox).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compró siendo afiliado o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Segmento, categoria, rango salarial y personas a cargo.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 la empresa, piramide y ranking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 'foco' incluida como variable adicional.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00" w:before="240" w:lineRule="auto"/>
        <w:rPr>
          <w:b w:val="1"/>
          <w:bCs w:val="1"/>
          <w:color w:val="0067b1"/>
        </w:rPr>
      </w:pPr>
      <w:bookmarkStart w:colFirst="0" w:colLast="0" w:name="_heading=h.9phdh1mv3ezm" w:id="0"/>
      <w:bookmarkEnd w:id="0"/>
      <w:r w:rsidDel="00000000" w:rsidR="00000000" w:rsidRPr="00000000">
        <w:rPr>
          <w:b w:val="1"/>
          <w:bCs w:val="1"/>
          <w:color w:val="0067b1"/>
          <w:rtl w:val="0"/>
        </w:rPr>
        <w:t xml:space="preserve">3. Proyectos disponibles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En el archivo brochure se pueden consultar los proyectos disponibles, incluyendo información de cada proyecto y un mapa 360.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4" w:hanging="288"/>
      </w:pPr>
      <w:rPr/>
    </w:lvl>
    <w:lvl w:ilvl="1">
      <w:start w:val="1"/>
      <w:numFmt w:val="bullet"/>
      <w:lvlText w:val="◦"/>
      <w:lvlJc w:val="left"/>
      <w:pPr>
        <w:ind w:left="936" w:hanging="288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QsI9BHErcfBaWOocmyuERJGaDg==">CgMxLjAyDmguOXBoZGgxbXYzZXptOAByITFjSmFDaFYwenRQOXJERHJrZWxuZ1ZXT093VDl4UGVjdQ==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