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70618" w14:textId="03047FDA" w:rsidR="005F244D" w:rsidRDefault="005F244D" w:rsidP="00072F75">
      <w:pPr>
        <w:jc w:val="center"/>
        <w:rPr>
          <w:rFonts w:asciiTheme="majorBidi" w:hAnsiTheme="majorBidi" w:cstheme="majorBidi"/>
          <w:b/>
          <w:bCs/>
          <w:color w:val="000000" w:themeColor="text1"/>
          <w:sz w:val="36"/>
          <w:szCs w:val="36"/>
          <w:lang w:val="en-US"/>
        </w:rPr>
      </w:pPr>
      <w:r w:rsidRPr="00072F75">
        <w:rPr>
          <w:rFonts w:asciiTheme="majorBidi" w:hAnsiTheme="majorBidi" w:cstheme="majorBidi"/>
          <w:b/>
          <w:bCs/>
          <w:color w:val="000000" w:themeColor="text1"/>
          <w:sz w:val="36"/>
          <w:szCs w:val="36"/>
          <w:lang w:val="en-US"/>
        </w:rPr>
        <w:t>Article Highlights</w:t>
      </w:r>
    </w:p>
    <w:p w14:paraId="5EA97588" w14:textId="77777777" w:rsidR="00072F75" w:rsidRPr="00072F75" w:rsidRDefault="00072F75" w:rsidP="00072F75">
      <w:pPr>
        <w:jc w:val="center"/>
        <w:rPr>
          <w:rFonts w:asciiTheme="majorBidi" w:hAnsiTheme="majorBidi" w:cstheme="majorBidi"/>
          <w:b/>
          <w:bCs/>
          <w:color w:val="000000" w:themeColor="text1"/>
          <w:sz w:val="36"/>
          <w:szCs w:val="36"/>
          <w:lang w:val="en-US"/>
        </w:rPr>
      </w:pPr>
    </w:p>
    <w:p w14:paraId="32E92484" w14:textId="7F2C1A71" w:rsidR="005F244D" w:rsidRDefault="005F244D" w:rsidP="00AD197A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E31181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An approach to solving predominantly elliptic steady-state convection-diffusion problems in a finite volume (FV) framework is presented.</w:t>
      </w:r>
    </w:p>
    <w:p w14:paraId="59FF4BD3" w14:textId="77777777" w:rsidR="00E31181" w:rsidRDefault="00E31181" w:rsidP="00E31181">
      <w:pPr>
        <w:pStyle w:val="ListParagraph"/>
        <w:jc w:val="both"/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</w:p>
    <w:p w14:paraId="05EA0E1D" w14:textId="3AC23DE9" w:rsidR="00E31181" w:rsidRPr="00E31181" w:rsidRDefault="0005488D" w:rsidP="00AD197A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05488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The method of QR decomposition is used to solve the local (standardised) linear least-squares problem.</w:t>
      </w:r>
    </w:p>
    <w:p w14:paraId="4AFE5ABF" w14:textId="77777777" w:rsidR="00AD197A" w:rsidRPr="00E31181" w:rsidRDefault="00AD197A" w:rsidP="00AD197A">
      <w:pPr>
        <w:pStyle w:val="ListParagraph"/>
        <w:jc w:val="both"/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</w:p>
    <w:p w14:paraId="352A9C9E" w14:textId="0BBED4CF" w:rsidR="005F244D" w:rsidRPr="00E31181" w:rsidRDefault="005F244D" w:rsidP="005F244D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E31181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For rigorous code verification, we employ the method of manufactured solutions (MMS).</w:t>
      </w:r>
    </w:p>
    <w:p w14:paraId="3EC729DF" w14:textId="77777777" w:rsidR="005F244D" w:rsidRPr="00E31181" w:rsidRDefault="005F244D" w:rsidP="005F244D">
      <w:pPr>
        <w:pStyle w:val="ListParagraph"/>
        <w:jc w:val="both"/>
        <w:rPr>
          <w:rFonts w:asciiTheme="majorBidi" w:hAnsiTheme="majorBidi" w:cstheme="majorBidi"/>
          <w:color w:val="000000" w:themeColor="text1"/>
          <w:sz w:val="24"/>
          <w:szCs w:val="24"/>
          <w:lang w:val="en-GB"/>
        </w:rPr>
      </w:pPr>
    </w:p>
    <w:p w14:paraId="799E2CFF" w14:textId="4E72B6A0" w:rsidR="005F244D" w:rsidRPr="00E31181" w:rsidRDefault="009A73C7" w:rsidP="005F244D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E31181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Current efforts in estimating the discretisation error are focused on </w:t>
      </w:r>
      <w:r w:rsidRPr="00E31181">
        <w:rPr>
          <w:rFonts w:asciiTheme="majorBidi" w:hAnsiTheme="majorBidi" w:cstheme="majorBidi"/>
          <w:i/>
          <w:iCs/>
          <w:color w:val="000000" w:themeColor="text1"/>
          <w:sz w:val="24"/>
          <w:szCs w:val="24"/>
          <w:lang w:val="en-US"/>
        </w:rPr>
        <w:t>a posteriori</w:t>
      </w:r>
      <w:r w:rsidRPr="00E31181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methods.</w:t>
      </w:r>
    </w:p>
    <w:p w14:paraId="44311C6F" w14:textId="77777777" w:rsidR="005F244D" w:rsidRPr="002C2309" w:rsidRDefault="005F244D" w:rsidP="005F244D">
      <w:pPr>
        <w:pStyle w:val="ListParagraph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14:paraId="65589186" w14:textId="3DC93E37" w:rsidR="00511839" w:rsidRPr="00E31181" w:rsidRDefault="00E31181" w:rsidP="005F244D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E31181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Despite having proven accurate for smooth problems, </w:t>
      </w:r>
      <w:r w:rsidRPr="0005488D">
        <w:rPr>
          <w:rFonts w:asciiTheme="majorBidi" w:hAnsiTheme="majorBidi" w:cstheme="majorBidi"/>
          <w:i/>
          <w:iCs/>
          <w:color w:val="000000" w:themeColor="text1"/>
          <w:sz w:val="24"/>
          <w:szCs w:val="24"/>
          <w:lang w:val="en-US"/>
        </w:rPr>
        <w:t>p</w:t>
      </w:r>
      <w:r w:rsidRPr="00E31181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-adaptation is typically not as successful when applied in the presence of singularities.</w:t>
      </w:r>
    </w:p>
    <w:sectPr w:rsidR="00511839" w:rsidRPr="00E311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91969"/>
    <w:multiLevelType w:val="hybridMultilevel"/>
    <w:tmpl w:val="28409F34"/>
    <w:lvl w:ilvl="0" w:tplc="DB0296D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44D"/>
    <w:rsid w:val="0005488D"/>
    <w:rsid w:val="00072F75"/>
    <w:rsid w:val="00511839"/>
    <w:rsid w:val="005F244D"/>
    <w:rsid w:val="0083186D"/>
    <w:rsid w:val="009A73C7"/>
    <w:rsid w:val="00AD197A"/>
    <w:rsid w:val="00E31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14C24"/>
  <w15:chartTrackingRefBased/>
  <w15:docId w15:val="{EDA39EC2-6135-4E07-B8A4-CD5E39CD8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244D"/>
    <w:pPr>
      <w:spacing w:after="200" w:line="276" w:lineRule="auto"/>
    </w:pPr>
    <w:rPr>
      <w:rFonts w:eastAsiaTheme="minorEastAsia"/>
      <w:lang w:eastAsia="zh-TW"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4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91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filipe.tenreiro1@gmail.com</dc:creator>
  <cp:keywords/>
  <dc:description/>
  <cp:lastModifiedBy>filipe.tenreiro1@gmail.com</cp:lastModifiedBy>
  <cp:revision>5</cp:revision>
  <dcterms:created xsi:type="dcterms:W3CDTF">2024-02-07T17:38:00Z</dcterms:created>
  <dcterms:modified xsi:type="dcterms:W3CDTF">2024-02-07T18:17:00Z</dcterms:modified>
</cp:coreProperties>
</file>