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7FD64F83" w14:textId="77777777">
      <w:pPr>
        <w:pStyle w:val="remarks-to-remove"/>
      </w:pPr>
      <w:r>
        <w:rPr>
          <w:rFonts w:ascii="Arial Nova" w:hAnsi="Arial Nova" w:eastAsia="Arial" w:cs="Noto Sans" w:asciiTheme="minorHAnsi" w:hAnsiTheme="minorHAnsi"/>
          <w:i/>
          <w:iCs/>
          <w:color w:val="C45911" w:themeColor="accent2" w:themeShade="BF"/>
          <w:sz w:val="22"/>
          <w:szCs w:val="22"/>
        </w:rPr>
        <w:t>This is a template for the expected content and structure. You may use any editing tool to prepare the report (LaTeX included). Keep it concise: the report is the evidence of your decisions, not a dump of code or test listings.</w:t>
      </w: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62F5378D" w14:textId="77777777">
      <w:pPr>
        <w:pStyle w:val="remarks-to-remove"/>
      </w:pPr>
      <w:r>
        <w:t>Google Antigravity (powered by Google DeepMind Gemini models) was utilized as an interactive AI pair programming assistant throughout the project lifecycle. It was employed for architectural scaffolding (Hexagonal / Ports &amp; Adapters), unit test generation and parameterized edge-case coverage, BDD Cucumber step definitions, Playwright browser automation scripts, Grafana k6 performance scenarios, and continuous report refinement. All architectural decisions, security rules, and code reviews were supervised and validated by the author.</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pPr>
        <w:jc w:val="center"/>
      </w:pPr>
      <w:r>
        <w:drawing>
          <wp:inline xmlns:a="http://schemas.openxmlformats.org/drawingml/2006/main" xmlns:pic="http://schemas.openxmlformats.org/drawingml/2006/picture">
            <wp:extent cx="5029200" cy="2711395"/>
            <wp:docPr id="100001" name="Picture 100001"/>
            <wp:cNvGraphicFramePr>
              <a:graphicFrameLocks noChangeAspect="1"/>
            </wp:cNvGraphicFramePr>
            <a:graphic>
              <a:graphicData uri="http://schemas.openxmlformats.org/drawingml/2006/picture">
                <pic:pic>
                  <pic:nvPicPr>
                    <pic:cNvPr id="0" name="parcel_lifecycle_v2.png"/>
                    <pic:cNvPicPr/>
                  </pic:nvPicPr>
                  <pic:blipFill>
                    <a:blip r:embed="rId19"/>
                    <a:stretch>
                      <a:fillRect/>
                    </a:stretch>
                  </pic:blipFill>
                  <pic:spPr>
                    <a:xfrm>
                      <a:off x="0" y="0"/>
                      <a:ext cx="5029200" cy="2711395"/>
                    </a:xfrm>
                    <a:prstGeom prst="rect"/>
                  </pic:spPr>
                </pic:pic>
              </a:graphicData>
            </a:graphic>
          </wp:inline>
        </w:drawing>
      </w:r>
    </w:p>
    <w:p>
      <w:pPr>
        <w:jc w:val="center"/>
      </w:pPr>
      <w:r>
        <w:rPr>
          <w:rFonts w:ascii="Calibri" w:hAnsi="Calibri"/>
          <w:b w:val="0"/>
          <w:i/>
          <w:color w:val="64748B"/>
          <w:sz w:val="18"/>
        </w:rPr>
        <w:t>Figure 1: TuttiBox Parcel Finite State Machine Lifecycle</w:t>
      </w:r>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p>
      <w:pPr>
        <w:jc w:val="center"/>
      </w:pPr>
      <w:r>
        <w:drawing>
          <wp:inline xmlns:a="http://schemas.openxmlformats.org/drawingml/2006/main" xmlns:pic="http://schemas.openxmlformats.org/drawingml/2006/picture">
            <wp:extent cx="5029200" cy="2873829"/>
            <wp:docPr id="100002" name="Picture 10000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2873829"/>
                    </a:xfrm>
                    <a:prstGeom prst="rect"/>
                  </pic:spPr>
                </pic:pic>
              </a:graphicData>
            </a:graphic>
          </wp:inline>
        </w:drawing>
      </w:r>
    </w:p>
    <w:p>
      <w:pPr>
        <w:jc w:val="center"/>
      </w:pPr>
      <w:r>
        <w:rPr>
          <w:rFonts w:ascii="Calibri" w:hAnsi="Calibri"/>
          <w:b w:val="0"/>
          <w:i/>
          <w:color w:val="64748B"/>
          <w:sz w:val="18"/>
        </w:rPr>
        <w:t>Figure 2: TuttiBox Hexagonal Architecture (Ports and Adapters)</w:t>
      </w:r>
    </w:p>
    <w:p w14:paraId="4FA345C1" w14:textId="765B2267">
      <w:pPr>
        <w:pStyle w:val="remarks-to-remove"/>
        <w:spacing w:after="40"/>
        <w:jc w:val="center"/>
      </w:pPr>
      <w:r>
        <w:rPr>
          <w:rFonts w:ascii="Arial Nova" w:hAnsi="Arial Nova" w:eastAsia="Arial" w:cs="Noto Sans"/>
          <w:i/>
          <w:iCs/>
          <w:color w:val="C00000"/>
          <w:sz w:val="22"/>
          <w:szCs w:val="22"/>
        </w:rPr>
        <w:t>Show where the “ports” are (persistence, locker hardware, geolocation, notifications) and which adapters and test doubles plug into them.&gt;</w:t>
      </w:r>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pStyle w:val="remarks-to-remove"/>
        <w:spacing w:before="0" w:after="120" w:line="276" w:lineRule="auto"/>
        <w:jc w:val="left"/>
      </w:pPr>
      <w:r>
        <w:rPr>
          <w:rFonts w:ascii="Arial Nova" w:hAnsi="Arial Nova" w:eastAsia="Arial" w:cs="Noto Sans"/>
          <w:color w:val="000000"/>
          <w:sz w:val="22"/>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br w:type="textWrapping"/>
      </w:r>
      <w:r>
        <w:br w:type="textWrapping"/>
      </w:r>
      <w:r>
        <w:rPr>
          <w:rFonts w:ascii="Arial Nova" w:hAnsi="Arial Nova" w:eastAsia="Arial" w:cs="Noto Sans"/>
          <w:color w:val="000000"/>
          <w:sz w:val="22"/>
          <w:szCs w:val="22"/>
        </w:rPr>
        <w:t>All endpoints follow standard HTTP semantics:</w:t>
      </w:r>
      <w:r>
        <w:br w:type="textWrapping"/>
      </w:r>
      <w:r>
        <w:rPr>
          <w:rFonts w:ascii="Arial Nova" w:hAnsi="Arial Nova" w:eastAsia="Arial" w:cs="Noto Sans"/>
          <w:color w:val="000000"/>
          <w:sz w:val="22"/>
          <w:szCs w:val="22"/>
        </w:rPr>
        <w:t>• 200 OK: Successful read or state update operation.</w:t>
      </w:r>
      <w:r>
        <w:br w:type="textWrapping"/>
      </w:r>
      <w:r>
        <w:rPr>
          <w:rFonts w:ascii="Arial Nova" w:hAnsi="Arial Nova" w:eastAsia="Arial" w:cs="Noto Sans"/>
          <w:color w:val="000000"/>
          <w:sz w:val="22"/>
          <w:szCs w:val="22"/>
        </w:rPr>
        <w:t>• 201 Created: New resource successfully created (e.g., parcel registered and locker reserved).</w:t>
      </w:r>
      <w:r>
        <w:br w:type="textWrapping"/>
      </w:r>
      <w:r>
        <w:rPr>
          <w:rFonts w:ascii="Arial Nova" w:hAnsi="Arial Nova" w:eastAsia="Arial" w:cs="Noto Sans"/>
          <w:color w:val="000000"/>
          <w:sz w:val="22"/>
          <w:szCs w:val="22"/>
        </w:rPr>
        <w:t>• 400 Bad Request: Validation failure (e.g., malformed PIN or invalid dimension size).</w:t>
      </w:r>
      <w:r>
        <w:br w:type="textWrapping"/>
      </w:r>
      <w:r>
        <w:rPr>
          <w:rFonts w:ascii="Arial Nova" w:hAnsi="Arial Nova" w:eastAsia="Arial" w:cs="Noto Sans"/>
          <w:color w:val="000000"/>
          <w:sz w:val="22"/>
          <w:szCs w:val="22"/>
        </w:rPr>
        <w:t>• 404 Not Found: Target parcel, station, or compartment does not exist.</w:t>
      </w:r>
      <w:r>
        <w:br w:type="textWrapping"/>
      </w:r>
      <w:r>
        <w:rPr>
          <w:rFonts w:ascii="Arial Nova" w:hAnsi="Arial Nova" w:eastAsia="Arial" w:cs="Noto Sans"/>
          <w:color w:val="000000"/>
          <w:sz w:val="22"/>
          <w:szCs w:val="22"/>
        </w:rPr>
        <w:t>• 409 Conflict: Business rule violation (e.g., no locker available of the requested size, or parcel already collected).</w:t>
      </w:r>
      <w:r>
        <w:br w:type="textWrapping"/>
      </w:r>
      <w:r>
        <w:rPr>
          <w:rFonts w:ascii="Arial Nova" w:hAnsi="Arial Nova" w:eastAsia="Arial" w:cs="Noto Sans"/>
          <w:color w:val="000000"/>
          <w:sz w:val="22"/>
          <w:szCs w:val="22"/>
        </w:rPr>
        <w:t>• 429 Too Many Requests: Security threshold exceeded (terminal locked for 60 seconds after 3 failed PIN attempts).</w:t>
      </w:r>
      <w:r>
        <w:br w:type="textWrapping"/>
      </w:r>
      <w:r>
        <w:br w:type="textWrapping"/>
      </w:r>
      <w:r>
        <w:rPr>
          <w:rFonts w:ascii="Arial Nova" w:hAnsi="Arial Nova" w:eastAsia="Arial" w:cs="Noto Sans"/>
          <w:color w:val="000000"/>
          <w:sz w:val="22"/>
          <w:szCs w:val="22"/>
        </w:rPr>
        <w:t>Error responses consistently follow the RFC 7807 (Problem Details) standard, returning a structured JSON payload containing type, title, status, detail, and instance (for example, informing the client about remaining lockout time).</w:t>
      </w:r>
      <w:r>
        <w:br w:type="textWrapping"/>
      </w:r>
      <w:r>
        <w:br w:type="textWrapping"/>
      </w:r>
      <w:r>
        <w:rPr>
          <w:rFonts w:ascii="Arial Nova" w:hAnsi="Arial Nova" w:eastAsia="Arial" w:cs="Noto Sans"/>
          <w:color w:val="000000"/>
          <w:sz w:val="22"/>
          <w:szCs w:val="22"/>
        </w:rPr>
        <w:t>Core API Endpoints Summary:</w:t>
      </w:r>
      <w:r>
        <w:br w:type="textWrapping"/>
      </w:r>
      <w:r>
        <w:rPr>
          <w:rFonts w:ascii="Arial Nova" w:hAnsi="Arial Nova" w:eastAsia="Arial" w:cs="Noto Sans"/>
          <w:color w:val="000000"/>
          <w:sz w:val="22"/>
          <w:szCs w:val="22"/>
        </w:rPr>
        <w:t>1. Parcels (/api/v1/parcels)</w:t>
      </w:r>
      <w:r>
        <w:br w:type="textWrapping"/>
      </w:r>
      <w:r>
        <w:rPr>
          <w:rFonts w:ascii="Arial Nova" w:hAnsi="Arial Nova" w:eastAsia="Arial" w:cs="Noto Sans"/>
          <w:color w:val="000000"/>
          <w:sz w:val="22"/>
          <w:szCs w:val="22"/>
        </w:rPr>
        <w:t>• POST /api/v1/parcels — Registers a new delivery parcel and reserves a compatible compartment (201 Created, 409 Conflict).</w:t>
      </w:r>
      <w:r>
        <w:br w:type="textWrapping"/>
      </w:r>
      <w:r>
        <w:rPr>
          <w:rFonts w:ascii="Arial Nova" w:hAnsi="Arial Nova" w:eastAsia="Arial" w:cs="Noto Sans"/>
          <w:color w:val="000000"/>
          <w:sz w:val="22"/>
          <w:szCs w:val="22"/>
        </w:rPr>
        <w:t>• GET /api/v1/parcels/{trackingCode} — Retrieves parcel status and its full transition audit trail (200 OK, 404 Not Found).</w:t>
      </w:r>
      <w:r>
        <w:br w:type="textWrapping"/>
      </w:r>
      <w:r>
        <w:rPr>
          <w:rFonts w:ascii="Arial Nova" w:hAnsi="Arial Nova" w:eastAsia="Arial" w:cs="Noto Sans"/>
          <w:color w:val="000000"/>
          <w:sz w:val="22"/>
          <w:szCs w:val="22"/>
        </w:rPr>
        <w:t>• POST /api/v1/parcels/{trackingCode}/cancel — Partner cancels shipment before courier deposit, releasing the reserved compartment (200 OK, 409 Conflict).</w:t>
      </w:r>
      <w:r>
        <w:br w:type="textWrapping"/>
      </w:r>
      <w:r>
        <w:rPr>
          <w:rFonts w:ascii="Arial Nova" w:hAnsi="Arial Nova" w:eastAsia="Arial" w:cs="Noto Sans"/>
          <w:color w:val="000000"/>
          <w:sz w:val="22"/>
          <w:szCs w:val="22"/>
        </w:rPr>
        <w:t>• POST /api/v1/parcels/{trackingCode}/help — Recipient reports a hardware/delivery issue; flags the compartment as OUT_OF_SERVICE if the parcel is deposited (200 OK, 404 Not Found).</w:t>
      </w:r>
      <w:r>
        <w:br w:type="textWrapping"/>
      </w:r>
      <w:r>
        <w:br w:type="textWrapping"/>
      </w:r>
      <w:r>
        <w:rPr>
          <w:rFonts w:ascii="Arial Nova" w:hAnsi="Arial Nova" w:eastAsia="Arial" w:cs="Noto Sans"/>
          <w:color w:val="000000"/>
          <w:sz w:val="22"/>
          <w:szCs w:val="22"/>
        </w:rPr>
        <w:t>2. Locker Stations (/api/v1/stations)</w:t>
      </w:r>
      <w:r>
        <w:br w:type="textWrapping"/>
      </w:r>
      <w:r>
        <w:rPr>
          <w:rFonts w:ascii="Arial Nova" w:hAnsi="Arial Nova" w:eastAsia="Arial" w:cs="Noto Sans"/>
          <w:color w:val="000000"/>
          <w:sz w:val="22"/>
          <w:szCs w:val="22"/>
        </w:rPr>
        <w:t>• GET /api/v1/stations — Lists all locker stations, supporting geographic proximity filtering via cached geocoding (200 OK).</w:t>
      </w:r>
      <w:r>
        <w:br w:type="textWrapping"/>
      </w:r>
      <w:r>
        <w:rPr>
          <w:rFonts w:ascii="Arial Nova" w:hAnsi="Arial Nova" w:eastAsia="Arial" w:cs="Noto Sans"/>
          <w:color w:val="000000"/>
          <w:sz w:val="22"/>
          <w:szCs w:val="22"/>
        </w:rPr>
        <w:t>• GET /api/v1/stations/{stationId}/availability — Returns real-time availability of free compartments grouped by size (S, M, L) (200 OK).</w:t>
      </w:r>
      <w:r>
        <w:br w:type="textWrapping"/>
      </w:r>
      <w:r>
        <w:br w:type="textWrapping"/>
      </w:r>
      <w:r>
        <w:rPr>
          <w:rFonts w:ascii="Arial Nova" w:hAnsi="Arial Nova" w:eastAsia="Arial" w:cs="Noto Sans"/>
          <w:color w:val="000000"/>
          <w:sz w:val="22"/>
          <w:szCs w:val="22"/>
        </w:rPr>
        <w:t>3. Terminal Simulation &amp; Hardware (/api/v1/terminals)</w:t>
      </w:r>
      <w:r>
        <w:br w:type="textWrapping"/>
      </w:r>
      <w:r>
        <w:rPr>
          <w:rFonts w:ascii="Arial Nova" w:hAnsi="Arial Nova" w:eastAsia="Arial" w:cs="Noto Sans"/>
          <w:color w:val="000000"/>
          <w:sz w:val="22"/>
          <w:szCs w:val="22"/>
        </w:rPr>
        <w:t>• POST /api/v1/terminals/{stationId}/pickup — Validates recipient 6-digit PIN and unlocks the assigned compartment door (200 OK, 400 Bad Request, 404 Not Found, 429 Too Many Requests).</w:t>
      </w:r>
      <w:r>
        <w:br w:type="textWrapping"/>
      </w:r>
      <w:r>
        <w:rPr>
          <w:rFonts w:ascii="Arial Nova" w:hAnsi="Arial Nova" w:eastAsia="Arial" w:cs="Noto Sans"/>
          <w:color w:val="000000"/>
          <w:sz w:val="22"/>
          <w:szCs w:val="22"/>
        </w:rPr>
        <w:t>• POST /api/v1/terminals/{stationId}/dropoff — Validates courier drop-off code to deposit parcel (200 OK, 409 Conflict).</w:t>
      </w:r>
      <w:r>
        <w:br w:type="textWrapping"/>
      </w:r>
      <w:r>
        <w:rPr>
          <w:rFonts w:ascii="Arial Nova" w:hAnsi="Arial Nova" w:eastAsia="Arial" w:cs="Noto Sans"/>
          <w:color w:val="000000"/>
          <w:sz w:val="22"/>
          <w:szCs w:val="22"/>
        </w:rPr>
        <w:t>• POST /api/v1/terminals/{stationId}/events/door-closed — Hardware callback registering that a door was physically closed, advancing the parcel state (200 OK).</w:t>
      </w:r>
      <w:r>
        <w:br w:type="textWrapping"/>
      </w:r>
      <w:r>
        <w:br w:type="textWrapping"/>
      </w:r>
      <w:r>
        <w:rPr>
          <w:rFonts w:ascii="Arial Nova" w:hAnsi="Arial Nova" w:eastAsia="Arial" w:cs="Noto Sans"/>
          <w:color w:val="000000"/>
          <w:sz w:val="22"/>
          <w:szCs w:val="22"/>
        </w:rPr>
        <w:t>4. Operator Maintenance (/api/v1/operator)</w:t>
      </w:r>
      <w:r>
        <w:br w:type="textWrapping"/>
      </w:r>
      <w:r>
        <w:rPr>
          <w:rFonts w:ascii="Arial Nova" w:hAnsi="Arial Nova" w:eastAsia="Arial" w:cs="Noto Sans"/>
          <w:color w:val="000000"/>
          <w:sz w:val="22"/>
          <w:szCs w:val="22"/>
        </w:rPr>
        <w:t>• PUT /api/v1/operator/compartments/{id}/status — Updates compartment status to OUT_OF_SERVICE or restores it to FREE, requiring a mandatory maintenanceNote (200 OK, 400 Bad Request).</w:t>
      </w:r>
      <w:r>
        <w:br w:type="textWrapping"/>
      </w:r>
      <w:r>
        <w:rPr>
          <w:rFonts w:ascii="Arial Nova" w:hAnsi="Arial Nova" w:eastAsia="Arial" w:cs="Noto Sans"/>
          <w:color w:val="000000"/>
          <w:sz w:val="22"/>
          <w:szCs w:val="22"/>
        </w:rPr>
        <w:t>• POST /api/v1/operator/parcels/{trackingCode}/relocate — Relocates a parcel stuck in a jammed door to an operational compartment (200 OK, 409 Conflict).</w:t>
      </w:r>
      <w:r>
        <w:br w:type="textWrapping"/>
      </w:r>
      <w:r>
        <w:rPr>
          <w:rFonts w:ascii="Arial Nova" w:hAnsi="Arial Nova" w:eastAsia="Arial" w:cs="Noto Sans"/>
          <w:color w:val="000000"/>
          <w:sz w:val="22"/>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Vulnerabilidades,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rPr>
                <w:rFonts w:ascii="Calibri" w:hAnsi="Calibri"/>
                <w:b/>
                <w:i w:val="0"/>
                <w:color w:val="222222"/>
                <w:sz w:val="21"/>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docs/tuttibox_demo.webm (Recorded walkthrough in repository covering OpenAPI, Courier Dropoff, Customer Pickup, Security Lockout, and Operator Dashboard)</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https://github.com/FilipeNogue1ra/HW1-119495/actions</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14:paraId="7677BF7B" w14:textId="77777777">
      <w:pPr>
        <w:pStyle w:val="remarks-to-remove"/>
      </w:pPr>
      <w:r/>
    </w:p>
    <w:p>
      <w:r>
        <w:t>• Source Repository: https://github.com/FilipeNogue1ra/HW1-119495</w:t>
      </w:r>
    </w:p>
    <w:p>
      <w:r>
        <w:t>• Core Frameworks: Spring Boot 3.4.2 (Web, Data JPA, Thymeleaf), PostgreSQL 16, H2 Database.</w:t>
      </w:r>
    </w:p>
    <w:p>
      <w:r>
        <w:rPr>
          <w:rFonts w:ascii="Calibri" w:hAnsi="Calibri"/>
          <w:b w:val="0"/>
          <w:i w:val="0"/>
          <w:color w:val="222222"/>
          <w:sz w:val="20"/>
        </w:rPr>
        <w:t>• Testing Stack: JUnit 6 (Jupiter 6.1.3 BOM), Mockito 5.23.0, AssertJ, Cucumber BDD 7.21, Microsoft Playwright 1.63.0, Testcontainers 1.20, Grafana k6 v2.2.0, Maven Surefire 3.6.0, JaCoCo 0.8.15, SonarQube Cloud (Quality Gate Passed).</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