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v2026-10-30</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rPr>
          <w:rFonts w:ascii="Calibri" w:hAnsi="Calibri"/>
          <w:b w:val="0"/>
          <w:i w:val="0"/>
          <w:color w:val="222222"/>
          <w:sz w:val="20"/>
        </w:rPr>
        <w:t>This report presents the midterm individual project required for TQS, covering both the software product features and the adopted quality assurance strategy.</w:t>
      </w:r>
    </w:p>
    <w:p w14:paraId="02A40E3F">
      <w:pPr>
        <w:contextualSpacing/>
        <w:spacing w:after="60"/>
      </w:pPr>
      <w:r>
        <w:rPr>
          <w:rFonts w:ascii="Calibri" w:hAnsi="Calibri"/>
          <w:b w:val="0"/>
          <w:i w:val="0"/>
          <w:color w:val="222222"/>
          <w:sz w:val="20"/>
        </w:rPr>
        <w:t>The developed platform, TuttiBox, is a full-stack smart parcel locker management application built with Spring Boot 3.4.2 and PostgreSQL 16 that orchestrates the complete lifecycle of parcels across smart locker stations in Aveiro (sizes S, M, and L). It provides a RESTful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rPr>
          <w:rFonts w:ascii="Calibri" w:hAnsi="Calibri"/>
          <w:b w:val="0"/>
          <w:i w:val="0"/>
          <w:color w:val="222222"/>
          <w:sz w:val="20"/>
        </w:rPr>
        <w:t>Current Implementation Status: All core functional use cases (UC1 to UC6) and domain business rules (BR1 to BR7) are covered by dedicated test suites spanning unit, slice, integration, BDD, and E2E layers, achieving a 100% pass rate across all 70 automated test executions in the Maven test lifecycle.</w:t>
        <w:br/>
        <w:br/>
        <w:t>Limitations &amp; Execution Constraints: In containerized environments (such as GitHub Actions CI), integration suites execute against official PostgreSQL 16 containers via Testcontainers; in bare-metal host environments without a running Docker daemon, the suite gracefully falls back without breaking build execution. Cyber-physical locker hardware actuators and external OpenStreetMap Nominatim geocoding are decoupled and emulated via in-memory test doubles (InMemoryHardwareFake and InMemoryGeocodingFake) during automated test execution to guarantee determinism, prevent network flakiness, and avoid external API rate limits.</w:t>
        <w:br/>
        <w:br/>
        <w:t>Extras Implemented: An interactive cyber-physical locker terminal simulator with solenoid status badges, simulated door closure events, WCAG 2.1 high-contrast keyboard navigation, and a 60-second anti-brute-force lockout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rPr>
          <w:rFonts w:ascii="Calibri" w:hAnsi="Calibri"/>
          <w:b w:val="0"/>
          <w:i w:val="0"/>
          <w:color w:val="222222"/>
          <w:sz w:val="20"/>
        </w:rPr>
        <w:t>Google Antigravity (powered by Google DeepMind Gemini models) was utilized as an interactive AI pair programming assistant for architectural scaffolding, generating test templates (Cucumber Gherkin, Playwright, k6), and structuring documentation.</w:t>
        <w:br/>
        <w:br/>
        <w:t>Auditing &amp; Code Verification: All core business logic, JPA transactional isolation policies, state machine guards, and security mechanisms were audited, verified, and tuned by the author. During static code analysis, when SonarQube Cloud flagged a CWE-117 Log Injection security hotspot (javasecurity:S5145) from user-controlled HTTP parameters reaching logger statements, the author manually audited the dataflow and implemented a deterministic CRLF sanitization helper in TerminalService and NominatimGeocodingAdapter, severing the taint flow and clearing the issue.</w:t>
      </w:r>
    </w:p>
    <w:p w14:paraId="62F5378D" w14:textId="77777777">
      <w:pPr>
        <w:pStyle w:val="remarks-to-remove"/>
      </w:pPr>
      <w:r>
        <w:t>Google Antigravity (powered by Google DeepMind Gemini models) was utilized as an interactive AI pair programming assistant throughout the project lifecycle. It was employed for architectural scaffolding (Hexagonal / Ports &amp; Adapters), unit test generation and parameterized edge-case coverage, BDD Cucumber step definitions, Playwright browser automation scripts, Grafana k6 performance scenarios, and continuous report refinement. All architectural decisions, security rules, and code reviews were supervised and validated by the author.</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keepNext/>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keepNext/>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keepNext/>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keepNext/>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Unit + Web Slice + Integration (Postgres)</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pPr>
        <w:keepNext/>
        <w:jc w:val="center"/>
      </w:pPr>
      <w:r>
        <w:drawing>
          <wp:inline xmlns:a="http://schemas.openxmlformats.org/drawingml/2006/main" xmlns:pic="http://schemas.openxmlformats.org/drawingml/2006/picture">
            <wp:extent cx="5029200" cy="3448223"/>
            <wp:docPr id="1" name="Picture 1"/>
            <wp:cNvGraphicFramePr>
              <a:graphicFrameLocks noChangeAspect="1"/>
            </wp:cNvGraphicFramePr>
            <a:graphic>
              <a:graphicData uri="http://schemas.openxmlformats.org/drawingml/2006/picture">
                <pic:pic>
                  <pic:nvPicPr>
                    <pic:cNvPr id="0" name="parcel_state_machine.png"/>
                    <pic:cNvPicPr/>
                  </pic:nvPicPr>
                  <pic:blipFill>
                    <a:blip r:embed="rId19"/>
                    <a:stretch>
                      <a:fillRect/>
                    </a:stretch>
                  </pic:blipFill>
                  <pic:spPr>
                    <a:xfrm>
                      <a:off x="0" y="0"/>
                      <a:ext cx="5029200" cy="3448223"/>
                    </a:xfrm>
                    <a:prstGeom prst="rect"/>
                  </pic:spPr>
                </pic:pic>
              </a:graphicData>
            </a:graphic>
          </wp:inline>
        </w:drawing>
      </w:r>
    </w:p>
    <w:p>
      <w:pPr>
        <w:jc w:val="center"/>
      </w:pPr>
      <w:r>
        <w:rPr>
          <w:rFonts w:ascii="Calibri" w:hAnsi="Calibri"/>
          <w:b w:val="0"/>
          <w:i/>
          <w:color w:val="64748B"/>
          <w:sz w:val="18"/>
        </w:rPr>
        <w:t>Figure 1: TuttiBox Parcel Lifecycle Finite State Machine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keepNext/>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keepNext/>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keepNext/>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keepNext/>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keepNext/>
            </w:pPr>
            <w:r/>
            <w:r>
              <w:rPr>
                <w:rFonts w:ascii="Arial Nova" w:hAnsi="Arial Nova" w:eastAsia="Arial" w:cs="Noto Sans"/>
                <w:b/>
                <w:bCs/>
                <w:color w:val="000000"/>
                <w:sz w:val="20"/>
                <w:szCs w:val="22"/>
              </w:rPr>
              <w:t>Compartment Effect</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t>Compartment States (CompartmentState) and Issue Reporting: 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 — 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keepNext/>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keepNext/>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keepNext/>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keepNext/>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keepNext/>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w:t>
              <w:br/>
              <w:t>PessimisticLockingPostgresTest (Integration with Testcontainers PostgreSQL 16)</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 with Clock)</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 with Clock)</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TerminalServiceTest (Unit)</w:t>
              <w:br/>
              <w:t>security_lockout.feature (Cucumber BDD)</w:t>
              <w:br/>
              <w:t>TerminalPlaywrightTest (E2E)</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InMemoryHardwareFakeTest (Unit)</w:t>
              <w:br/>
              <w:t>hardware_failure.feature (Cucumber BDD on pickup opening)</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InMemoryHardwareFakeTest (Unit)</w:t>
              <w:br/>
              <w:t>TerminalServiceTest (Unit)</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InMemoryHardwareFakeTest (Unit)</w:t>
              <w:br/>
              <w:t>TerminalServiceTest (Unit)</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OperatorPlaywrightTest (E2E)</w:t>
              <w:br/>
              <w:t>TerminalServiceTest (Unit)</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keepNext/>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keepNext/>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keepNext/>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keepNext/>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Performance &amp; Load Resilience: Under sustained nominal load (20 concurrent VUs) and sudden traffic bursts (spike to 60 VUs), the 95th percentile (p95) response time for station lookup (UC1) and parcel registration (UC2) must remain below 250 ms (with p99 &lt; 500 ms), and the measured HTTP error rate must remain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Automated k6 load &amp; spike test suite (scripts/performance_test.js) executed in local test environment against the running application. Measured results: error rate 0.00% (well within &lt; 1% SLA), average latency 3.18 ms, p95 5.50 ms, and p99 8.20 ms (easily meeting the p95 &lt; 250 ms and p99 &lt; 500 ms thresholds defined in the script).</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Automated Playwright keyboard navigation tests verifying that all kiosk controls and keypad buttons can be fully operated via keyboard tab/enter keys with high-contrast visible focus rings. Formal full-criteria WCAG AA automated scanning is identified as future work.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Unit tests (TerminalServiceTest), Cucumber BDD scenarios (security_lockout.feature), and Playwright E2E tests (TerminalPlaywrightTest) verifying that 3 consecutive invalid PINs trigger a 60-second terminal lockout.</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Unit and integration tests with InMemoryGeocodingFake verifying geocoding caching (via Caffeine), distance calculation, and graceful fallback when address coordinates cannot be resolved, avoiding external API network flakiness.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keepNext/>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keepNext/>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keepNext/>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Automated tests and load tests NEVER call the live OpenStreetMap servers. Instead, an Outbound Adapter stub or InMemoryGeocodingFake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r>
        <w:rPr>
          <w:rFonts w:ascii="Calibri" w:hAnsi="Calibri"/>
          <w:b w:val="0"/>
          <w:i w:val="0"/>
          <w:color w:val="222222"/>
          <w:sz w:val="20"/>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br/>
        <w:br/>
        <w:t>Security and Authentication Architecture:</w:t>
        <w:br/>
        <w:t>In strict compliance with the TQS project specification, TuttiBox does not require conventional user session authentication (no user accounts, passwords, or JWT bearer tokens are required for clients, online shops, or couriers). However, parcel pickup operations (UC4) at /api/v1/terminals/{stationCode}/pickup enforce possession-credential authentication via a single-use 6-digit PIN. If an invalid PIN is submitted, the terminal controller returns HTTP 401 Unauthorized (RFC 7807 ProblemDetail title: INVALID_PIN). To prevent brute-force attacks against the 6-digit PIN space, a sliding attempt window enforces a 60-second terminal lockout after 3 consecutive failed attempts, responding with HTTP 429 Too Many Requests (ProblemDetail title: TERMINAL_LOCKED).</w:t>
        <w:br/>
        <w:br/>
        <w:t>Standard HTTP Response Semantics:</w:t>
        <w:br/>
        <w:t>• 200 OK: Successful query, station lookup, or state update operation.</w:t>
        <w:br/>
        <w:t>• 201 Created: Successful parcel registration and compartment reservation.</w:t>
        <w:br/>
        <w:t>• 400 Bad Request: Malformed JSON payload or invalid parameter formats (@Valid Bean Validation).</w:t>
        <w:br/>
        <w:t>• 401 Unauthorized: Invalid 6-digit pickup PIN entered at the locker terminal (INVALID_PIN).</w:t>
        <w:br/>
        <w:t>• 404 Not Found: Target parcel tracking code, station code, or compartment does not exist.</w:t>
        <w:br/>
        <w:t>• 409 Conflict: Domain business rule rejection (station full, incompatible state transition, or compartment not free).</w:t>
        <w:br/>
        <w:t>• 429 Too Many Requests: Terminal safety lockout enforced after 3 consecutive failed PIN attempts (TERMINAL_LOCKED).</w:t>
        <w:br/>
        <w:t>• 500 Internal Server Error: Unhandled infrastructure exception mapped to a standardized RFC 7807 ProblemDetail.</w:t>
      </w:r>
    </w:p>
    <w:p w14:paraId="22D00038" w14:textId="77777777">
      <w:pPr>
        <w:pStyle w:val="remarks-to-remove"/>
        <w:spacing w:before="0" w:after="120" w:line="276" w:lineRule="auto"/>
        <w:jc w:val="left"/>
      </w:pPr>
      <w:r>
        <w:rPr>
          <w:rFonts w:ascii="Arial Nova" w:hAnsi="Arial Nova" w:eastAsia="Arial" w:cs="Noto Sans"/>
          <w:color w:val="000000"/>
          <w:sz w:val="22"/>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br w:type="textWrapping"/>
      </w:r>
      <w:r>
        <w:br w:type="textWrapping"/>
      </w:r>
      <w:r>
        <w:rPr>
          <w:rFonts w:ascii="Arial Nova" w:hAnsi="Arial Nova" w:eastAsia="Arial" w:cs="Noto Sans"/>
          <w:color w:val="000000"/>
          <w:sz w:val="22"/>
          <w:szCs w:val="22"/>
        </w:rPr>
        <w:t>All endpoints follow standard HTTP semantics:</w:t>
      </w:r>
      <w:r>
        <w:br w:type="textWrapping"/>
      </w:r>
      <w:r>
        <w:rPr>
          <w:rFonts w:ascii="Arial Nova" w:hAnsi="Arial Nova" w:eastAsia="Arial" w:cs="Noto Sans"/>
          <w:color w:val="000000"/>
          <w:sz w:val="22"/>
          <w:szCs w:val="22"/>
        </w:rPr>
        <w:t>• 200 OK: Successful read or state update operation.</w:t>
      </w:r>
      <w:r>
        <w:br w:type="textWrapping"/>
      </w:r>
      <w:r>
        <w:rPr>
          <w:rFonts w:ascii="Arial Nova" w:hAnsi="Arial Nova" w:eastAsia="Arial" w:cs="Noto Sans"/>
          <w:color w:val="000000"/>
          <w:sz w:val="22"/>
          <w:szCs w:val="22"/>
        </w:rPr>
        <w:t>• 201 Created: New resource successfully created (e.g., parcel registered and locker reserved).</w:t>
      </w:r>
      <w:r>
        <w:br w:type="textWrapping"/>
      </w:r>
      <w:r>
        <w:rPr>
          <w:rFonts w:ascii="Arial Nova" w:hAnsi="Arial Nova" w:eastAsia="Arial" w:cs="Noto Sans"/>
          <w:color w:val="000000"/>
          <w:sz w:val="22"/>
          <w:szCs w:val="22"/>
        </w:rPr>
        <w:t>• 400 Bad Request: Validation failure (e.g., malformed PIN or invalid dimension size).</w:t>
      </w:r>
      <w:r>
        <w:br w:type="textWrapping"/>
      </w:r>
      <w:r>
        <w:rPr>
          <w:rFonts w:ascii="Arial Nova" w:hAnsi="Arial Nova" w:eastAsia="Arial" w:cs="Noto Sans"/>
          <w:color w:val="000000"/>
          <w:sz w:val="22"/>
          <w:szCs w:val="22"/>
        </w:rPr>
        <w:t>• 404 Not Found: Target parcel, station, or compartment does not exist.</w:t>
      </w:r>
      <w:r>
        <w:br w:type="textWrapping"/>
      </w:r>
      <w:r>
        <w:rPr>
          <w:rFonts w:ascii="Arial Nova" w:hAnsi="Arial Nova" w:eastAsia="Arial" w:cs="Noto Sans"/>
          <w:color w:val="000000"/>
          <w:sz w:val="22"/>
          <w:szCs w:val="22"/>
        </w:rPr>
        <w:t>• 409 Conflict: Business rule violation (e.g., no locker available of the requested size, or parcel already collected).</w:t>
      </w:r>
      <w:r>
        <w:br w:type="textWrapping"/>
      </w:r>
      <w:r>
        <w:rPr>
          <w:rFonts w:ascii="Arial Nova" w:hAnsi="Arial Nova" w:eastAsia="Arial" w:cs="Noto Sans"/>
          <w:color w:val="000000"/>
          <w:sz w:val="22"/>
          <w:szCs w:val="22"/>
        </w:rPr>
        <w:t>• 429 Too Many Requests: Security threshold exceeded (terminal locked for 60 seconds after 3 failed PIN attempts).</w:t>
      </w:r>
      <w:r>
        <w:br w:type="textWrapping"/>
      </w:r>
      <w:r>
        <w:br w:type="textWrapping"/>
      </w:r>
      <w:r>
        <w:rPr>
          <w:rFonts w:ascii="Arial Nova" w:hAnsi="Arial Nova" w:eastAsia="Arial" w:cs="Noto Sans"/>
          <w:color w:val="000000"/>
          <w:sz w:val="22"/>
          <w:szCs w:val="22"/>
        </w:rPr>
        <w:t>Error responses consistently follow the RFC 7807 (Problem Details) standard, returning a structured JSON payload containing type, title, status, detail, and instance (for example, informing the client about remaining lockout time).</w:t>
      </w:r>
      <w:r>
        <w:br w:type="textWrapping"/>
      </w:r>
      <w:r>
        <w:br w:type="textWrapping"/>
      </w:r>
      <w:r>
        <w:rPr>
          <w:rFonts w:ascii="Arial Nova" w:hAnsi="Arial Nova" w:eastAsia="Arial" w:cs="Noto Sans"/>
          <w:color w:val="000000"/>
          <w:sz w:val="22"/>
          <w:szCs w:val="22"/>
        </w:rPr>
        <w:t>Core API Endpoints Summary:</w:t>
      </w:r>
      <w:r>
        <w:br w:type="textWrapping"/>
      </w:r>
      <w:r>
        <w:rPr>
          <w:rFonts w:ascii="Arial Nova" w:hAnsi="Arial Nova" w:eastAsia="Arial" w:cs="Noto Sans"/>
          <w:color w:val="000000"/>
          <w:sz w:val="22"/>
          <w:szCs w:val="22"/>
        </w:rPr>
        <w:t>1. Parcels (/api/v1/parcels)</w:t>
      </w:r>
      <w:r>
        <w:br w:type="textWrapping"/>
      </w:r>
      <w:r>
        <w:rPr>
          <w:rFonts w:ascii="Arial Nova" w:hAnsi="Arial Nova" w:eastAsia="Arial" w:cs="Noto Sans"/>
          <w:color w:val="000000"/>
          <w:sz w:val="22"/>
          <w:szCs w:val="22"/>
        </w:rPr>
        <w:t>• POST /api/v1/parcels — Registers a new delivery parcel and reserves a compatible compartment (201 Created, 409 Conflict).</w:t>
      </w:r>
      <w:r>
        <w:br w:type="textWrapping"/>
      </w:r>
      <w:r>
        <w:rPr>
          <w:rFonts w:ascii="Arial Nova" w:hAnsi="Arial Nova" w:eastAsia="Arial" w:cs="Noto Sans"/>
          <w:color w:val="000000"/>
          <w:sz w:val="22"/>
          <w:szCs w:val="22"/>
        </w:rPr>
        <w:t>• GET /api/v1/parcels/{trackingCode} — Retrieves parcel status and its full transition audit trail (200 OK, 404 Not Found).</w:t>
      </w:r>
      <w:r>
        <w:br w:type="textWrapping"/>
      </w:r>
      <w:r>
        <w:rPr>
          <w:rFonts w:ascii="Arial Nova" w:hAnsi="Arial Nova" w:eastAsia="Arial" w:cs="Noto Sans"/>
          <w:color w:val="000000"/>
          <w:sz w:val="22"/>
          <w:szCs w:val="22"/>
        </w:rPr>
        <w:t>• POST /api/v1/parcels/{trackingCode}/cancel — Partner cancels shipment before courier deposit, releasing the reserved compartment (200 OK, 409 Conflict).</w:t>
      </w:r>
      <w:r>
        <w:br w:type="textWrapping"/>
      </w:r>
      <w:r>
        <w:rPr>
          <w:rFonts w:ascii="Arial Nova" w:hAnsi="Arial Nova" w:eastAsia="Arial" w:cs="Noto Sans"/>
          <w:color w:val="000000"/>
          <w:sz w:val="22"/>
          <w:szCs w:val="22"/>
        </w:rPr>
        <w:t>• POST /api/v1/parcels/{trackingCode}/help — Recipient reports a hardware/delivery issue; flags the compartment as OUT_OF_SERVICE if the parcel is deposited (200 OK, 404 Not Found).</w:t>
      </w:r>
      <w:r>
        <w:br w:type="textWrapping"/>
      </w:r>
      <w:r>
        <w:br w:type="textWrapping"/>
      </w:r>
      <w:r>
        <w:rPr>
          <w:rFonts w:ascii="Arial Nova" w:hAnsi="Arial Nova" w:eastAsia="Arial" w:cs="Noto Sans"/>
          <w:color w:val="000000"/>
          <w:sz w:val="22"/>
          <w:szCs w:val="22"/>
        </w:rPr>
        <w:t>2. Locker Stations (/api/v1/stations)</w:t>
      </w:r>
      <w:r>
        <w:br w:type="textWrapping"/>
      </w:r>
      <w:r>
        <w:rPr>
          <w:rFonts w:ascii="Arial Nova" w:hAnsi="Arial Nova" w:eastAsia="Arial" w:cs="Noto Sans"/>
          <w:color w:val="000000"/>
          <w:sz w:val="22"/>
          <w:szCs w:val="22"/>
        </w:rPr>
        <w:t>• GET /api/v1/stations — Lists all locker stations, supporting geographic proximity filtering via cached geocoding (200 OK).</w:t>
      </w:r>
      <w:r>
        <w:br w:type="textWrapping"/>
      </w:r>
      <w:r>
        <w:rPr>
          <w:rFonts w:ascii="Arial Nova" w:hAnsi="Arial Nova" w:eastAsia="Arial" w:cs="Noto Sans"/>
          <w:color w:val="000000"/>
          <w:sz w:val="22"/>
          <w:szCs w:val="22"/>
        </w:rPr>
        <w:t>• GET /api/v1/stations/{stationId}/availability — Returns real-time availability of free compartments grouped by size (S, M, L) (200 OK).</w:t>
      </w:r>
      <w:r>
        <w:br w:type="textWrapping"/>
      </w:r>
      <w:r>
        <w:br w:type="textWrapping"/>
      </w:r>
      <w:r>
        <w:rPr>
          <w:rFonts w:ascii="Arial Nova" w:hAnsi="Arial Nova" w:eastAsia="Arial" w:cs="Noto Sans"/>
          <w:color w:val="000000"/>
          <w:sz w:val="22"/>
          <w:szCs w:val="22"/>
        </w:rPr>
        <w:t>3. Terminal Simulation &amp; Hardware (/api/v1/terminals)</w:t>
      </w:r>
      <w:r>
        <w:br w:type="textWrapping"/>
      </w:r>
      <w:r>
        <w:rPr>
          <w:rFonts w:ascii="Arial Nova" w:hAnsi="Arial Nova" w:eastAsia="Arial" w:cs="Noto Sans"/>
          <w:color w:val="000000"/>
          <w:sz w:val="22"/>
          <w:szCs w:val="22"/>
        </w:rPr>
        <w:t>• POST /api/v1/terminals/{stationId}/pickup — Validates recipient 6-digit PIN and unlocks the assigned compartment door (200 OK, 400 Bad Request, 404 Not Found, 429 Too Many Requests).</w:t>
      </w:r>
      <w:r>
        <w:br w:type="textWrapping"/>
      </w:r>
      <w:r>
        <w:rPr>
          <w:rFonts w:ascii="Arial Nova" w:hAnsi="Arial Nova" w:eastAsia="Arial" w:cs="Noto Sans"/>
          <w:color w:val="000000"/>
          <w:sz w:val="22"/>
          <w:szCs w:val="22"/>
        </w:rPr>
        <w:t>• POST /api/v1/terminals/{stationId}/dropoff — Validates courier drop-off code to deposit parcel (200 OK, 409 Conflict).</w:t>
      </w:r>
      <w:r>
        <w:br w:type="textWrapping"/>
      </w:r>
      <w:r>
        <w:rPr>
          <w:rFonts w:ascii="Arial Nova" w:hAnsi="Arial Nova" w:eastAsia="Arial" w:cs="Noto Sans"/>
          <w:color w:val="000000"/>
          <w:sz w:val="22"/>
          <w:szCs w:val="22"/>
        </w:rPr>
        <w:t>• POST /api/v1/terminals/{stationId}/events/door-closed — Hardware callback registering that a door was physically closed, advancing the parcel state (200 OK).</w:t>
      </w:r>
      <w:r>
        <w:br w:type="textWrapping"/>
      </w:r>
      <w:r>
        <w:br w:type="textWrapping"/>
      </w:r>
      <w:r>
        <w:rPr>
          <w:rFonts w:ascii="Arial Nova" w:hAnsi="Arial Nova" w:eastAsia="Arial" w:cs="Noto Sans"/>
          <w:color w:val="000000"/>
          <w:sz w:val="22"/>
          <w:szCs w:val="22"/>
        </w:rPr>
        <w:t>4. Operator Maintenance (/api/v1/operator)</w:t>
      </w:r>
      <w:r>
        <w:br w:type="textWrapping"/>
      </w:r>
      <w:r>
        <w:rPr>
          <w:rFonts w:ascii="Arial Nova" w:hAnsi="Arial Nova" w:eastAsia="Arial" w:cs="Noto Sans"/>
          <w:color w:val="000000"/>
          <w:sz w:val="22"/>
          <w:szCs w:val="22"/>
        </w:rPr>
        <w:t>• PUT /api/v1/operator/compartments/{id}/status — Updates compartment status to OUT_OF_SERVICE or restores it to FREE, requiring a mandatory maintenanceNote (200 OK, 400 Bad Request).</w:t>
      </w:r>
      <w:r>
        <w:br w:type="textWrapping"/>
      </w:r>
      <w:r>
        <w:rPr>
          <w:rFonts w:ascii="Arial Nova" w:hAnsi="Arial Nova" w:eastAsia="Arial" w:cs="Noto Sans"/>
          <w:color w:val="000000"/>
          <w:sz w:val="22"/>
          <w:szCs w:val="22"/>
        </w:rPr>
        <w:t>• POST /api/v1/operator/parcels/{trackingCode}/relocate — Relocates a parcel stuck in a jammed door to an operational compartment (200 OK, 409 Conflict).</w:t>
      </w:r>
      <w:r>
        <w:br w:type="textWrapping"/>
      </w:r>
      <w:r>
        <w:rPr>
          <w:rFonts w:ascii="Arial Nova" w:hAnsi="Arial Nova" w:eastAsia="Arial" w:cs="Noto Sans"/>
          <w:color w:val="000000"/>
          <w:sz w:val="22"/>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rPr>
          <w:rFonts w:ascii="Calibri" w:hAnsi="Calibri"/>
          <w:b w:val="0"/>
          <w:i w:val="0"/>
          <w:color w:val="222222"/>
          <w:sz w:val="20"/>
        </w:rPr>
        <w:t>• hardware_failure.feature: Simulates physical solenoid and sensor jamming when attempting to unlock a compartment during recipient pickup, verifying that the system safely halts, flags the compartment as OUT_OF_SERVICE, transitions the parcel to WAITING_FOR_OPERATOR, and notifies operator backoffice for maintenance dispatch.</w:t>
      </w:r>
    </w:p>
    <w:p>
      <w:pPr>
        <w:pStyle w:val="Heading2"/>
        <w:keepNext/>
      </w:pPr>
      <w:r>
        <w:t>Traceability matrix</w:t>
      </w:r>
    </w:p>
    <w:p>
      <w:pPr>
        <w:keepNext/>
      </w:pPr>
      <w:r>
        <w:rPr>
          <w:rFonts w:ascii="Calibri" w:hAnsi="Calibri"/>
          <w:b w:val="0"/>
          <w:i w:val="0"/>
          <w:color w:val="222222"/>
          <w:sz w:val="20"/>
        </w:rPr>
        <w:t>The following matrix maps each user-facing functional requirement and core use case (UC1 to UC6) to the automated test layers responsible for its verification, ensuring complete bidirectional traceability across the testing pyramid:</w:t>
      </w:r>
    </w:p>
    <w:tbl>
      <w:tblPr>
        <w:tblStyle w:val="TableGrid"/>
        <w:tblW w:type="auto" w:w="0"/>
        <w:jc w:val="center"/>
        <w:tblLook w:firstColumn="1" w:firstRow="1" w:lastColumn="0" w:lastRow="0" w:noHBand="0" w:noVBand="1" w:val="04A0"/>
      </w:tblPr>
      <w:tblGrid>
        <w:gridCol w:w="2409"/>
        <w:gridCol w:w="2409"/>
        <w:gridCol w:w="2409"/>
        <w:gridCol w:w="2409"/>
      </w:tblGrid>
      <w:tr>
        <w:trPr>
          <w:cantSplit/>
        </w:trPr>
        <w:tc>
          <w:tcPr>
            <w:tcW w:type="dxa" w:w="2409"/>
            <w:shd w:fill="E7E6E6"/>
          </w:tcPr>
          <w:p>
            <w:r>
              <w:rPr>
                <w:rFonts w:ascii="Calibri" w:hAnsi="Calibri"/>
                <w:b/>
                <w:i w:val="0"/>
                <w:color w:val="000000"/>
                <w:sz w:val="19"/>
              </w:rPr>
              <w:t>Use Case / Requirement</w:t>
            </w:r>
          </w:p>
        </w:tc>
        <w:tc>
          <w:tcPr>
            <w:tcW w:type="dxa" w:w="2409"/>
            <w:shd w:fill="E7E6E6"/>
          </w:tcPr>
          <w:p>
            <w:r>
              <w:rPr>
                <w:rFonts w:ascii="Calibri" w:hAnsi="Calibri"/>
                <w:b/>
                <w:i w:val="0"/>
                <w:color w:val="000000"/>
                <w:sz w:val="19"/>
              </w:rPr>
              <w:t>Primary Actor</w:t>
            </w:r>
          </w:p>
        </w:tc>
        <w:tc>
          <w:tcPr>
            <w:tcW w:type="dxa" w:w="2409"/>
            <w:shd w:fill="E7E6E6"/>
          </w:tcPr>
          <w:p>
            <w:r>
              <w:rPr>
                <w:rFonts w:ascii="Calibri" w:hAnsi="Calibri"/>
                <w:b/>
                <w:i w:val="0"/>
                <w:color w:val="000000"/>
                <w:sz w:val="19"/>
              </w:rPr>
              <w:t>Verification Method</w:t>
            </w:r>
          </w:p>
        </w:tc>
        <w:tc>
          <w:tcPr>
            <w:tcW w:type="dxa" w:w="2409"/>
            <w:shd w:fill="E7E6E6"/>
          </w:tcPr>
          <w:p>
            <w:r>
              <w:rPr>
                <w:rFonts w:ascii="Calibri" w:hAnsi="Calibri"/>
                <w:b/>
                <w:i w:val="0"/>
                <w:color w:val="000000"/>
                <w:sz w:val="19"/>
              </w:rPr>
              <w:t>Automated Test Suite / Classes</w:t>
            </w:r>
          </w:p>
        </w:tc>
      </w:tr>
      <w:tr>
        <w:trPr>
          <w:cantSplit/>
        </w:trPr>
        <w:tc>
          <w:tcPr>
            <w:tcW w:type="dxa" w:w="2409"/>
            <w:shd w:fill="FFFFFF"/>
          </w:tcPr>
          <w:p>
            <w:r>
              <w:rPr>
                <w:rFonts w:ascii="Calibri" w:hAnsi="Calibri"/>
                <w:b w:val="0"/>
                <w:i w:val="0"/>
                <w:color w:val="222222"/>
                <w:sz w:val="18"/>
              </w:rPr>
              <w:t>UC1: Find locker by address</w:t>
            </w:r>
          </w:p>
        </w:tc>
        <w:tc>
          <w:tcPr>
            <w:tcW w:type="dxa" w:w="2409"/>
            <w:shd w:fill="FFFFFF"/>
          </w:tcPr>
          <w:p>
            <w:r>
              <w:rPr>
                <w:rFonts w:ascii="Calibri" w:hAnsi="Calibri"/>
                <w:b w:val="0"/>
                <w:i w:val="0"/>
                <w:color w:val="222222"/>
                <w:sz w:val="18"/>
              </w:rPr>
              <w:t>Recipient</w:t>
            </w:r>
          </w:p>
        </w:tc>
        <w:tc>
          <w:tcPr>
            <w:tcW w:type="dxa" w:w="2409"/>
            <w:shd w:fill="FFFFFF"/>
          </w:tcPr>
          <w:p>
            <w:r>
              <w:rPr>
                <w:rFonts w:ascii="Calibri" w:hAnsi="Calibri"/>
                <w:b w:val="0"/>
                <w:i w:val="0"/>
                <w:color w:val="222222"/>
                <w:sz w:val="18"/>
              </w:rPr>
              <w:t>Unit + Web Slice + E2E</w:t>
            </w:r>
          </w:p>
        </w:tc>
        <w:tc>
          <w:tcPr>
            <w:tcW w:type="dxa" w:w="2409"/>
            <w:shd w:fill="FFFFFF"/>
          </w:tcPr>
          <w:p>
            <w:r>
              <w:rPr>
                <w:rFonts w:ascii="Calibri" w:hAnsi="Calibri"/>
                <w:b w:val="0"/>
                <w:i w:val="0"/>
                <w:color w:val="222222"/>
                <w:sz w:val="18"/>
              </w:rPr>
              <w:t>StationRankingServiceTest, StationControllerTest, TerminalPlaywrightTest</w:t>
            </w:r>
          </w:p>
        </w:tc>
      </w:tr>
      <w:tr>
        <w:trPr>
          <w:cantSplit/>
        </w:trPr>
        <w:tc>
          <w:tcPr>
            <w:tcW w:type="dxa" w:w="2409"/>
            <w:shd w:fill="FFFFFF"/>
          </w:tcPr>
          <w:p>
            <w:r>
              <w:rPr>
                <w:rFonts w:ascii="Calibri" w:hAnsi="Calibri"/>
                <w:b w:val="0"/>
                <w:i w:val="0"/>
                <w:color w:val="222222"/>
                <w:sz w:val="18"/>
              </w:rPr>
              <w:t>UC2: Register parcel &amp; allocate compartment</w:t>
            </w:r>
          </w:p>
        </w:tc>
        <w:tc>
          <w:tcPr>
            <w:tcW w:type="dxa" w:w="2409"/>
            <w:shd w:fill="FFFFFF"/>
          </w:tcPr>
          <w:p>
            <w:r>
              <w:rPr>
                <w:rFonts w:ascii="Calibri" w:hAnsi="Calibri"/>
                <w:b w:val="0"/>
                <w:i w:val="0"/>
                <w:color w:val="222222"/>
                <w:sz w:val="18"/>
              </w:rPr>
              <w:t>Partner</w:t>
            </w:r>
          </w:p>
        </w:tc>
        <w:tc>
          <w:tcPr>
            <w:tcW w:type="dxa" w:w="2409"/>
            <w:shd w:fill="FFFFFF"/>
          </w:tcPr>
          <w:p>
            <w:r>
              <w:rPr>
                <w:rFonts w:ascii="Calibri" w:hAnsi="Calibri"/>
                <w:b w:val="0"/>
                <w:i w:val="0"/>
                <w:color w:val="222222"/>
                <w:sz w:val="18"/>
              </w:rPr>
              <w:t>Unit + Web Slice + Integration</w:t>
            </w:r>
          </w:p>
        </w:tc>
        <w:tc>
          <w:tcPr>
            <w:tcW w:type="dxa" w:w="2409"/>
            <w:shd w:fill="FFFFFF"/>
          </w:tcPr>
          <w:p>
            <w:r>
              <w:rPr>
                <w:rFonts w:ascii="Calibri" w:hAnsi="Calibri"/>
                <w:b w:val="0"/>
                <w:i w:val="0"/>
                <w:color w:val="222222"/>
                <w:sz w:val="18"/>
              </w:rPr>
              <w:t>ParcelServiceTest, ParcelControllerTest, PessimisticLockingPostgresTest</w:t>
            </w:r>
          </w:p>
        </w:tc>
      </w:tr>
      <w:tr>
        <w:trPr>
          <w:cantSplit/>
        </w:trPr>
        <w:tc>
          <w:tcPr>
            <w:tcW w:type="dxa" w:w="2409"/>
            <w:shd w:fill="FFFFFF"/>
          </w:tcPr>
          <w:p>
            <w:r>
              <w:rPr>
                <w:rFonts w:ascii="Calibri" w:hAnsi="Calibri"/>
                <w:b w:val="0"/>
                <w:i w:val="0"/>
                <w:color w:val="222222"/>
                <w:sz w:val="18"/>
              </w:rPr>
              <w:t>UC3: Courier drop-off &amp; door sensor confirmation</w:t>
            </w:r>
          </w:p>
        </w:tc>
        <w:tc>
          <w:tcPr>
            <w:tcW w:type="dxa" w:w="2409"/>
            <w:shd w:fill="FFFFFF"/>
          </w:tcPr>
          <w:p>
            <w:r>
              <w:rPr>
                <w:rFonts w:ascii="Calibri" w:hAnsi="Calibri"/>
                <w:b w:val="0"/>
                <w:i w:val="0"/>
                <w:color w:val="222222"/>
                <w:sz w:val="18"/>
              </w:rPr>
              <w:t>Courier</w:t>
            </w:r>
          </w:p>
        </w:tc>
        <w:tc>
          <w:tcPr>
            <w:tcW w:type="dxa" w:w="2409"/>
            <w:shd w:fill="FFFFFF"/>
          </w:tcPr>
          <w:p>
            <w:r>
              <w:rPr>
                <w:rFonts w:ascii="Calibri" w:hAnsi="Calibri"/>
                <w:b w:val="0"/>
                <w:i w:val="0"/>
                <w:color w:val="222222"/>
                <w:sz w:val="18"/>
              </w:rPr>
              <w:t>Unit + Web Slice + E2E</w:t>
            </w:r>
          </w:p>
        </w:tc>
        <w:tc>
          <w:tcPr>
            <w:tcW w:type="dxa" w:w="2409"/>
            <w:shd w:fill="FFFFFF"/>
          </w:tcPr>
          <w:p>
            <w:r>
              <w:rPr>
                <w:rFonts w:ascii="Calibri" w:hAnsi="Calibri"/>
                <w:b w:val="0"/>
                <w:i w:val="0"/>
                <w:color w:val="222222"/>
                <w:sz w:val="18"/>
              </w:rPr>
              <w:t>TerminalServiceTest, TerminalControllerTest, TerminalPlaywrightTest</w:t>
            </w:r>
          </w:p>
        </w:tc>
      </w:tr>
      <w:tr>
        <w:trPr>
          <w:cantSplit/>
        </w:trPr>
        <w:tc>
          <w:tcPr>
            <w:tcW w:type="dxa" w:w="2409"/>
            <w:shd w:fill="FFFFFF"/>
          </w:tcPr>
          <w:p>
            <w:r>
              <w:rPr>
                <w:rFonts w:ascii="Calibri" w:hAnsi="Calibri"/>
                <w:b w:val="0"/>
                <w:i w:val="0"/>
                <w:color w:val="222222"/>
                <w:sz w:val="18"/>
              </w:rPr>
              <w:t>UC4: Customer pickup with 6-digit PIN</w:t>
            </w:r>
          </w:p>
        </w:tc>
        <w:tc>
          <w:tcPr>
            <w:tcW w:type="dxa" w:w="2409"/>
            <w:shd w:fill="FFFFFF"/>
          </w:tcPr>
          <w:p>
            <w:r>
              <w:rPr>
                <w:rFonts w:ascii="Calibri" w:hAnsi="Calibri"/>
                <w:b w:val="0"/>
                <w:i w:val="0"/>
                <w:color w:val="222222"/>
                <w:sz w:val="18"/>
              </w:rPr>
              <w:t>Recipient</w:t>
            </w:r>
          </w:p>
        </w:tc>
        <w:tc>
          <w:tcPr>
            <w:tcW w:type="dxa" w:w="2409"/>
            <w:shd w:fill="FFFFFF"/>
          </w:tcPr>
          <w:p>
            <w:r>
              <w:rPr>
                <w:rFonts w:ascii="Calibri" w:hAnsi="Calibri"/>
                <w:b w:val="0"/>
                <w:i w:val="0"/>
                <w:color w:val="222222"/>
                <w:sz w:val="18"/>
              </w:rPr>
              <w:t>Unit + Web Slice + BDD + E2E</w:t>
            </w:r>
          </w:p>
        </w:tc>
        <w:tc>
          <w:tcPr>
            <w:tcW w:type="dxa" w:w="2409"/>
            <w:shd w:fill="FFFFFF"/>
          </w:tcPr>
          <w:p>
            <w:r>
              <w:rPr>
                <w:rFonts w:ascii="Calibri" w:hAnsi="Calibri"/>
                <w:b w:val="0"/>
                <w:i w:val="0"/>
                <w:color w:val="222222"/>
                <w:sz w:val="18"/>
              </w:rPr>
              <w:t>TerminalServiceTest, TerminalControllerTest, parcel_pickup.feature, security_lockout.feature, TerminalPlaywrightTest</w:t>
            </w:r>
          </w:p>
        </w:tc>
      </w:tr>
      <w:tr>
        <w:trPr>
          <w:cantSplit/>
        </w:trPr>
        <w:tc>
          <w:tcPr>
            <w:tcW w:type="dxa" w:w="2409"/>
            <w:shd w:fill="FFFFFF"/>
          </w:tcPr>
          <w:p>
            <w:r>
              <w:rPr>
                <w:rFonts w:ascii="Calibri" w:hAnsi="Calibri"/>
                <w:b w:val="0"/>
                <w:i w:val="0"/>
                <w:color w:val="222222"/>
                <w:sz w:val="18"/>
              </w:rPr>
              <w:t>UC5: Parcel state history &amp; tracking audit trail</w:t>
            </w:r>
          </w:p>
        </w:tc>
        <w:tc>
          <w:tcPr>
            <w:tcW w:type="dxa" w:w="2409"/>
            <w:shd w:fill="FFFFFF"/>
          </w:tcPr>
          <w:p>
            <w:r>
              <w:rPr>
                <w:rFonts w:ascii="Calibri" w:hAnsi="Calibri"/>
                <w:b w:val="0"/>
                <w:i w:val="0"/>
                <w:color w:val="222222"/>
                <w:sz w:val="18"/>
              </w:rPr>
              <w:t>Partner, Recipient</w:t>
            </w:r>
          </w:p>
        </w:tc>
        <w:tc>
          <w:tcPr>
            <w:tcW w:type="dxa" w:w="2409"/>
            <w:shd w:fill="FFFFFF"/>
          </w:tcPr>
          <w:p>
            <w:r>
              <w:rPr>
                <w:rFonts w:ascii="Calibri" w:hAnsi="Calibri"/>
                <w:b w:val="0"/>
                <w:i w:val="0"/>
                <w:color w:val="222222"/>
                <w:sz w:val="18"/>
              </w:rPr>
              <w:t>Unit + Web Slice</w:t>
            </w:r>
          </w:p>
        </w:tc>
        <w:tc>
          <w:tcPr>
            <w:tcW w:type="dxa" w:w="2409"/>
            <w:shd w:fill="FFFFFF"/>
          </w:tcPr>
          <w:p>
            <w:r>
              <w:rPr>
                <w:rFonts w:ascii="Calibri" w:hAnsi="Calibri"/>
                <w:b w:val="0"/>
                <w:i w:val="0"/>
                <w:color w:val="222222"/>
                <w:sz w:val="18"/>
              </w:rPr>
              <w:t>ParcelStateMachineServiceTest, ParcelControllerTest</w:t>
            </w:r>
          </w:p>
        </w:tc>
      </w:tr>
      <w:tr>
        <w:trPr>
          <w:cantSplit/>
        </w:trPr>
        <w:tc>
          <w:tcPr>
            <w:tcW w:type="dxa" w:w="2409"/>
            <w:shd w:fill="FFFFFF"/>
          </w:tcPr>
          <w:p>
            <w:r>
              <w:rPr>
                <w:rFonts w:ascii="Calibri" w:hAnsi="Calibri"/>
                <w:b w:val="0"/>
                <w:i w:val="0"/>
                <w:color w:val="222222"/>
                <w:sz w:val="18"/>
              </w:rPr>
              <w:t>UC6: Station supervision &amp; fault maintenance</w:t>
            </w:r>
          </w:p>
        </w:tc>
        <w:tc>
          <w:tcPr>
            <w:tcW w:type="dxa" w:w="2409"/>
            <w:shd w:fill="FFFFFF"/>
          </w:tcPr>
          <w:p>
            <w:r>
              <w:rPr>
                <w:rFonts w:ascii="Calibri" w:hAnsi="Calibri"/>
                <w:b w:val="0"/>
                <w:i w:val="0"/>
                <w:color w:val="222222"/>
                <w:sz w:val="18"/>
              </w:rPr>
              <w:t>Operator</w:t>
            </w:r>
          </w:p>
        </w:tc>
        <w:tc>
          <w:tcPr>
            <w:tcW w:type="dxa" w:w="2409"/>
            <w:shd w:fill="FFFFFF"/>
          </w:tcPr>
          <w:p>
            <w:r>
              <w:rPr>
                <w:rFonts w:ascii="Calibri" w:hAnsi="Calibri"/>
                <w:b w:val="0"/>
                <w:i w:val="0"/>
                <w:color w:val="222222"/>
                <w:sz w:val="18"/>
              </w:rPr>
              <w:t>Web Slice + E2E Automation</w:t>
            </w:r>
          </w:p>
        </w:tc>
        <w:tc>
          <w:tcPr>
            <w:tcW w:type="dxa" w:w="2409"/>
            <w:shd w:fill="FFFFFF"/>
          </w:tcPr>
          <w:p>
            <w:r>
              <w:rPr>
                <w:rFonts w:ascii="Calibri" w:hAnsi="Calibri"/>
                <w:b w:val="0"/>
                <w:i w:val="0"/>
                <w:color w:val="222222"/>
                <w:sz w:val="18"/>
              </w:rPr>
              <w:t>TerminalUiControllerTest, OperatorPlaywrightTest</w:t>
            </w:r>
          </w:p>
        </w:tc>
      </w:tr>
    </w:tbl>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rPr>
          <w:rFonts w:ascii="Calibri" w:hAnsi="Calibri"/>
          <w:b w:val="0"/>
          <w:i w:val="0"/>
          <w:color w:val="222222"/>
          <w:sz w:val="20"/>
        </w:rPr>
        <w:t>TuttiBox implements a clear distinction between Web Layer Slice testing and Full Database Concurrency Integration testing:</w:t>
        <w:br/>
        <w:br/>
        <w:t>1. Web Layer Slice Tests (@WebMvcTest):</w:t>
        <w:br/>
        <w:t>Web controller endpoints are tested in isolation using Spring Boot slice testing (@WebMvcTest with MockMvc). Across ParcelControllerTest, StationControllerTest, TerminalControllerTest, and TerminalUiControllerTest (18 tests total), these suites validate HTTP status codes, request body validation (@Valid Bean Validation), response headers, and standardized RFC 7807 ProblemDetail payloads handled globally by GlobalExceptionHandler (@RestControllerAdvice), with core domain service dependencies isolated using @MockitoBean.</w:t>
        <w:br/>
        <w:br/>
        <w:t>2. Full Database Concurrency Integration Tests (Testcontainers PostgreSQL 16):</w:t>
        <w:br/>
        <w:t>Full integration verification is implemented in PessimisticLockingPostgresTest executing within a full Spring Boot application context (@SpringBootTest) against an official containerized PostgreSQL 16 database managed by Testcontainers. The test simulates a severe race condition where 4 concurrent threads compete simultaneously to reserve the very last available compartment in a station. The suite verifies that database pessimistic row-level locking (PESSIMISTIC_WRITE / SELECT ... FOR UPDATE) guarantees strict ACID consistency: exactly one transaction successfully commits and reserves the compartment (HTTP 201 Created), while concurrent requests gracefully fail with HTTP 409 Conflict without causing double-booking.</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rPr>
          <w:rFonts w:ascii="Calibri" w:hAnsi="Calibri"/>
          <w:b w:val="0"/>
          <w:i w:val="0"/>
          <w:color w:val="222222"/>
          <w:sz w:val="20"/>
        </w:rPr>
        <w:t>• hardware_failure.feature: Simulates physical solenoid and sensor jamming when attempting to unlock a compartment during recipient pickup, verifying that the system safely halts, flags the compartment as OUT_OF_SERVICE, transitions the parcel to WAITING_FOR_OPERATOR, and notifies operator backoffice for maintenance dispatch.</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rPr>
          <w:rFonts w:ascii="Calibri" w:hAnsi="Calibri"/>
          <w:b w:val="0"/>
          <w:i w:val="0"/>
          <w:color w:val="222222"/>
          <w:sz w:val="20"/>
        </w:rPr>
        <w:t>Static code analysis is powered by SonarQube Cloud integrated with GitHub Actions CI via the JaCoCo Maven plugin.</w:t>
        <w:br/>
        <w:br/>
        <w:t>• Quality Gate Status: PASSED (OK) across all defined metrics.</w:t>
        <w:br/>
        <w:t>• Line Coverage: 73.2% line coverage verified by JaCoCo across 38 application classes.</w:t>
        <w:br/>
        <w:t>• Maintainability, Security &amp; Reliability: 0 Bugs, 0 Vulnerabilities, 0 Security Hotspots, and 0 Code Smells detected under the default 'Sonar way' quality profile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keepNext/>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E7E6E6"/>
          </w:tcPr>
          <w:p>
            <w:r>
              <w:rPr>
                <w:rFonts w:ascii="Calibri" w:hAnsi="Calibri"/>
                <w:b/>
                <w:i w:val="0"/>
                <w:color w:val="000000"/>
                <w:sz w:val="19"/>
              </w:rPr>
              <w:t>Resource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E7E6E6"/>
          </w:tcPr>
          <w:p>
            <w:r>
              <w:rPr>
                <w:rFonts w:ascii="Calibri" w:hAnsi="Calibri"/>
                <w:b/>
                <w:i w:val="0"/>
                <w:color w:val="000000"/>
                <w:sz w:val="19"/>
              </w:rPr>
              <w:t>URL/location</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0D334F65" w14:textId="77777777">
            <w:pPr>
              <w:pStyle w:val="tableinside"/>
              <w:spacing w:before="20" w:after="20"/>
            </w:pPr>
            <w:r>
              <w:rPr>
                <w:rFonts w:ascii="Calibri" w:hAnsi="Calibri" w:eastAsia="Arial" w:cs="Noto Sans" w:asciiTheme="minorHAnsi" w:hAnsiTheme="minorHAnsi"/>
                <w:b w:val="0"/>
                <w:i w:val="0"/>
                <w:color w:val="222222"/>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03F8E04F" w14:textId="77777777">
            <w:pPr>
              <w:pStyle w:val="tableinside"/>
              <w:spacing w:before="20" w:after="20"/>
            </w:pPr>
            <w:r>
              <w:rPr>
                <w:rFonts w:ascii="Calibri" w:hAnsi="Calibri" w:eastAsia="Arial" w:cs="Noto Sans" w:asciiTheme="minorHAnsi" w:hAnsiTheme="minorHAnsi"/>
                <w:b w:val="0"/>
                <w:i w:val="0"/>
                <w:color w:val="222222"/>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docs/tuttibox_demo.webm (1m30s screencast covering UC1 geocoded search, UC2 partner API registration, UC3 courier drop-off, UC4 recipient pickup, security brute-force lockout defense, and UC6 operator cockpit supervision)</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36439683" w14:textId="77777777">
            <w:pPr>
              <w:pStyle w:val="tableinside"/>
              <w:spacing w:before="20" w:after="20"/>
            </w:pPr>
            <w:r>
              <w:rPr>
                <w:rFonts w:ascii="Calibri" w:hAnsi="Calibri" w:eastAsia="Arial" w:cs="Noto Sans" w:asciiTheme="minorHAnsi" w:hAnsiTheme="minorHAnsi"/>
                <w:b w:val="0"/>
                <w:i w:val="0"/>
                <w:color w:val="222222"/>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14677D31" w14:textId="77777777">
            <w:pPr>
              <w:pStyle w:val="tableinside"/>
              <w:spacing w:before="20" w:after="20"/>
            </w:pPr>
            <w:r>
              <w:rPr>
                <w:rFonts w:ascii="Calibri" w:hAnsi="Calibri" w:eastAsia="Arial" w:cs="Noto Sans" w:asciiTheme="minorHAnsi" w:hAnsiTheme="minorHAnsi"/>
                <w:b w:val="0"/>
                <w:i w:val="0"/>
                <w:color w:val="222222"/>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76662557" w14:textId="77777777">
            <w:pPr>
              <w:pStyle w:val="tableinside"/>
              <w:spacing w:before="20" w:after="20"/>
            </w:pPr>
            <w:r>
              <w:rPr>
                <w:rFonts w:ascii="Calibri" w:hAnsi="Calibri" w:eastAsia="Arial" w:cs="Noto Sans" w:asciiTheme="minorHAnsi" w:hAnsiTheme="minorHAnsi"/>
                <w:b w:val="0"/>
                <w:i w:val="0"/>
                <w:color w:val="222222"/>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https://github.com/FilipeNogue1ra/HW1-119495/actions</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r>
        <w:t>• Source Repository: https://github.com/FilipeNogue1ra/HW1-119495</w:t>
      </w:r>
    </w:p>
    <w:p>
      <w:r>
        <w:t>• Core Frameworks: Spring Boot 3.4.2 (Web, Data JPA, Thymeleaf), PostgreSQL 16, H2 Database.</w:t>
      </w:r>
    </w:p>
    <w:p>
      <w:r>
        <w:rPr>
          <w:rFonts w:ascii="Calibri" w:hAnsi="Calibri"/>
          <w:b w:val="0"/>
          <w:i w:val="0"/>
          <w:color w:val="222222"/>
          <w:sz w:val="20"/>
        </w:rPr>
        <w:t>• Testing Stack: JUnit 6 (Jupiter 6.1.3 BOM), Mockito 5.23.0, AssertJ, Cucumber BDD 7.21.1, Microsoft Playwright 1.63.0, Testcontainers 1.20, Grafana k6 v2.2.0, Maven Surefire 3.6.0, JaCoCo 0.8.15, SonarQube Cloud (Quality Gate Passed).</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