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v2026-10-29</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7FD64F83" w14:textId="77777777">
      <w:pPr>
        <w:pStyle w:val="remarks-to-remove"/>
      </w:pPr>
      <w:r>
        <w:rPr>
          <w:rFonts w:ascii="Arial Nova" w:hAnsi="Arial Nova" w:eastAsia="Arial" w:cs="Noto Sans" w:asciiTheme="minorHAnsi" w:hAnsiTheme="minorHAnsi"/>
          <w:i/>
          <w:iCs/>
          <w:color w:val="C45911" w:themeColor="accent2" w:themeShade="BF"/>
          <w:sz w:val="22"/>
          <w:szCs w:val="22"/>
        </w:rPr>
        <w:t>This is a template for the expected content and structure. You may use any editing tool to prepare the report (LaTeX included). Keep it concise: the report is the evidence of your decisions, not a dump of code or test listings.</w:t>
      </w: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t>This report presents the midterm individual project required for TQS, covering both the software product features and the adopted quality assurance strategy.</w:t>
        <w:br/>
        <w:br/>
        <w:t>The developed platform, TuttiBox, is a full-stack smart parcel locker management application built with Spring Boot 3.4 /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02A40E3F">
      <w:pPr>
        <w:contextualSpacing/>
        <w:spacing w:after="60"/>
      </w:pPr>
      <w:r>
        <w:rPr>
          <w:rFonts w:ascii="Arial Nova" w:hAnsi="Arial Nova"/>
          <w:color w:val="000000"/>
          <w:sz w:val="22"/>
        </w:rPr>
      </w:r>
      <w:r>
        <w:rPr>
          <w:rFonts w:ascii="Arial Nova" w:hAnsi="Arial Nova" w:eastAsia="Arial" w:cs="Noto Sans"/>
          <w:color w:val="000000"/>
          <w:sz w:val="22"/>
          <w:szCs w:val="22"/>
        </w:rPr>
        <w:t>The developed platform, TuttiBox, is a full-stack smart parcel locker management application built with Spring Boot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t>Current Implementation Status: All core use cases (UC1 to UC6) and business rules (BR1 to BR7) are 100% implemented and verified by an automated test suite of 70 passing tests. Known environment constraints: Testcontainers executes against PostgreSQL in containerized environments, while gracefully falling back to H2 in bare-metal sandboxes without Docker. Extras implemented include a full interactive cyber-physical locker solenoid and sensor simulator on the terminal UI, WCAG 2.1 AA keyboard accessibility, and a 60-second anti-brute-force countdown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t>Google Antigravity (powered by Google DeepMind Gemini models) was utilized as an interactive AI pair programming assistant for architectural scaffolding, test generation (Cucumber Gherkin, Playwright, k6), and documentation structuring.</w:t>
        <w:br/>
        <w:br/>
        <w:t>Auditing and Verification: All business logic, transaction isolation policies, state machine constraints, and security rules were strictly audited and verified by the author. When static code analysis detected a CWE-117 Log Injection vulnerability in controller parameter handling, the flow was audited and manually resolved using deterministic string sanitization before logging.</w:t>
      </w:r>
    </w:p>
    <w:p w14:paraId="62F5378D" w14:textId="77777777">
      <w:pPr>
        <w:pStyle w:val="remarks-to-remove"/>
      </w:pPr>
      <w:r>
        <w:t>Google Antigravity (powered by Google DeepMind Gemini models) was utilized as an interactive AI pair programming assistant throughout the project lifecycle. It was employed for architectural scaffolding (Hexagonal / Ports &amp; Adapters), unit test generation and parameterized edge-case coverage, BDD Cucumber step definitions, Playwright browser automation scripts, Grafana k6 performance scenarios, and continuous report refinement. All architectural decisions, security rules, and code reviews were supervised and validated by the author.</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blHeader/>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068FA61">
            <w:pPr>
              <w:pStyle w:val="tableinside"/>
            </w:pPr>
            <w:r>
              <w:rPr>
                <w:rFonts w:ascii="Arial Nova" w:hAnsi="Arial Nova" w:eastAsia="Arial" w:cs="Noto Sans"/>
                <w:color w:val="000000"/>
                <w:sz w:val="19"/>
                <w:szCs w:val="22"/>
              </w:rPr>
              <w:t>Cucumber</w:t>
            </w:r>
            <w:r>
              <w:br w:type="textWrapping"/>
            </w:r>
            <w:r>
              <w:rPr>
                <w:rFonts w:ascii="Arial Nova" w:hAnsi="Arial Nova" w:eastAsia="Arial" w:cs="Noto Sans"/>
                <w:color w:val="000000"/>
                <w:sz w:val="19"/>
                <w:szCs w:val="22"/>
              </w:rPr>
              <w:t>(API/Service)</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pPr>
        <w:jc w:val="center"/>
      </w:pPr>
      <w:r>
        <w:drawing>
          <wp:inline xmlns:a="http://schemas.openxmlformats.org/drawingml/2006/main" xmlns:pic="http://schemas.openxmlformats.org/drawingml/2006/picture">
            <wp:extent cx="5029200" cy="2711395"/>
            <wp:docPr id="100001" name="Picture 100001"/>
            <wp:cNvGraphicFramePr>
              <a:graphicFrameLocks noChangeAspect="1"/>
            </wp:cNvGraphicFramePr>
            <a:graphic>
              <a:graphicData uri="http://schemas.openxmlformats.org/drawingml/2006/picture">
                <pic:pic>
                  <pic:nvPicPr>
                    <pic:cNvPr id="0" name="parcel_lifecycle_v2.png"/>
                    <pic:cNvPicPr/>
                  </pic:nvPicPr>
                  <pic:blipFill>
                    <a:blip r:embed="rId19"/>
                    <a:stretch>
                      <a:fillRect/>
                    </a:stretch>
                  </pic:blipFill>
                  <pic:spPr>
                    <a:xfrm>
                      <a:off x="0" y="0"/>
                      <a:ext cx="5029200" cy="2711395"/>
                    </a:xfrm>
                    <a:prstGeom prst="rect"/>
                  </pic:spPr>
                </pic:pic>
              </a:graphicData>
            </a:graphic>
          </wp:inline>
        </w:drawing>
      </w:r>
    </w:p>
    <w:p>
      <w:pPr>
        <w:jc w:val="center"/>
      </w:pPr>
      <w:r>
        <w:rPr>
          <w:rFonts w:ascii="Calibri" w:hAnsi="Calibri"/>
          <w:b w:val="0"/>
          <w:i/>
          <w:color w:val="64748B"/>
          <w:sz w:val="18"/>
        </w:rPr>
        <w:t>Figure 1: TuttiBox Parcel Finite State Machine Lifecycle</w:t>
      </w:r>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14:paraId="20D5C5DF">
      <w:pPr>
        <w:spacing w:after="60"/>
      </w:pPr>
      <w:r>
        <w:t xml:space="preserve">  </w:t>
      </w:r>
      <w:r>
        <w:drawing>
          <wp:inline distT="0" distB="0" distL="0" distR="0">
            <wp:extent cx="4933950" cy="4933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4933950" cy="4933950"/>
                    </a:xfrm>
                    <a:prstGeom prst="rect">
                      <a:avLst/>
                    </a:prstGeom>
                  </pic:spPr>
                </pic:pic>
              </a:graphicData>
            </a:graphic>
          </wp:inline>
        </w:drawing>
      </w:r>
      <w: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pPr>
            <w:r/>
            <w:r>
              <w:rPr>
                <w:rFonts w:ascii="Arial Nova" w:hAnsi="Arial Nova" w:eastAsia="Arial" w:cs="Noto Sans"/>
                <w:b/>
                <w:bCs/>
                <w:color w:val="000000"/>
                <w:sz w:val="20"/>
                <w:szCs w:val="22"/>
              </w:rPr>
              <w:t>Compartment Effect</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rPr>
          <w:rFonts w:ascii="Arial Nova" w:hAnsi="Arial Nova" w:eastAsia="Arial" w:cs="Noto Sans"/>
          <w:b/>
          <w:bCs/>
          <w:color w:val="000000"/>
          <w:sz w:val="22"/>
          <w:szCs w:val="22"/>
        </w:rPr>
        <w:t xml:space="preserve">Compartment States (CompartmentState) and Issue Reporting: </w:t>
      </w:r>
      <w:r>
        <w:rPr>
          <w:rFonts w:ascii="Arial Nova" w:hAnsi="Arial Nova" w:eastAsia="Arial" w:cs="Noto Sans"/>
          <w:color w:val="000000"/>
          <w:sz w:val="22"/>
          <w:szCs w:val="22"/>
        </w:rPr>
        <w:t>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blHeader/>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C45F7">
            <w:pPr>
              <w:pStyle w:val="tableinside"/>
            </w:pPr>
            <w:r>
              <w:rPr>
                <w:rFonts w:ascii="Arial Nova" w:hAnsi="Arial Nova" w:eastAsia="Arial" w:cs="Noto Sans"/>
                <w:color w:val="000000"/>
                <w:sz w:val="19"/>
                <w:szCs w:val="22"/>
              </w:rPr>
              <w:t>ParcelAllocationServiceTest (Unit)</w:t>
            </w:r>
            <w:r>
              <w:br w:type="textWrapping"/>
            </w:r>
            <w:r>
              <w:rPr>
                <w:rFonts w:ascii="Arial Nova" w:hAnsi="Arial Nova" w:eastAsia="Arial" w:cs="Noto Sans"/>
                <w:color w:val="000000"/>
                <w:sz w:val="19"/>
                <w:szCs w:val="22"/>
              </w:rPr>
              <w:t>CompartmentAllocationConcurrencyIT (Integration with Testcontainers PostgreSQL)</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4ACACE">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drop_off.feature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836339">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799B53">
            <w:pPr>
              <w:pStyle w:val="tableinside"/>
            </w:pPr>
            <w:r>
              <w:rPr>
                <w:rFonts w:ascii="Arial Nova" w:hAnsi="Arial Nova" w:eastAsia="Arial" w:cs="Noto Sans"/>
                <w:color w:val="000000"/>
                <w:sz w:val="19"/>
                <w:szCs w:val="22"/>
              </w:rPr>
              <w:t>PickupCodeGeneratorTest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48E74B">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07A0F">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A9B0F24">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92BB5">
            <w:pPr>
              <w:pStyle w:val="tableinside"/>
            </w:pP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help_issue_report.feature (Cucumber BDD)</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blHeader/>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BC45A3">
            <w:pPr>
              <w:pStyle w:val="tableinside"/>
            </w:pPr>
            <w:r/>
            <w:r>
              <w:rPr>
                <w:rFonts w:ascii="Arial Nova" w:hAnsi="Arial Nova" w:eastAsia="Arial" w:cs="Noto Sans"/>
                <w:color w:val="000000"/>
                <w:sz w:val="19"/>
                <w:szCs w:val="22"/>
              </w:rPr>
              <w:t>Performance &amp; Load Resilience: Under sustained load (ramp-up to 50 concurrent VUs over 10s, 30s plateau, ramp-down) and sudden traffic bursts (spike test to 80 VUs in 2s), the 95th percentile (p95) response time for station lookup (UC1) and parcel registration (UC2) must remain below 200 ms, with an HTTP error rate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2A017E">
            <w:pPr>
              <w:pStyle w:val="tableinside"/>
            </w:pPr>
            <w:r/>
            <w:r>
              <w:rPr>
                <w:rFonts w:ascii="Arial Nova" w:hAnsi="Arial Nova" w:eastAsia="Arial" w:cs="Noto Sans"/>
                <w:color w:val="000000"/>
                <w:sz w:val="19"/>
                <w:szCs w:val="22"/>
              </w:rPr>
              <w:t>Automated k6 load &amp; spike test scripts (k6_load_test.js, k6_spike_test.js) executed against the running application with the geocoding provider stubbed to prevent external latency bias.</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ACCD0F">
            <w:pPr>
              <w:pStyle w:val="tableinside"/>
            </w:pPr>
            <w:r/>
            <w:r>
              <w:rPr>
                <w:rFonts w:ascii="Arial Nova" w:hAnsi="Arial Nova" w:eastAsia="Arial" w:cs="Noto Sans"/>
                <w:color w:val="000000"/>
                <w:sz w:val="19"/>
                <w:szCs w:val="22"/>
              </w:rPr>
              <w:t>Automated accessibility audit via Playwright (@axe-core/playwright or Lighthouse CLI) integrated into verification, supplemented by a manual keyboard-only (Tab / Enter / Esc) navigational walkthrough.</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C9202">
            <w:pPr>
              <w:pStyle w:val="tableinside"/>
            </w:pPr>
            <w:r/>
            <w:r>
              <w:rPr>
                <w:rFonts w:ascii="Arial Nova" w:hAnsi="Arial Nova" w:eastAsia="Arial" w:cs="Noto Sans"/>
                <w:color w:val="000000"/>
                <w:sz w:val="19"/>
                <w:szCs w:val="22"/>
              </w:rPr>
              <w:t>Unit tests verifying random distribution and single-use invalidation (PickupCodeGeneratorTest), plus BDD scenarios (pickup.feature) verifying the 1-minute lockout using an injected mutable Clock.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8645580">
            <w:pPr>
              <w:pStyle w:val="tableinside"/>
            </w:pPr>
            <w:r/>
            <w:r>
              <w:rPr>
                <w:rFonts w:ascii="Arial Nova" w:hAnsi="Arial Nova" w:eastAsia="Arial" w:cs="Noto Sans"/>
                <w:color w:val="000000"/>
                <w:sz w:val="19"/>
                <w:szCs w:val="22"/>
              </w:rPr>
              <w:t>Unit and integration tests with WireMock / MockRestServiceServer verifying timeout handling, HTTP 429 backoff, rate limiting, and cache hit verification without touching the live Nominatim API in builds.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p>
      <w:pPr>
        <w:jc w:val="center"/>
      </w:pPr>
      <w:r>
        <w:drawing>
          <wp:inline xmlns:a="http://schemas.openxmlformats.org/drawingml/2006/main" xmlns:pic="http://schemas.openxmlformats.org/drawingml/2006/picture">
            <wp:extent cx="5029200" cy="2873829"/>
            <wp:docPr id="100002" name="Picture 10000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2873829"/>
                    </a:xfrm>
                    <a:prstGeom prst="rect"/>
                  </pic:spPr>
                </pic:pic>
              </a:graphicData>
            </a:graphic>
          </wp:inline>
        </w:drawing>
      </w:r>
    </w:p>
    <w:p>
      <w:pPr>
        <w:jc w:val="center"/>
      </w:pPr>
      <w:r>
        <w:rPr>
          <w:rFonts w:ascii="Calibri" w:hAnsi="Calibri"/>
          <w:b w:val="0"/>
          <w:i/>
          <w:color w:val="64748B"/>
          <w:sz w:val="18"/>
        </w:rPr>
        <w:t>Figure 2: TuttiBox Hexagonal Architecture (Ports and Adapters)</w:t>
      </w:r>
    </w:p>
    <w:p w14:paraId="4FA345C1" w14:textId="765B2267">
      <w:pPr>
        <w:pStyle w:val="remarks-to-remove"/>
        <w:spacing w:after="40"/>
        <w:jc w:val="center"/>
      </w:pPr>
      <w:r>
        <w:rPr>
          <w:rFonts w:ascii="Arial Nova" w:hAnsi="Arial Nova" w:eastAsia="Arial" w:cs="Noto Sans"/>
          <w:i/>
          <w:iCs/>
          <w:color w:val="C00000"/>
          <w:sz w:val="22"/>
          <w:szCs w:val="22"/>
        </w:rPr>
        <w:t>Show where the “ports” are (persistence, locker hardware, geolocation, notifications) and which adapters and test doubles plug into them.&gt;</w:t>
      </w:r>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blHeader/>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DC81">
            <w:pPr>
              <w:spacing w:before="0" w:after="0" w:line="240" w:lineRule="auto"/>
            </w:pPr>
            <w:r>
              <w:rPr>
                <w:rFonts w:ascii="Arial Nova" w:hAnsi="Arial Nova" w:eastAsia="Arial" w:cs="Noto Sans"/>
                <w:color w:val="000000"/>
                <w:sz w:val="19"/>
                <w:szCs w:val="22"/>
              </w:rPr>
              <w:t>Automated tests and load tests NEVER call the live OpenStreetMap servers. Instead, an Outbound Adapter stub or WireMock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14:paraId="22D00038" w14:textId="77777777">
      <w:pPr>
        <w:pStyle w:val="remarks-to-remove"/>
        <w:spacing w:before="0" w:after="120" w:line="276" w:lineRule="auto"/>
        <w:jc w:val="left"/>
      </w:pPr>
      <w:r>
        <w:rPr>
          <w:rFonts w:ascii="Arial Nova" w:hAnsi="Arial Nova" w:eastAsia="Arial" w:cs="Noto Sans"/>
          <w:color w:val="000000"/>
          <w:sz w:val="22"/>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br w:type="textWrapping"/>
      </w:r>
      <w:r>
        <w:br w:type="textWrapping"/>
      </w:r>
      <w:r>
        <w:rPr>
          <w:rFonts w:ascii="Arial Nova" w:hAnsi="Arial Nova" w:eastAsia="Arial" w:cs="Noto Sans"/>
          <w:color w:val="000000"/>
          <w:sz w:val="22"/>
          <w:szCs w:val="22"/>
        </w:rPr>
        <w:t>All endpoints follow standard HTTP semantics:</w:t>
      </w:r>
      <w:r>
        <w:br w:type="textWrapping"/>
      </w:r>
      <w:r>
        <w:rPr>
          <w:rFonts w:ascii="Arial Nova" w:hAnsi="Arial Nova" w:eastAsia="Arial" w:cs="Noto Sans"/>
          <w:color w:val="000000"/>
          <w:sz w:val="22"/>
          <w:szCs w:val="22"/>
        </w:rPr>
        <w:t>• 200 OK: Successful read or state update operation.</w:t>
      </w:r>
      <w:r>
        <w:br w:type="textWrapping"/>
      </w:r>
      <w:r>
        <w:rPr>
          <w:rFonts w:ascii="Arial Nova" w:hAnsi="Arial Nova" w:eastAsia="Arial" w:cs="Noto Sans"/>
          <w:color w:val="000000"/>
          <w:sz w:val="22"/>
          <w:szCs w:val="22"/>
        </w:rPr>
        <w:t>• 201 Created: New resource successfully created (e.g., parcel registered and locker reserved).</w:t>
      </w:r>
      <w:r>
        <w:br w:type="textWrapping"/>
      </w:r>
      <w:r>
        <w:rPr>
          <w:rFonts w:ascii="Arial Nova" w:hAnsi="Arial Nova" w:eastAsia="Arial" w:cs="Noto Sans"/>
          <w:color w:val="000000"/>
          <w:sz w:val="22"/>
          <w:szCs w:val="22"/>
        </w:rPr>
        <w:t>• 400 Bad Request: Validation failure (e.g., malformed PIN or invalid dimension size).</w:t>
      </w:r>
      <w:r>
        <w:br w:type="textWrapping"/>
      </w:r>
      <w:r>
        <w:rPr>
          <w:rFonts w:ascii="Arial Nova" w:hAnsi="Arial Nova" w:eastAsia="Arial" w:cs="Noto Sans"/>
          <w:color w:val="000000"/>
          <w:sz w:val="22"/>
          <w:szCs w:val="22"/>
        </w:rPr>
        <w:t>• 404 Not Found: Target parcel, station, or compartment does not exist.</w:t>
      </w:r>
      <w:r>
        <w:br w:type="textWrapping"/>
      </w:r>
      <w:r>
        <w:rPr>
          <w:rFonts w:ascii="Arial Nova" w:hAnsi="Arial Nova" w:eastAsia="Arial" w:cs="Noto Sans"/>
          <w:color w:val="000000"/>
          <w:sz w:val="22"/>
          <w:szCs w:val="22"/>
        </w:rPr>
        <w:t>• 409 Conflict: Business rule violation (e.g., no locker available of the requested size, or parcel already collected).</w:t>
      </w:r>
      <w:r>
        <w:br w:type="textWrapping"/>
      </w:r>
      <w:r>
        <w:rPr>
          <w:rFonts w:ascii="Arial Nova" w:hAnsi="Arial Nova" w:eastAsia="Arial" w:cs="Noto Sans"/>
          <w:color w:val="000000"/>
          <w:sz w:val="22"/>
          <w:szCs w:val="22"/>
        </w:rPr>
        <w:t>• 429 Too Many Requests: Security threshold exceeded (terminal locked for 60 seconds after 3 failed PIN attempts).</w:t>
      </w:r>
      <w:r>
        <w:br w:type="textWrapping"/>
      </w:r>
      <w:r>
        <w:br w:type="textWrapping"/>
      </w:r>
      <w:r>
        <w:rPr>
          <w:rFonts w:ascii="Arial Nova" w:hAnsi="Arial Nova" w:eastAsia="Arial" w:cs="Noto Sans"/>
          <w:color w:val="000000"/>
          <w:sz w:val="22"/>
          <w:szCs w:val="22"/>
        </w:rPr>
        <w:t>Error responses consistently follow the RFC 7807 (Problem Details) standard, returning a structured JSON payload containing type, title, status, detail, and instance (for example, informing the client about remaining lockout time).</w:t>
      </w:r>
      <w:r>
        <w:br w:type="textWrapping"/>
      </w:r>
      <w:r>
        <w:br w:type="textWrapping"/>
      </w:r>
      <w:r>
        <w:rPr>
          <w:rFonts w:ascii="Arial Nova" w:hAnsi="Arial Nova" w:eastAsia="Arial" w:cs="Noto Sans"/>
          <w:color w:val="000000"/>
          <w:sz w:val="22"/>
          <w:szCs w:val="22"/>
        </w:rPr>
        <w:t>Core API Endpoints Summary:</w:t>
      </w:r>
      <w:r>
        <w:br w:type="textWrapping"/>
      </w:r>
      <w:r>
        <w:rPr>
          <w:rFonts w:ascii="Arial Nova" w:hAnsi="Arial Nova" w:eastAsia="Arial" w:cs="Noto Sans"/>
          <w:color w:val="000000"/>
          <w:sz w:val="22"/>
          <w:szCs w:val="22"/>
        </w:rPr>
        <w:t>1. Parcels (/api/v1/parcels)</w:t>
      </w:r>
      <w:r>
        <w:br w:type="textWrapping"/>
      </w:r>
      <w:r>
        <w:rPr>
          <w:rFonts w:ascii="Arial Nova" w:hAnsi="Arial Nova" w:eastAsia="Arial" w:cs="Noto Sans"/>
          <w:color w:val="000000"/>
          <w:sz w:val="22"/>
          <w:szCs w:val="22"/>
        </w:rPr>
        <w:t>• POST /api/v1/parcels — Registers a new delivery parcel and reserves a compatible compartment (201 Created, 409 Conflict).</w:t>
      </w:r>
      <w:r>
        <w:br w:type="textWrapping"/>
      </w:r>
      <w:r>
        <w:rPr>
          <w:rFonts w:ascii="Arial Nova" w:hAnsi="Arial Nova" w:eastAsia="Arial" w:cs="Noto Sans"/>
          <w:color w:val="000000"/>
          <w:sz w:val="22"/>
          <w:szCs w:val="22"/>
        </w:rPr>
        <w:t>• GET /api/v1/parcels/{trackingCode} — Retrieves parcel status and its full transition audit trail (200 OK, 404 Not Found).</w:t>
      </w:r>
      <w:r>
        <w:br w:type="textWrapping"/>
      </w:r>
      <w:r>
        <w:rPr>
          <w:rFonts w:ascii="Arial Nova" w:hAnsi="Arial Nova" w:eastAsia="Arial" w:cs="Noto Sans"/>
          <w:color w:val="000000"/>
          <w:sz w:val="22"/>
          <w:szCs w:val="22"/>
        </w:rPr>
        <w:t>• POST /api/v1/parcels/{trackingCode}/cancel — Partner cancels shipment before courier deposit, releasing the reserved compartment (200 OK, 409 Conflict).</w:t>
      </w:r>
      <w:r>
        <w:br w:type="textWrapping"/>
      </w:r>
      <w:r>
        <w:rPr>
          <w:rFonts w:ascii="Arial Nova" w:hAnsi="Arial Nova" w:eastAsia="Arial" w:cs="Noto Sans"/>
          <w:color w:val="000000"/>
          <w:sz w:val="22"/>
          <w:szCs w:val="22"/>
        </w:rPr>
        <w:t>• POST /api/v1/parcels/{trackingCode}/help — Recipient reports a hardware/delivery issue; flags the compartment as OUT_OF_SERVICE if the parcel is deposited (200 OK, 404 Not Found).</w:t>
      </w:r>
      <w:r>
        <w:br w:type="textWrapping"/>
      </w:r>
      <w:r>
        <w:br w:type="textWrapping"/>
      </w:r>
      <w:r>
        <w:rPr>
          <w:rFonts w:ascii="Arial Nova" w:hAnsi="Arial Nova" w:eastAsia="Arial" w:cs="Noto Sans"/>
          <w:color w:val="000000"/>
          <w:sz w:val="22"/>
          <w:szCs w:val="22"/>
        </w:rPr>
        <w:t>2. Locker Stations (/api/v1/stations)</w:t>
      </w:r>
      <w:r>
        <w:br w:type="textWrapping"/>
      </w:r>
      <w:r>
        <w:rPr>
          <w:rFonts w:ascii="Arial Nova" w:hAnsi="Arial Nova" w:eastAsia="Arial" w:cs="Noto Sans"/>
          <w:color w:val="000000"/>
          <w:sz w:val="22"/>
          <w:szCs w:val="22"/>
        </w:rPr>
        <w:t>• GET /api/v1/stations — Lists all locker stations, supporting geographic proximity filtering via cached geocoding (200 OK).</w:t>
      </w:r>
      <w:r>
        <w:br w:type="textWrapping"/>
      </w:r>
      <w:r>
        <w:rPr>
          <w:rFonts w:ascii="Arial Nova" w:hAnsi="Arial Nova" w:eastAsia="Arial" w:cs="Noto Sans"/>
          <w:color w:val="000000"/>
          <w:sz w:val="22"/>
          <w:szCs w:val="22"/>
        </w:rPr>
        <w:t>• GET /api/v1/stations/{stationId}/availability — Returns real-time availability of free compartments grouped by size (S, M, L) (200 OK).</w:t>
      </w:r>
      <w:r>
        <w:br w:type="textWrapping"/>
      </w:r>
      <w:r>
        <w:br w:type="textWrapping"/>
      </w:r>
      <w:r>
        <w:rPr>
          <w:rFonts w:ascii="Arial Nova" w:hAnsi="Arial Nova" w:eastAsia="Arial" w:cs="Noto Sans"/>
          <w:color w:val="000000"/>
          <w:sz w:val="22"/>
          <w:szCs w:val="22"/>
        </w:rPr>
        <w:t>3. Terminal Simulation &amp; Hardware (/api/v1/terminals)</w:t>
      </w:r>
      <w:r>
        <w:br w:type="textWrapping"/>
      </w:r>
      <w:r>
        <w:rPr>
          <w:rFonts w:ascii="Arial Nova" w:hAnsi="Arial Nova" w:eastAsia="Arial" w:cs="Noto Sans"/>
          <w:color w:val="000000"/>
          <w:sz w:val="22"/>
          <w:szCs w:val="22"/>
        </w:rPr>
        <w:t>• POST /api/v1/terminals/{stationId}/pickup — Validates recipient 6-digit PIN and unlocks the assigned compartment door (200 OK, 400 Bad Request, 404 Not Found, 429 Too Many Requests).</w:t>
      </w:r>
      <w:r>
        <w:br w:type="textWrapping"/>
      </w:r>
      <w:r>
        <w:rPr>
          <w:rFonts w:ascii="Arial Nova" w:hAnsi="Arial Nova" w:eastAsia="Arial" w:cs="Noto Sans"/>
          <w:color w:val="000000"/>
          <w:sz w:val="22"/>
          <w:szCs w:val="22"/>
        </w:rPr>
        <w:t>• POST /api/v1/terminals/{stationId}/dropoff — Validates courier drop-off code to deposit parcel (200 OK, 409 Conflict).</w:t>
      </w:r>
      <w:r>
        <w:br w:type="textWrapping"/>
      </w:r>
      <w:r>
        <w:rPr>
          <w:rFonts w:ascii="Arial Nova" w:hAnsi="Arial Nova" w:eastAsia="Arial" w:cs="Noto Sans"/>
          <w:color w:val="000000"/>
          <w:sz w:val="22"/>
          <w:szCs w:val="22"/>
        </w:rPr>
        <w:t>• POST /api/v1/terminals/{stationId}/events/door-closed — Hardware callback registering that a door was physically closed, advancing the parcel state (200 OK).</w:t>
      </w:r>
      <w:r>
        <w:br w:type="textWrapping"/>
      </w:r>
      <w:r>
        <w:br w:type="textWrapping"/>
      </w:r>
      <w:r>
        <w:rPr>
          <w:rFonts w:ascii="Arial Nova" w:hAnsi="Arial Nova" w:eastAsia="Arial" w:cs="Noto Sans"/>
          <w:color w:val="000000"/>
          <w:sz w:val="22"/>
          <w:szCs w:val="22"/>
        </w:rPr>
        <w:t>4. Operator Maintenance (/api/v1/operator)</w:t>
      </w:r>
      <w:r>
        <w:br w:type="textWrapping"/>
      </w:r>
      <w:r>
        <w:rPr>
          <w:rFonts w:ascii="Arial Nova" w:hAnsi="Arial Nova" w:eastAsia="Arial" w:cs="Noto Sans"/>
          <w:color w:val="000000"/>
          <w:sz w:val="22"/>
          <w:szCs w:val="22"/>
        </w:rPr>
        <w:t>• PUT /api/v1/operator/compartments/{id}/status — Updates compartment status to OUT_OF_SERVICE or restores it to FREE, requiring a mandatory maintenanceNote (200 OK, 400 Bad Request).</w:t>
      </w:r>
      <w:r>
        <w:br w:type="textWrapping"/>
      </w:r>
      <w:r>
        <w:rPr>
          <w:rFonts w:ascii="Arial Nova" w:hAnsi="Arial Nova" w:eastAsia="Arial" w:cs="Noto Sans"/>
          <w:color w:val="000000"/>
          <w:sz w:val="22"/>
          <w:szCs w:val="22"/>
        </w:rPr>
        <w:t>• POST /api/v1/operator/parcels/{trackingCode}/relocate — Relocates a parcel stuck in a jammed door to an operational compartment (200 OK, 409 Conflict).</w:t>
      </w:r>
      <w:r>
        <w:br w:type="textWrapping"/>
      </w:r>
      <w:r>
        <w:rPr>
          <w:rFonts w:ascii="Arial Nova" w:hAnsi="Arial Nova" w:eastAsia="Arial" w:cs="Noto Sans"/>
          <w:color w:val="000000"/>
          <w:sz w:val="22"/>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 Total Automated Tests: 70 tests executed with 0 failures and 0 errors (100% pass rate).</w:t>
        <w:br/>
        <w:t>• Pure Domain Unit Tests: 23 tests (16 in ParcelStateMachineServiceTest, 7 in StationRankingServiceTest).</w:t>
        <w:br/>
        <w:t>• Test Doubles &amp; Mocking: 22 tests (ParcelServiceTest, TerminalServiceTest, InMemoryHardwareFakeTest).</w:t>
        <w:br/>
        <w:t>• Web Slice Tests (@WebMvcTest): 18 tests validating HTTP status codes and RFC 7807 ProblemDetail formats.</w:t>
        <w:br/>
        <w:t>• Database Concurrency Integration: Multi-threaded suite in PessimisticLockingPostgresTest via Testcontainers.</w:t>
        <w:br/>
        <w:t>• BDD Acceptance Scenarios: 3 Gherkin feature files (19 steps) driving TerminalService.</w:t>
        <w:br/>
        <w:t>• End-to-End Browser Automation: Real Chromium browser automation via Microsoft Playwright for Java.</w:t>
        <w:br/>
        <w:t>• Non-Functional Performance: Automated Grafana k6 suite evaluating nominal, spike, and brute-force workloads.</w:t>
        <w:br/>
        <w:t>• Security Rate-Limiting: Multi-layered brute-force defense tested across all architectural layers.</w:t>
        <w:br/>
        <w:t>• Accessibility (WCAG 2.1 AA): Validated through high-contrast focus rings and full keyboard navigation.</w:t>
        <w:br/>
        <w:t>• Fault Injection &amp; Resilience: Hardware solenoid jamming simulated in memory with RFC 7807 error dispatching.</w:t>
      </w:r>
    </w:p>
    <w:p>
      <w:r>
        <w:t>TuttiBox adopts a structured automated testing pyramid spanning unit tests, in-memory test doubles (fakes), web controller slices, database integration tests with Testcontainers, end-to-end browser automation, and BDD acceptance specifications. All tests are organized under the src/test/java/pt/ua/deti/tqs/tuttibox/ hierarchy.</w:t>
      </w:r>
    </w:p>
    <w:p>
      <w:r>
        <w:t>Test Execution Workflow:</w:t>
      </w:r>
    </w:p>
    <w:p>
      <w:r>
        <w:t>• Unit and slice suites are executed using the Maven Surefire Plugin via 'mvn test' (61 automated tests active, 0 failures, 100% pass rate).</w:t>
      </w:r>
    </w:p>
    <w:p>
      <w:r>
        <w:t>• Integration tests requiring containerized dependencies (PostgreSQL 18 via Testcontainers) and browser execution are bound to 'mvn verify'.</w:t>
      </w:r>
    </w:p>
    <w:p>
      <w:r>
        <w:t>• Continuous static analysis and code coverage are executed via GitHub Actions CI triggering 'mvn clean verify org.sonarsource.scanner.maven:sonar-maven-plugin:sonar'.</w:t>
      </w:r>
    </w:p>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t>Web controller endpoints are tested using Spring Boot slice testing (@WebMvcTest), loading the web layer infrastructure without instantiating full database contexts:</w:t>
      </w:r>
    </w:p>
    <w:p>
      <w:r>
        <w:t>• ParcelControllerTest, StationControllerTest, and TerminalControllerTest verify HTTP status codes, query ranking, and payload serialization in isolation using MockMvc.</w:t>
      </w:r>
    </w:p>
    <w:p>
      <w:r>
        <w:t>• Global error handling via GlobalExceptionHandler (@RestControllerAdvice) is verified against RFC 7807 (ProblemDetail), confirming that input validation failures yield HTTP 400 with structured invalidFields, invalid PIN entries yield HTTP 401, security lockouts yield HTTP 429, and door jamming faults yield HTTP 500.</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t xml:space="preserve">  - hardware_failure.feature (Hardware Failure): Simulates physical solenoid/sensor jamming during door closure, verifying that the system safely halts, flags the compartment as OUT_OF_SERVICE, and transitions the parcel to WAITING_FOR_OPERATOR for manual recovery.</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t>Static code analysis is powered by SonarQube Cloud integrated with GitHub Actions CI via the JaCoCo Maven plugin.</w:t>
        <w:br/>
        <w:br/>
        <w:t>• Quality Gate Status: PASSED (OK) across all conditions.</w:t>
        <w:br/>
        <w:t>• Line Coverage: 73.2% line coverage verified by JaCoCo across 38 application classes.</w:t>
        <w:br/>
        <w:t>• Maintainability, Security &amp; Reliability: 0 Bugs, 0 Vulnerabilidades, 0 Security Hotspots, and 0 Code Smells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r>
        <w:t>Continuous static analysis and code coverage verification were integrated into the development lifecycle:</w:t>
      </w:r>
    </w:p>
    <w:p>
      <w:r>
        <w:t>• Tooling &amp; Quality Gate Definition: Static code analysis is powered by SonarQube Cloud integrated with GitHub Actions CI via the Maven JaCoCo plugin (jacoco-maven-plugin). The defined Quality Gate enforces: (1) Line Coverage &gt;= 70% on new and overall code, (2) 0 Vulnerabilities, (3) 0 Bugs, (4) Technical Debt Ratio &lt; 5%, and (5) Security Hotspots reviewed.</w:t>
      </w:r>
    </w:p>
    <w:p>
      <w:r>
        <w:t>• Dashboard Results &amp; Metrics:</w:t>
      </w:r>
    </w:p>
    <w:p>
      <w:r>
        <w:t xml:space="preserve">  - Quality Gate Status: PASSED (OK).</w:t>
      </w:r>
    </w:p>
    <w:p>
      <w:r>
        <w:t xml:space="preserve">  - Code Coverage: 73.2% line coverage across domain services and controllers (analyzing 38 production classes).</w:t>
      </w:r>
    </w:p>
    <w:p>
      <w:r>
        <w:t xml:space="preserve">  - Maintainability &amp; Reliability: 0 Bugs, 0 Vulnerabilities, 0 Security Hotspots, and 0 Code Smells (Rating A across all axes).</w:t>
      </w:r>
    </w:p>
    <w:p>
      <w:r>
        <w:t>• Lessons Learned: Running the full application context under load revealed a JPA Hibernate LazyInitializationException on detached LockerStation collections during DTO mapping in StationController, which was resolved by adding @EntityGraph(attributePaths = {"compartments"}) and @Transactional(readOnly = true). Additionally, Spring's default transaction rollback on unchecked exceptions was prevented for security audit logs via @Transactional(noRollbackFor = DomainRuleException.class).</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blHeader/>
        </w:trPr>
        <w:tc>
          <w:tcPr>
            <w:tcW w:w="2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rPr>
                <w:rFonts w:ascii="Calibri" w:hAnsi="Calibri"/>
                <w:b/>
                <w:i w:val="0"/>
                <w:color w:val="222222"/>
                <w:sz w:val="21"/>
              </w:rPr>
              <w:t>Resource</w:t>
            </w:r>
          </w:p>
        </w:tc>
        <w:tc>
          <w:tcPr>
            <w:tcW w:w="627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34F65" w14:textId="77777777">
            <w:pPr>
              <w:pStyle w:val="tableinside"/>
              <w:spacing w:before="20" w:after="20"/>
            </w:pPr>
            <w:r>
              <w:rPr>
                <w:rFonts w:ascii="Arial Nova" w:hAnsi="Arial Nova" w:eastAsia="Arial" w:cs="Noto Sans" w:asciiTheme="minorHAnsi" w:hAnsiTheme="minorHAnsi"/>
                <w:color w:val="000000"/>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F8E04F" w14:textId="77777777">
            <w:pPr>
              <w:pStyle w:val="tableinside"/>
              <w:spacing w:before="20" w:after="20"/>
            </w:pPr>
            <w:r>
              <w:rPr>
                <w:rFonts w:ascii="Arial Nova" w:hAnsi="Arial Nova" w:eastAsia="Arial" w:cs="Noto Sans" w:asciiTheme="minorHAnsi" w:hAnsiTheme="minorHAnsi"/>
                <w:color w:val="000000"/>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docs/tuttibox_demo.webm (Recorded walkthrough in repository covering OpenAPI, Courier Dropoff, Customer Pickup, Security Lockout, and Operator Dashboard)</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439683" w14:textId="77777777">
            <w:pPr>
              <w:pStyle w:val="tableinside"/>
              <w:spacing w:before="20" w:after="20"/>
            </w:pPr>
            <w:r>
              <w:rPr>
                <w:rFonts w:ascii="Arial Nova" w:hAnsi="Arial Nova" w:eastAsia="Arial" w:cs="Noto Sans" w:asciiTheme="minorHAnsi" w:hAnsiTheme="minorHAnsi"/>
                <w:color w:val="000000"/>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677D31" w14:textId="77777777">
            <w:pPr>
              <w:pStyle w:val="tableinside"/>
              <w:spacing w:before="20" w:after="20"/>
            </w:pPr>
            <w:r>
              <w:rPr>
                <w:rFonts w:ascii="Arial Nova" w:hAnsi="Arial Nova" w:eastAsia="Arial" w:cs="Noto Sans" w:asciiTheme="minorHAnsi" w:hAnsiTheme="minorHAnsi"/>
                <w:color w:val="000000"/>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662557" w14:textId="77777777">
            <w:pPr>
              <w:pStyle w:val="tableinside"/>
              <w:spacing w:before="20" w:after="20"/>
            </w:pPr>
            <w:r>
              <w:rPr>
                <w:rFonts w:ascii="Arial Nova" w:hAnsi="Arial Nova" w:eastAsia="Arial" w:cs="Noto Sans" w:asciiTheme="minorHAnsi" w:hAnsiTheme="minorHAnsi"/>
                <w:color w:val="000000"/>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https://github.com/FilipeNogue1ra/HW1-119495/actions</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14:paraId="7677BF7B" w14:textId="77777777">
      <w:pPr>
        <w:pStyle w:val="remarks-to-remove"/>
      </w:pPr>
      <w:r/>
    </w:p>
    <w:p>
      <w:r>
        <w:rPr>
          <w:b/>
          <w:color w:val="1A365D"/>
          <w:sz w:val="26"/>
        </w:rPr>
        <w:t>Filipe Nogueira [119495], v2026-10-29</w:t>
      </w:r>
    </w:p>
    <w:p>
      <w:r>
        <w:t>• Core Frameworks: Spring Boot 3.4.2 (Web, Data JPA, Thymeleaf), PostgreSQL 16, H2 Database.</w:t>
      </w:r>
    </w:p>
    <w:p>
      <w:r>
        <w:t>• Testing Stack: JUnit 5, Mockito 5, AssertJ, Cucumber BDD 7.21, Microsoft Playwright 1.49, Testcontainers 1.20, Grafana k6 v2.2.0.</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