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" w:line="240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5C6B67"/>
          <w:spacing w:val="0"/>
          <w:position w:val="0"/>
          <w:sz w:val="16"/>
          <w:shd w:fill="auto" w:val="clear"/>
        </w:rPr>
        <w:t xml:space="preserve">DOCUMENTO DE DIAGNÓSTICO </w:t>
      </w:r>
      <w:r>
        <w:rPr>
          <w:rFonts w:ascii="Calibri" w:hAnsi="Calibri" w:cs="Calibri" w:eastAsia="Calibri"/>
          <w:b/>
          <w:color w:val="5C6B67"/>
          <w:spacing w:val="0"/>
          <w:position w:val="0"/>
          <w:sz w:val="16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5C6B67"/>
          <w:spacing w:val="0"/>
          <w:position w:val="0"/>
          <w:sz w:val="16"/>
          <w:shd w:fill="auto" w:val="clear"/>
        </w:rPr>
        <w:t xml:space="preserve"> CONFIDENCIAL</w:t>
      </w:r>
    </w:p>
    <w:p>
      <w:pPr>
        <w:spacing w:before="0" w:after="60" w:line="240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F2933"/>
          <w:spacing w:val="0"/>
          <w:position w:val="0"/>
          <w:sz w:val="40"/>
          <w:shd w:fill="auto" w:val="clear"/>
        </w:rPr>
        <w:t xml:space="preserve">Comercial Boa Safra Distribuidora Ltda.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5C6B67"/>
          <w:spacing w:val="0"/>
          <w:position w:val="0"/>
          <w:sz w:val="22"/>
          <w:shd w:fill="auto" w:val="clear"/>
        </w:rPr>
        <w:t xml:space="preserve">Levantamento de dores operacionais e de dados </w:t>
      </w:r>
      <w:r>
        <w:rPr>
          <w:rFonts w:ascii="Calibri" w:hAnsi="Calibri" w:cs="Calibri" w:eastAsia="Calibri"/>
          <w:i/>
          <w:color w:val="5C6B67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5C6B67"/>
          <w:spacing w:val="0"/>
          <w:position w:val="0"/>
          <w:sz w:val="22"/>
          <w:shd w:fill="auto" w:val="clear"/>
        </w:rPr>
        <w:t xml:space="preserve"> base para proposta de projeto de engenharia de dados</w:t>
      </w: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5C6B67"/>
                <w:spacing w:val="0"/>
                <w:position w:val="0"/>
                <w:sz w:val="16"/>
                <w:shd w:fill="auto" w:val="clear"/>
              </w:rPr>
              <w:t xml:space="preserve">Setor</w:t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21"/>
                <w:shd w:fill="auto" w:val="clear"/>
              </w:rPr>
              <w:br/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9"/>
                <w:shd w:fill="auto" w:val="clear"/>
              </w:rPr>
              <w:t xml:space="preserve">Atacado / distribuição de alimentos e limpeza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5C6B67"/>
                <w:spacing w:val="0"/>
                <w:position w:val="0"/>
                <w:sz w:val="16"/>
                <w:shd w:fill="auto" w:val="clear"/>
              </w:rPr>
              <w:t xml:space="preserve">Porte</w:t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21"/>
                <w:shd w:fill="auto" w:val="clear"/>
              </w:rPr>
              <w:br/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9"/>
                <w:shd w:fill="auto" w:val="clear"/>
              </w:rPr>
              <w:t xml:space="preserve">R$ 92 mi/ano · 210 funcionários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5C6B67"/>
                <w:spacing w:val="0"/>
                <w:position w:val="0"/>
                <w:sz w:val="16"/>
                <w:shd w:fill="auto" w:val="clear"/>
              </w:rPr>
              <w:t xml:space="preserve">Preparado por</w:t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21"/>
                <w:shd w:fill="auto" w:val="clear"/>
              </w:rPr>
              <w:br/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9"/>
                <w:shd w:fill="auto" w:val="clear"/>
              </w:rPr>
              <w:t xml:space="preserve">Diagnóstico inicial </w:t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9"/>
                <w:shd w:fill="auto" w:val="clear"/>
              </w:rPr>
              <w:t xml:space="preserve"> Eng. de Dados</w:t>
            </w:r>
          </w:p>
        </w:tc>
      </w:tr>
    </w:tbl>
    <w:p>
      <w:pPr>
        <w:spacing w:before="60" w:after="180" w:line="240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4463B"/>
          <w:spacing w:val="0"/>
          <w:position w:val="0"/>
          <w:sz w:val="32"/>
          <w:shd w:fill="auto" w:val="clear"/>
        </w:rPr>
        <w:t xml:space="preserve">1. Contexto da empresa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A Comercial Boa Safra é uma distribuidora atacadista fundada em 1998, com sede em Contagem (MG) e dois centros de distribuição (MG e GO). Atende cerca de 3.400 clientes ativos 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 mercados de bairro, padarias, food service e pequenas redes 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 com um mix de aproximadamente 6.500 SKUs de alimentos, bebidas, higiene e limpeza.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O faturamento cresceu de forma consistente na última década, mas a operação de dados não acompanhou. A empresa roda hoje sobre um ERP antigo, um sistema de força de vendas separado, uma ferramenta de e-commerce B2B recém-adotada e, no meio de tudo, dezenas de planilhas mantidas manualmente. A diretoria admite que "toma decisões no escuro" e que fechar um número simples pode levar dias.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5C6B67"/>
          <w:spacing w:val="0"/>
          <w:position w:val="0"/>
          <w:sz w:val="21"/>
          <w:shd w:fill="auto" w:val="clear"/>
        </w:rPr>
        <w:t xml:space="preserve">Frase do diretor comercial na reunião de diagnóstico: </w:t>
      </w:r>
      <w:r>
        <w:rPr>
          <w:rFonts w:ascii="Calibri" w:hAnsi="Calibri" w:cs="Calibri" w:eastAsia="Calibri"/>
          <w:i/>
          <w:color w:val="1F2933"/>
          <w:spacing w:val="0"/>
          <w:position w:val="0"/>
          <w:sz w:val="21"/>
          <w:shd w:fill="auto" w:val="clear"/>
        </w:rPr>
        <w:t xml:space="preserve">"Eu sei que tem cliente que dá prejuízo, mas não sei te dizer qual. E quando descubro, já perdi a margem do trimestre."</w:t>
      </w: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4463B"/>
          <w:spacing w:val="0"/>
          <w:position w:val="0"/>
          <w:sz w:val="32"/>
          <w:shd w:fill="auto" w:val="clear"/>
        </w:rPr>
        <w:t xml:space="preserve">2. Sistemas em uso (e por que não conversam)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Quatro fontes principais de dados, sem integração entre si. Cada área extrai o que precisa em planilha e consolida à mão.</w:t>
      </w:r>
    </w:p>
    <w:tbl>
      <w:tblPr/>
      <w:tblGrid>
        <w:gridCol w:w="2200"/>
        <w:gridCol w:w="3400"/>
        <w:gridCol w:w="1900"/>
        <w:gridCol w:w="18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14463b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Sistema</w:t>
            </w:r>
          </w:p>
        </w:tc>
        <w:tc>
          <w:tcPr>
            <w:tcW w:w="340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14463b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O que controla</w:t>
            </w:r>
          </w:p>
        </w:tc>
        <w:tc>
          <w:tcPr>
            <w:tcW w:w="190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14463b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Formato de saída</w:t>
            </w:r>
          </w:p>
        </w:tc>
        <w:tc>
          <w:tcPr>
            <w:tcW w:w="186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14463b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Chave do cliente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2933"/>
                <w:spacing w:val="0"/>
                <w:position w:val="0"/>
                <w:sz w:val="19"/>
                <w:shd w:fill="auto" w:val="clear"/>
              </w:rPr>
              <w:t xml:space="preserve">ERP (Protheus antigo)</w:t>
            </w:r>
          </w:p>
        </w:tc>
        <w:tc>
          <w:tcPr>
            <w:tcW w:w="340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9"/>
                <w:shd w:fill="auto" w:val="clear"/>
              </w:rPr>
              <w:t xml:space="preserve">Faturamento, estoque, financeiro</w:t>
            </w:r>
          </w:p>
        </w:tc>
        <w:tc>
          <w:tcPr>
            <w:tcW w:w="190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9"/>
                <w:shd w:fill="auto" w:val="clear"/>
              </w:rPr>
              <w:t xml:space="preserve">Exportação CSV / TXT</w:t>
            </w:r>
          </w:p>
        </w:tc>
        <w:tc>
          <w:tcPr>
            <w:tcW w:w="186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9"/>
                <w:shd w:fill="auto" w:val="clear"/>
              </w:rPr>
              <w:t xml:space="preserve">cod_cli (numérico)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f2f4f0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2933"/>
                <w:spacing w:val="0"/>
                <w:position w:val="0"/>
                <w:sz w:val="19"/>
                <w:shd w:fill="auto" w:val="clear"/>
              </w:rPr>
              <w:t xml:space="preserve">Força de vendas (app)</w:t>
            </w:r>
          </w:p>
        </w:tc>
        <w:tc>
          <w:tcPr>
            <w:tcW w:w="340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f2f4f0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9"/>
                <w:shd w:fill="auto" w:val="clear"/>
              </w:rPr>
              <w:t xml:space="preserve">Pedidos de representantes, visitas</w:t>
            </w:r>
          </w:p>
        </w:tc>
        <w:tc>
          <w:tcPr>
            <w:tcW w:w="190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f2f4f0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9"/>
                <w:shd w:fill="auto" w:val="clear"/>
              </w:rPr>
              <w:t xml:space="preserve">Relatório .xlsx</w:t>
            </w:r>
          </w:p>
        </w:tc>
        <w:tc>
          <w:tcPr>
            <w:tcW w:w="186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f2f4f0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9"/>
                <w:shd w:fill="auto" w:val="clear"/>
              </w:rPr>
              <w:t xml:space="preserve">CLIENTE_ID (com prefixo UF)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2933"/>
                <w:spacing w:val="0"/>
                <w:position w:val="0"/>
                <w:sz w:val="19"/>
                <w:shd w:fill="auto" w:val="clear"/>
              </w:rPr>
              <w:t xml:space="preserve">E-commerce B2B</w:t>
            </w:r>
          </w:p>
        </w:tc>
        <w:tc>
          <w:tcPr>
            <w:tcW w:w="340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9"/>
                <w:shd w:fill="auto" w:val="clear"/>
              </w:rPr>
              <w:t xml:space="preserve">Pedidos online do varejista</w:t>
            </w:r>
          </w:p>
        </w:tc>
        <w:tc>
          <w:tcPr>
            <w:tcW w:w="190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9"/>
                <w:shd w:fill="auto" w:val="clear"/>
              </w:rPr>
              <w:t xml:space="preserve">Painel + export CSV</w:t>
            </w:r>
          </w:p>
        </w:tc>
        <w:tc>
          <w:tcPr>
            <w:tcW w:w="186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9"/>
                <w:shd w:fill="auto" w:val="clear"/>
              </w:rPr>
              <w:t xml:space="preserve">email do comprador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f2f4f0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2933"/>
                <w:spacing w:val="0"/>
                <w:position w:val="0"/>
                <w:sz w:val="19"/>
                <w:shd w:fill="auto" w:val="clear"/>
              </w:rPr>
              <w:t xml:space="preserve">Planilhas (RH/Compras)</w:t>
            </w:r>
          </w:p>
        </w:tc>
        <w:tc>
          <w:tcPr>
            <w:tcW w:w="340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f2f4f0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9"/>
                <w:shd w:fill="auto" w:val="clear"/>
              </w:rPr>
              <w:t xml:space="preserve">Custos, metas, comissões, fretes</w:t>
            </w:r>
          </w:p>
        </w:tc>
        <w:tc>
          <w:tcPr>
            <w:tcW w:w="190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f2f4f0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9"/>
                <w:shd w:fill="auto" w:val="clear"/>
              </w:rPr>
              <w:t xml:space="preserve">Google Sheets / Excel</w:t>
            </w:r>
          </w:p>
        </w:tc>
        <w:tc>
          <w:tcPr>
            <w:tcW w:w="186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f2f4f0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9"/>
                <w:shd w:fill="auto" w:val="clear"/>
              </w:rPr>
              <w:t xml:space="preserve">nome digitado à mão</w:t>
            </w:r>
          </w:p>
        </w:tc>
      </w:tr>
    </w:tbl>
    <w:p>
      <w:pPr>
        <w:spacing w:before="0" w:after="60" w:line="276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F2933"/>
          <w:spacing w:val="0"/>
          <w:position w:val="0"/>
          <w:sz w:val="21"/>
          <w:shd w:fill="auto" w:val="clear"/>
        </w:rPr>
        <w:t xml:space="preserve">O problema central: 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o mesmo cliente aparece como "001234" no ERP, "MG-1234" no app de vendas e "compras@mercado.com" no e-commerce. Ninguém consegue dizer, com confiança, quanto um cliente comprou no total somando os três canais.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4463B"/>
          <w:spacing w:val="0"/>
          <w:position w:val="0"/>
          <w:sz w:val="32"/>
          <w:shd w:fill="auto" w:val="clear"/>
        </w:rPr>
        <w:t xml:space="preserve">3. As cinco dores mapeadas</w:t>
      </w:r>
    </w:p>
    <w:p>
      <w:pPr>
        <w:spacing w:before="16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3"/>
          <w:spacing w:val="0"/>
          <w:position w:val="0"/>
          <w:sz w:val="24"/>
          <w:shd w:fill="auto" w:val="clear"/>
        </w:rPr>
        <w:t xml:space="preserve">3.1  Dezenas de planilhas mantidas à mão</w:t>
      </w:r>
    </w:p>
    <w:p>
      <w:pPr>
        <w:numPr>
          <w:ilvl w:val="0"/>
          <w:numId w:val="31"/>
        </w:numPr>
        <w:spacing w:before="0" w:after="90" w:line="268"/>
        <w:ind w:right="0" w:left="420" w:hanging="22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O fechamento comercial mensal depende de 27 planilhas interligadas, mantidas por 3 analistas.</w:t>
      </w:r>
    </w:p>
    <w:p>
      <w:pPr>
        <w:numPr>
          <w:ilvl w:val="0"/>
          <w:numId w:val="31"/>
        </w:numPr>
        <w:spacing w:before="0" w:after="90" w:line="268"/>
        <w:ind w:right="0" w:left="420" w:hanging="22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Há três "versões da verdade" para faturamento: a do comercial, a do financeiro e a da diretoria 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 e elas n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ão batem.</w:t>
      </w:r>
    </w:p>
    <w:p>
      <w:pPr>
        <w:numPr>
          <w:ilvl w:val="0"/>
          <w:numId w:val="31"/>
        </w:numPr>
        <w:spacing w:before="0" w:after="90" w:line="268"/>
        <w:ind w:right="0" w:left="420" w:hanging="22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Estimativa de esforço: </w:t>
      </w: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3"/>
          <w:spacing w:val="0"/>
          <w:position w:val="0"/>
          <w:sz w:val="24"/>
          <w:shd w:fill="auto" w:val="clear"/>
        </w:rPr>
        <w:t xml:space="preserve">3.2  Relatórios que demoram dias</w:t>
      </w:r>
    </w:p>
    <w:p>
      <w:pPr>
        <w:numPr>
          <w:ilvl w:val="0"/>
          <w:numId w:val="33"/>
        </w:numPr>
        <w:spacing w:before="0" w:after="90" w:line="268"/>
        <w:ind w:right="0" w:left="420" w:hanging="22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Um relatório de rentabilidade por cliente leva de 2 a 4 dias para ficar pronto 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 quando fica.</w:t>
      </w:r>
    </w:p>
    <w:p>
      <w:pPr>
        <w:numPr>
          <w:ilvl w:val="0"/>
          <w:numId w:val="33"/>
        </w:numPr>
        <w:spacing w:before="0" w:after="90" w:line="268"/>
        <w:ind w:right="0" w:left="420" w:hanging="22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A diretoria recebe os números do mês fechado só por volta do dia 12 do mês seguinte.</w:t>
      </w:r>
    </w:p>
    <w:p>
      <w:pPr>
        <w:numPr>
          <w:ilvl w:val="0"/>
          <w:numId w:val="33"/>
        </w:numPr>
        <w:spacing w:before="0" w:after="90" w:line="268"/>
        <w:ind w:right="0" w:left="420" w:hanging="22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Como o dado chega tarde, a decisão vem tarde: reajuste de preço, corte de desconto e renegociação sempre acontecem "depois do prejuízo".</w:t>
      </w: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3"/>
          <w:spacing w:val="0"/>
          <w:position w:val="0"/>
          <w:sz w:val="24"/>
          <w:shd w:fill="auto" w:val="clear"/>
        </w:rPr>
        <w:t xml:space="preserve">3.3  Não sabem quais clientes dão lucro</w:t>
      </w:r>
    </w:p>
    <w:p>
      <w:pPr>
        <w:numPr>
          <w:ilvl w:val="0"/>
          <w:numId w:val="35"/>
        </w:numPr>
        <w:spacing w:before="0" w:after="90" w:line="268"/>
        <w:ind w:right="0" w:left="420" w:hanging="22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A empresa olha faturamento, não margem. Cliente que compra muito é tratado como bom cliente 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 mesmo quando vive de desconto.</w:t>
      </w:r>
    </w:p>
    <w:p>
      <w:pPr>
        <w:numPr>
          <w:ilvl w:val="0"/>
          <w:numId w:val="35"/>
        </w:numPr>
        <w:spacing w:before="0" w:after="90" w:line="268"/>
        <w:ind w:right="0" w:left="420" w:hanging="22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Não há visão de custo de atendimento (frete, visita de representante, telemarketing, devolução) por cliente.</w:t>
      </w:r>
    </w:p>
    <w:p>
      <w:pPr>
        <w:numPr>
          <w:ilvl w:val="0"/>
          <w:numId w:val="35"/>
        </w:numPr>
        <w:spacing w:before="0" w:after="90" w:line="268"/>
        <w:ind w:right="0" w:left="420" w:hanging="22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Suspeita da diretoria (não comprovada por falta de dado): </w:t>
      </w:r>
      <w:r>
        <w:rPr>
          <w:rFonts w:ascii="Calibri" w:hAnsi="Calibri" w:cs="Calibri" w:eastAsia="Calibri"/>
          <w:b/>
          <w:color w:val="B23A2E"/>
          <w:spacing w:val="0"/>
          <w:position w:val="0"/>
          <w:sz w:val="21"/>
          <w:shd w:fill="auto" w:val="clear"/>
        </w:rPr>
        <w:t xml:space="preserve">cerca de 15% a 20% dos clientes ativos podem estar operando no prejuízo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 depois de todos os custos.</w:t>
      </w: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3"/>
          <w:spacing w:val="0"/>
          <w:position w:val="0"/>
          <w:sz w:val="24"/>
          <w:shd w:fill="auto" w:val="clear"/>
        </w:rPr>
        <w:t xml:space="preserve">3.4  Não conseguem prever vendas</w:t>
      </w:r>
    </w:p>
    <w:p>
      <w:pPr>
        <w:numPr>
          <w:ilvl w:val="0"/>
          <w:numId w:val="37"/>
        </w:numPr>
        <w:spacing w:before="0" w:after="90" w:line="268"/>
        <w:ind w:right="0" w:left="420" w:hanging="22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A previsão de vendas é feita "no feeling" pelo gerente de cada CD.</w:t>
      </w:r>
    </w:p>
    <w:p>
      <w:pPr>
        <w:numPr>
          <w:ilvl w:val="0"/>
          <w:numId w:val="37"/>
        </w:numPr>
        <w:spacing w:before="0" w:after="90" w:line="268"/>
        <w:ind w:right="0" w:left="420" w:hanging="22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Consequência dupla: compras erram o volume (falta de produto girador e sobra de produto parado) e o capital fica preso em estoque.</w:t>
      </w:r>
    </w:p>
    <w:p>
      <w:pPr>
        <w:numPr>
          <w:ilvl w:val="0"/>
          <w:numId w:val="37"/>
        </w:numPr>
        <w:spacing w:before="0" w:after="90" w:line="268"/>
        <w:ind w:right="0" w:left="420" w:hanging="22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Ruptura estimada em </w:t>
      </w:r>
      <w:r>
        <w:rPr>
          <w:rFonts w:ascii="Calibri" w:hAnsi="Calibri" w:cs="Calibri" w:eastAsia="Calibri"/>
          <w:b/>
          <w:color w:val="1F2933"/>
          <w:spacing w:val="0"/>
          <w:position w:val="0"/>
          <w:sz w:val="21"/>
          <w:shd w:fill="auto" w:val="clear"/>
        </w:rPr>
        <w:t xml:space="preserve">cerca de 8% dos itens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 nos picos sazonais; e estoque parado amarrando capital de giro.</w:t>
      </w: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2933"/>
          <w:spacing w:val="0"/>
          <w:position w:val="0"/>
          <w:sz w:val="24"/>
          <w:shd w:fill="auto" w:val="clear"/>
        </w:rPr>
        <w:t xml:space="preserve">3.5  Sistemas que não se falam</w:t>
      </w:r>
    </w:p>
    <w:p>
      <w:pPr>
        <w:numPr>
          <w:ilvl w:val="0"/>
          <w:numId w:val="39"/>
        </w:numPr>
        <w:spacing w:before="0" w:after="90" w:line="268"/>
        <w:ind w:right="0" w:left="420" w:hanging="22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Sem cadastro unificado de cliente, é impossível ver a jornada completa (quem compra no app também compra no e-commerce?).</w:t>
      </w:r>
    </w:p>
    <w:p>
      <w:pPr>
        <w:numPr>
          <w:ilvl w:val="0"/>
          <w:numId w:val="39"/>
        </w:numPr>
        <w:spacing w:before="0" w:after="90" w:line="268"/>
        <w:ind w:right="0" w:left="420" w:hanging="22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Comissão de representante é conferida à mão porque o app e o ERP divergem.</w:t>
      </w:r>
    </w:p>
    <w:p>
      <w:pPr>
        <w:numPr>
          <w:ilvl w:val="0"/>
          <w:numId w:val="39"/>
        </w:numPr>
        <w:spacing w:before="0" w:after="90" w:line="268"/>
        <w:ind w:right="0" w:left="420" w:hanging="22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Toda análise nova começa do zero: exportar, limpar, cruzar VLOOKUP, rezar para as chaves baterem.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4463B"/>
          <w:spacing w:val="0"/>
          <w:position w:val="0"/>
          <w:sz w:val="32"/>
          <w:shd w:fill="auto" w:val="clear"/>
        </w:rPr>
        <w:t xml:space="preserve">4. Impacto estimado (a ser validado com os dados reais)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Números levantados na conversa de diagnóstico, ainda como ordem de grandeza. A validação exata faz parte da primeira fase do projeto.</w:t>
      </w:r>
    </w:p>
    <w:tbl>
      <w:tblPr/>
      <w:tblGrid>
        <w:gridCol w:w="3600"/>
        <w:gridCol w:w="3200"/>
        <w:gridCol w:w="2560"/>
      </w:tblGrid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1f2933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Dor</w:t>
            </w:r>
          </w:p>
        </w:tc>
        <w:tc>
          <w:tcPr>
            <w:tcW w:w="320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1f2933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Impacto hoje</w:t>
            </w:r>
          </w:p>
        </w:tc>
        <w:tc>
          <w:tcPr>
            <w:tcW w:w="256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1f2933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Oportunidade anual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2933"/>
                <w:spacing w:val="0"/>
                <w:position w:val="0"/>
                <w:sz w:val="19"/>
                <w:shd w:fill="auto" w:val="clear"/>
              </w:rPr>
              <w:t xml:space="preserve">Consolidação manual</w:t>
            </w:r>
          </w:p>
        </w:tc>
        <w:tc>
          <w:tcPr>
            <w:tcW w:w="320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9"/>
                <w:shd w:fill="auto" w:val="clear"/>
              </w:rPr>
              <w:t xml:space="preserve">~30 h/semana de 3 analistas</w:t>
            </w:r>
          </w:p>
        </w:tc>
        <w:tc>
          <w:tcPr>
            <w:tcW w:w="256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4463B"/>
                <w:spacing w:val="0"/>
                <w:position w:val="0"/>
                <w:sz w:val="19"/>
                <w:shd w:fill="auto" w:val="clear"/>
              </w:rPr>
              <w:t xml:space="preserve">R$ 90</w:t>
            </w:r>
            <w:r>
              <w:rPr>
                <w:rFonts w:ascii="Calibri" w:hAnsi="Calibri" w:cs="Calibri" w:eastAsia="Calibri"/>
                <w:b/>
                <w:color w:val="14463B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14463B"/>
                <w:spacing w:val="0"/>
                <w:position w:val="0"/>
                <w:sz w:val="19"/>
                <w:shd w:fill="auto" w:val="clear"/>
              </w:rPr>
              <w:t xml:space="preserve">130 mil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f2f4f0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2933"/>
                <w:spacing w:val="0"/>
                <w:position w:val="0"/>
                <w:sz w:val="19"/>
                <w:shd w:fill="auto" w:val="clear"/>
              </w:rPr>
              <w:t xml:space="preserve">Clientes deficitários</w:t>
            </w:r>
          </w:p>
        </w:tc>
        <w:tc>
          <w:tcPr>
            <w:tcW w:w="320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f2f4f0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9"/>
                <w:shd w:fill="auto" w:val="clear"/>
              </w:rPr>
              <w:t xml:space="preserve">15</w:t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9"/>
                <w:shd w:fill="auto" w:val="clear"/>
              </w:rPr>
              <w:t xml:space="preserve">20% da base sem margem real</w:t>
            </w:r>
          </w:p>
        </w:tc>
        <w:tc>
          <w:tcPr>
            <w:tcW w:w="256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f2f4f0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4463B"/>
                <w:spacing w:val="0"/>
                <w:position w:val="0"/>
                <w:sz w:val="19"/>
                <w:shd w:fill="auto" w:val="clear"/>
              </w:rPr>
              <w:t xml:space="preserve">R$ 250</w:t>
            </w:r>
            <w:r>
              <w:rPr>
                <w:rFonts w:ascii="Calibri" w:hAnsi="Calibri" w:cs="Calibri" w:eastAsia="Calibri"/>
                <w:b/>
                <w:color w:val="14463B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14463B"/>
                <w:spacing w:val="0"/>
                <w:position w:val="0"/>
                <w:sz w:val="19"/>
                <w:shd w:fill="auto" w:val="clear"/>
              </w:rPr>
              <w:t xml:space="preserve">400 mil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2933"/>
                <w:spacing w:val="0"/>
                <w:position w:val="0"/>
                <w:sz w:val="19"/>
                <w:shd w:fill="auto" w:val="clear"/>
              </w:rPr>
              <w:t xml:space="preserve">Ruptura e estoque parado</w:t>
            </w:r>
          </w:p>
        </w:tc>
        <w:tc>
          <w:tcPr>
            <w:tcW w:w="320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9"/>
                <w:shd w:fill="auto" w:val="clear"/>
              </w:rPr>
              <w:t xml:space="preserve">~8% de ruptura + capital preso</w:t>
            </w:r>
          </w:p>
        </w:tc>
        <w:tc>
          <w:tcPr>
            <w:tcW w:w="256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ffffff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4463B"/>
                <w:spacing w:val="0"/>
                <w:position w:val="0"/>
                <w:sz w:val="19"/>
                <w:shd w:fill="auto" w:val="clear"/>
              </w:rPr>
              <w:t xml:space="preserve">R$ 300</w:t>
            </w:r>
            <w:r>
              <w:rPr>
                <w:rFonts w:ascii="Calibri" w:hAnsi="Calibri" w:cs="Calibri" w:eastAsia="Calibri"/>
                <w:b/>
                <w:color w:val="14463B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14463B"/>
                <w:spacing w:val="0"/>
                <w:position w:val="0"/>
                <w:sz w:val="19"/>
                <w:shd w:fill="auto" w:val="clear"/>
              </w:rPr>
              <w:t xml:space="preserve">500 mil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f2f4f0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2933"/>
                <w:spacing w:val="0"/>
                <w:position w:val="0"/>
                <w:sz w:val="19"/>
                <w:shd w:fill="auto" w:val="clear"/>
              </w:rPr>
              <w:t xml:space="preserve">Desconto sem controle</w:t>
            </w:r>
          </w:p>
        </w:tc>
        <w:tc>
          <w:tcPr>
            <w:tcW w:w="320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f2f4f0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9"/>
                <w:shd w:fill="auto" w:val="clear"/>
              </w:rPr>
              <w:t xml:space="preserve">concedido sem visão de margem</w:t>
            </w:r>
          </w:p>
        </w:tc>
        <w:tc>
          <w:tcPr>
            <w:tcW w:w="2560" w:type="dxa"/>
            <w:tcBorders>
              <w:top w:val="single" w:color="d5dad2" w:sz="2"/>
              <w:left w:val="single" w:color="d5dad2" w:sz="2"/>
              <w:bottom w:val="single" w:color="d5dad2" w:sz="2"/>
              <w:right w:val="single" w:color="d5dad2" w:sz="2"/>
            </w:tcBorders>
            <w:shd w:color="auto" w:fill="f2f4f0" w:val="clear"/>
            <w:tcMar>
              <w:left w:w="110" w:type="dxa"/>
              <w:right w:w="110" w:type="dxa"/>
            </w:tcMar>
            <w:vAlign w:val="center"/>
          </w:tcPr>
          <w:p>
            <w:pPr>
              <w:spacing w:before="0" w:after="14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4463B"/>
                <w:spacing w:val="0"/>
                <w:position w:val="0"/>
                <w:sz w:val="19"/>
                <w:shd w:fill="auto" w:val="clear"/>
              </w:rPr>
              <w:t xml:space="preserve">R$ 150</w:t>
            </w:r>
            <w:r>
              <w:rPr>
                <w:rFonts w:ascii="Calibri" w:hAnsi="Calibri" w:cs="Calibri" w:eastAsia="Calibri"/>
                <w:b/>
                <w:color w:val="14463B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14463B"/>
                <w:spacing w:val="0"/>
                <w:position w:val="0"/>
                <w:sz w:val="19"/>
                <w:shd w:fill="auto" w:val="clear"/>
              </w:rPr>
              <w:t xml:space="preserve">250 mil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F2933"/>
          <w:spacing w:val="0"/>
          <w:position w:val="0"/>
          <w:sz w:val="21"/>
          <w:shd w:fill="auto" w:val="clear"/>
        </w:rPr>
        <w:t xml:space="preserve">Faixa total de oportunidade identificada: </w:t>
      </w:r>
      <w:r>
        <w:rPr>
          <w:rFonts w:ascii="Calibri" w:hAnsi="Calibri" w:cs="Calibri" w:eastAsia="Calibri"/>
          <w:b/>
          <w:color w:val="14463B"/>
          <w:spacing w:val="0"/>
          <w:position w:val="0"/>
          <w:sz w:val="24"/>
          <w:shd w:fill="auto" w:val="clear"/>
        </w:rPr>
        <w:t xml:space="preserve">R$ 800 mil a R$ 1,3 milhão por ano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 o suficiente para justificar um projeto estruturante, n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ão um remendo.</w:t>
      </w: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4463B"/>
          <w:spacing w:val="0"/>
          <w:position w:val="0"/>
          <w:sz w:val="32"/>
          <w:shd w:fill="auto" w:val="clear"/>
        </w:rPr>
        <w:t xml:space="preserve">5. O que a empresa pediu</w:t>
      </w:r>
    </w:p>
    <w:p>
      <w:pPr>
        <w:numPr>
          <w:ilvl w:val="0"/>
          <w:numId w:val="60"/>
        </w:numPr>
        <w:spacing w:before="0" w:after="90" w:line="268"/>
        <w:ind w:right="0" w:left="420" w:hanging="22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Um número de faturamento e margem em que todos confiem 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 a mesma fonte para comercial, financeiro e diretoria.</w:t>
      </w:r>
    </w:p>
    <w:p>
      <w:pPr>
        <w:numPr>
          <w:ilvl w:val="0"/>
          <w:numId w:val="60"/>
        </w:numPr>
        <w:spacing w:before="0" w:after="90" w:line="268"/>
        <w:ind w:right="0" w:left="420" w:hanging="22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Saber, por cliente e por categoria, quem dá lucro de verdade depois de todos os custos.</w:t>
      </w:r>
    </w:p>
    <w:p>
      <w:pPr>
        <w:numPr>
          <w:ilvl w:val="0"/>
          <w:numId w:val="60"/>
        </w:numPr>
        <w:spacing w:before="0" w:after="90" w:line="268"/>
        <w:ind w:right="0" w:left="420" w:hanging="22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Uma previsão de vendas confiável para orientar compras e reduzir ruptura e estoque parado.</w:t>
      </w:r>
    </w:p>
    <w:p>
      <w:pPr>
        <w:numPr>
          <w:ilvl w:val="0"/>
          <w:numId w:val="60"/>
        </w:numPr>
        <w:spacing w:before="0" w:after="90" w:line="268"/>
        <w:ind w:right="0" w:left="420" w:hanging="22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Relatórios que se atualizam sozinhos, sem depender de alguém montar planilha.</w:t>
      </w:r>
    </w:p>
    <w:p>
      <w:pPr>
        <w:numPr>
          <w:ilvl w:val="0"/>
          <w:numId w:val="60"/>
        </w:numPr>
        <w:spacing w:before="0" w:after="90" w:line="268"/>
        <w:ind w:right="0" w:left="420" w:hanging="22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Parar de perder tempo reconciliando sistemas que deveriam conversar.</w:t>
      </w: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4463B"/>
          <w:spacing w:val="0"/>
          <w:position w:val="0"/>
          <w:sz w:val="32"/>
          <w:shd w:fill="auto" w:val="clear"/>
        </w:rPr>
        <w:t xml:space="preserve">6. Restrições e realidade do cliente</w:t>
      </w:r>
    </w:p>
    <w:p>
      <w:pPr>
        <w:numPr>
          <w:ilvl w:val="0"/>
          <w:numId w:val="62"/>
        </w:numPr>
        <w:spacing w:before="0" w:after="90" w:line="268"/>
        <w:ind w:right="0" w:left="420" w:hanging="22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Orçamento sensível: a diretoria quer ver retorno claro antes de aprovar valor alto 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 a economia precisa pagar o projeto.</w:t>
      </w:r>
    </w:p>
    <w:p>
      <w:pPr>
        <w:numPr>
          <w:ilvl w:val="0"/>
          <w:numId w:val="62"/>
        </w:numPr>
        <w:spacing w:before="0" w:after="90" w:line="268"/>
        <w:ind w:right="0" w:left="420" w:hanging="22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Equipe de TI enxuta (2 pessoas), sem time de dados. A solução não pode depender de especialista raro para se manter.</w:t>
      </w:r>
    </w:p>
    <w:p>
      <w:pPr>
        <w:numPr>
          <w:ilvl w:val="0"/>
          <w:numId w:val="62"/>
        </w:numPr>
        <w:spacing w:before="0" w:after="90" w:line="268"/>
        <w:ind w:right="0" w:left="420" w:hanging="22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O ERP não será trocado no curto prazo 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 a solu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ção tem que conviver com ele, não substituí-lo.</w:t>
      </w:r>
    </w:p>
    <w:p>
      <w:pPr>
        <w:numPr>
          <w:ilvl w:val="0"/>
          <w:numId w:val="62"/>
        </w:numPr>
        <w:spacing w:before="0" w:after="90" w:line="268"/>
        <w:ind w:right="0" w:left="420" w:hanging="22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Preferência por baixo custo de infraestrutura; desconfiança com "nuvem cara".</w:t>
      </w:r>
    </w:p>
    <w:p>
      <w:pPr>
        <w:spacing w:before="60" w:after="180" w:line="240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F2933"/>
          <w:spacing w:val="0"/>
          <w:position w:val="0"/>
          <w:sz w:val="21"/>
          <w:shd w:fill="auto" w:val="clear"/>
        </w:rPr>
        <w:t xml:space="preserve">Próximo passo: 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desenhar a proposta de projeto de engenharia de dados que ataca as cinco dores acima, com escopo em fases, entregáveis concretos e a economia estimada que justifica o investimento. É o que vamos construir a seguir.</w:t>
      </w:r>
    </w:p>
    <w:p>
      <w:pPr>
        <w:spacing w:before="0" w:after="140" w:line="276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5C6B67"/>
          <w:spacing w:val="0"/>
          <w:position w:val="0"/>
          <w:sz w:val="18"/>
          <w:shd w:fill="auto" w:val="clear"/>
        </w:rPr>
        <w:t xml:space="preserve">Este documento é um caso fictício para fins de projeto e demonstração.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31">
    <w:abstractNumId w:val="36"/>
  </w:num>
  <w:num w:numId="33">
    <w:abstractNumId w:val="30"/>
  </w:num>
  <w:num w:numId="35">
    <w:abstractNumId w:val="24"/>
  </w:num>
  <w:num w:numId="37">
    <w:abstractNumId w:val="18"/>
  </w:num>
  <w:num w:numId="39">
    <w:abstractNumId w:val="12"/>
  </w:num>
  <w:num w:numId="60">
    <w:abstractNumId w:val="6"/>
  </w:num>
  <w:num w:numId="6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