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3.png" ContentType="image/png"/>
  <Override PartName="/word/media/rId36.png" ContentType="image/png"/>
  <Override PartName="/word/media/rId38.png" ContentType="image/png"/>
  <Override PartName="/word/media/rId4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gap</w:t>
      </w:r>
      <w:r>
        <w:t xml:space="preserve"> </w:t>
      </w:r>
      <w:r>
        <w:t xml:space="preserve">is</w:t>
      </w:r>
      <w:r>
        <w:t xml:space="preserve"> </w:t>
      </w:r>
      <w:r>
        <w:t xml:space="preserve">in</w:t>
      </w:r>
      <w:r>
        <w:t xml:space="preserve"> </w:t>
      </w:r>
      <w:r>
        <w:t xml:space="preserve">the</w:t>
      </w:r>
      <w:r>
        <w:t xml:space="preserve"> </w:t>
      </w:r>
      <w:r>
        <w:t xml:space="preserve">data:</w:t>
      </w:r>
      <w:r>
        <w:t xml:space="preserve"> </w:t>
      </w:r>
      <w:r>
        <w:t xml:space="preserve">expected-minus-observed</w:t>
      </w:r>
      <w:r>
        <w:t xml:space="preserve"> </w:t>
      </w:r>
      <w:r>
        <w:t xml:space="preserve">biodiversity</w:t>
      </w:r>
      <w:r>
        <w:t xml:space="preserve"> </w:t>
      </w:r>
      <w:r>
        <w:t xml:space="preserve">maps</w:t>
      </w:r>
      <w:r>
        <w:t xml:space="preserve"> </w:t>
      </w:r>
      <w:r>
        <w:t xml:space="preserve">reproduce</w:t>
      </w:r>
      <w:r>
        <w:t xml:space="preserve"> </w:t>
      </w:r>
      <w:r>
        <w:t xml:space="preserve">sampling</w:t>
      </w:r>
      <w:r>
        <w:t xml:space="preserve"> </w:t>
      </w:r>
      <w:r>
        <w:t xml:space="preserve">effort</w:t>
      </w:r>
      <w:r>
        <w:t xml:space="preserve"> </w:t>
      </w:r>
      <w:r>
        <w:t xml:space="preserve">at</w:t>
      </w:r>
      <w:r>
        <w:t xml:space="preserve"> </w:t>
      </w:r>
      <w:r>
        <w:t xml:space="preserve">fine</w:t>
      </w:r>
      <w:r>
        <w:t xml:space="preserve"> </w:t>
      </w:r>
      <w:r>
        <w:t xml:space="preserve">grain,</w:t>
      </w:r>
      <w:r>
        <w:t xml:space="preserve"> </w:t>
      </w:r>
      <w:r>
        <w:t xml:space="preserve">and</w:t>
      </w:r>
      <w:r>
        <w:t xml:space="preserve"> </w:t>
      </w:r>
      <w:r>
        <w:t xml:space="preserve">a</w:t>
      </w:r>
      <w:r>
        <w:t xml:space="preserve"> </w:t>
      </w:r>
      <w:r>
        <w:t xml:space="preserve">variance</w:t>
      </w:r>
      <w:r>
        <w:t xml:space="preserve"> </w:t>
      </w:r>
      <w:r>
        <w:t xml:space="preserve">criterion</w:t>
      </w:r>
      <w:r>
        <w:t xml:space="preserve"> </w:t>
      </w:r>
      <w:r>
        <w:t xml:space="preserve">that</w:t>
      </w:r>
      <w:r>
        <w:t xml:space="preserve"> </w:t>
      </w:r>
      <w:r>
        <w:t xml:space="preserve">detects</w:t>
      </w:r>
      <w:r>
        <w:t xml:space="preserve"> </w:t>
      </w:r>
      <w:r>
        <w:t xml:space="preserve">it</w:t>
      </w:r>
    </w:p>
    <w:p>
      <w:pPr>
        <w:pStyle w:val="Author"/>
      </w:pPr>
      <w:r>
        <w:t xml:space="preserve">[Filipe</w:t>
      </w:r>
      <w:r>
        <w:t xml:space="preserve"> </w:t>
      </w:r>
      <w:r>
        <w:t xml:space="preserve">A.</w:t>
      </w:r>
      <w:r>
        <w:t xml:space="preserve"> </w:t>
      </w:r>
      <w:r>
        <w:t xml:space="preserve">M.</w:t>
      </w:r>
      <w:r>
        <w:t xml:space="preserve"> </w:t>
      </w:r>
      <w:r>
        <w:t xml:space="preserve">Teixeira]</w:t>
      </w:r>
    </w:p>
    <w:p>
      <w:pPr>
        <w:pStyle w:val="Author"/>
      </w:pPr>
      <w:r>
        <w:t xml:space="preserve">[co-authors]</w:t>
      </w:r>
    </w:p>
    <w:p>
      <w:pPr>
        <w:pStyle w:val="Date"/>
      </w:pPr>
      <w:r>
        <w:t xml:space="preserve">Manuscript</w:t>
      </w:r>
      <w:r>
        <w:t xml:space="preserve"> </w:t>
      </w:r>
      <w:r>
        <w:t xml:space="preserve">draft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rPr>
        <w:t xml:space="preserve">Authors.</w:t>
      </w:r>
      <w:r>
        <w:t xml:space="preserve"> </w:t>
      </w:r>
      <w:r>
        <w:t xml:space="preserve">[Filipe A. M. Teixeira]¹, [co-authors]</w:t>
      </w:r>
      <w:r>
        <w:t xml:space="preserve"> </w:t>
      </w:r>
      <w:r>
        <w:rPr>
          <w:b/>
        </w:rPr>
        <w:t xml:space="preserve">Affiliations.</w:t>
      </w:r>
      <w:r>
        <w:t xml:space="preserve"> </w:t>
      </w:r>
      <w:r>
        <w:t xml:space="preserve">¹[affiliation]</w:t>
      </w:r>
      <w:r>
        <w:t xml:space="preserve"> </w:t>
      </w:r>
      <w:r>
        <w:rPr>
          <w:b/>
        </w:rPr>
        <w:t xml:space="preserve">Corresponding author.</w:t>
      </w:r>
      <w:r>
        <w:t xml:space="preserve"> </w:t>
      </w:r>
      <w:r>
        <w:t xml:space="preserve">filipe@joinprisma.org</w:t>
      </w:r>
    </w:p>
    <w:p>
      <w:pPr>
        <w:pStyle w:val="BodyText"/>
      </w:pPr>
      <w:r>
        <w:rPr>
          <w:b/>
        </w:rPr>
        <w:t xml:space="preserve">Running title.</w:t>
      </w:r>
      <w:r>
        <w:t xml:space="preserve"> </w:t>
      </w:r>
      <w:r>
        <w:t xml:space="preserve">The residual window</w:t>
      </w:r>
    </w:p>
    <w:p>
      <w:pPr>
        <w:pStyle w:val="BodyText"/>
      </w:pPr>
      <w:r>
        <w:rPr>
          <w:b/>
        </w:rPr>
        <w:t xml:space="preserve">Keywords.</w:t>
      </w:r>
      <w:r>
        <w:t xml:space="preserve"> </w:t>
      </w:r>
      <w:r>
        <w:t xml:space="preserve">citizen science · sampling bias · effort correction · species richness ·</w:t>
      </w:r>
      <w:r>
        <w:t xml:space="preserve"> </w:t>
      </w:r>
      <w:r>
        <w:t xml:space="preserve">urban ecology · residual mapping · decision support · spatial cross-validation ·</w:t>
      </w:r>
      <w:r>
        <w:t xml:space="preserve"> </w:t>
      </w:r>
      <w:r>
        <w:t xml:space="preserve">open source</w:t>
      </w:r>
    </w:p>
    <w:p>
      <w:r>
        <w:pict>
          <v:rect style="width:0;height:1.5pt" o:hralign="center" o:hrstd="t" o:hr="t"/>
        </w:pict>
      </w:r>
    </w:p>
    <w:p>
      <w:pPr>
        <w:pStyle w:val="Heading2"/>
      </w:pPr>
      <w:bookmarkStart w:id="20" w:name="abstract"/>
      <w:r>
        <w:t xml:space="preserve">Abstract</w:t>
      </w:r>
      <w:bookmarkEnd w:id="20"/>
    </w:p>
    <w:p>
      <w:pPr>
        <w:pStyle w:val="FirstParagraph"/>
      </w:pPr>
      <w:r>
        <w:t xml:space="preserve">Maps of the difference between</w:t>
      </w:r>
      <w:r>
        <w:t xml:space="preserve"> </w:t>
      </w:r>
      <w:r>
        <w:rPr>
          <w:i/>
        </w:rPr>
        <w:t xml:space="preserve">expected</w:t>
      </w:r>
      <w:r>
        <w:t xml:space="preserve"> </w:t>
      </w:r>
      <w:r>
        <w:t xml:space="preserve">and</w:t>
      </w:r>
      <w:r>
        <w:t xml:space="preserve"> </w:t>
      </w:r>
      <w:r>
        <w:rPr>
          <w:i/>
        </w:rPr>
        <w:t xml:space="preserve">observed</w:t>
      </w:r>
      <w:r>
        <w:t xml:space="preserve"> </w:t>
      </w:r>
      <w:r>
        <w:t xml:space="preserve">biodiversity are widely used</w:t>
      </w:r>
      <w:r>
        <w:t xml:space="preserve"> </w:t>
      </w:r>
      <w:r>
        <w:t xml:space="preserve">to prioritise conservation and restoration. They are almost always validated by</w:t>
      </w:r>
      <w:r>
        <w:t xml:space="preserve"> </w:t>
      </w:r>
      <w:r>
        <w:t xml:space="preserve">reporting how well the expectation model fits — R², explained deviance, AUC — and</w:t>
      </w:r>
      <w:r>
        <w:t xml:space="preserve"> </w:t>
      </w:r>
      <w:r>
        <w:t xml:space="preserve">almost never by asking whether the difference itself carries information beyond its</w:t>
      </w:r>
      <w:r>
        <w:t xml:space="preserve"> </w:t>
      </w:r>
      <w:r>
        <w:t xml:space="preserve">two inputs. We show analytically that for a difference map R = Ŷ − Y the shared</w:t>
      </w:r>
      <w:r>
        <w:t xml:space="preserve"> </w:t>
      </w:r>
      <w:r>
        <w:t xml:space="preserve">variance between the residual and each of its inputs is fixed by a single quantity,</w:t>
      </w:r>
      <w:r>
        <w:t xml:space="preserve"> </w:t>
      </w:r>
      <w:r>
        <w:t xml:space="preserve">the variance ratio λ = Var(Ŷ)/Var(Y), and that the map is informative only in a narrow</w:t>
      </w:r>
      <w:r>
        <w:t xml:space="preserve"> </w:t>
      </w:r>
      <w:r>
        <w:t xml:space="preserve">window around λ ≈ 1. Outside it the map degenerates in one of two ways that look</w:t>
      </w:r>
      <w:r>
        <w:t xml:space="preserve"> </w:t>
      </w:r>
      <w:r>
        <w:t xml:space="preserve">entirely different on screen but are the same arithmetic: at λ ≫ 1 the residual</w:t>
      </w:r>
      <w:r>
        <w:t xml:space="preserve"> </w:t>
      </w:r>
      <w:r>
        <w:t xml:space="preserve">reproduces the model, at λ ≪ 1 it reproduces the data with the sign flipped.</w:t>
      </w:r>
    </w:p>
    <w:p>
      <w:pPr>
        <w:pStyle w:val="BodyText"/>
      </w:pPr>
      <w:r>
        <w:t xml:space="preserve">We measure λ in a deployed, fully open urban-biodiversity pipeline covering four</w:t>
      </w:r>
      <w:r>
        <w:t xml:space="preserve"> </w:t>
      </w:r>
      <w:r>
        <w:t xml:space="preserve">cities — Porto (Portugal), Amsterdam (Netherlands), Gent (Belgium) and Yokohama</w:t>
      </w:r>
      <w:r>
        <w:t xml:space="preserve"> </w:t>
      </w:r>
      <w:r>
        <w:t xml:space="preserve">(Japan) — comprising 1.04 million 20 m hexagonal cells, 1.85 million occurrence</w:t>
      </w:r>
      <w:r>
        <w:t xml:space="preserve"> </w:t>
      </w:r>
      <w:r>
        <w:t xml:space="preserve">records from iNaturalist and GBIF, and an effort-corrected quasi-Poisson richness</w:t>
      </w:r>
      <w:r>
        <w:t xml:space="preserve"> </w:t>
      </w:r>
      <w:r>
        <w:t xml:space="preserve">model fitted per city. λ ranges from 0.00018 to 0.028 — 35× to 5,500× below λ = 1. The</w:t>
      </w:r>
      <w:r>
        <w:t xml:space="preserve"> </w:t>
      </w:r>
      <w:r>
        <w:t xml:space="preserve">published</w:t>
      </w:r>
      <w:r>
        <w:t xml:space="preserve"> </w:t>
      </w:r>
      <w:r>
        <w:t xml:space="preserve">“</w:t>
      </w:r>
      <w:r>
        <w:t xml:space="preserve">ecological residual</w:t>
      </w:r>
      <w:r>
        <w:t xml:space="preserve">”</w:t>
      </w:r>
      <w:r>
        <w:t xml:space="preserve"> </w:t>
      </w:r>
      <w:r>
        <w:t xml:space="preserve">shares 97.1–99.98% of its variance with the observation</w:t>
      </w:r>
      <w:r>
        <w:t xml:space="preserve"> </w:t>
      </w:r>
      <w:r>
        <w:t xml:space="preserve">it was meant to explain away and at most 0.01% with the fitted expectation; the analytic</w:t>
      </w:r>
      <w:r>
        <w:t xml:space="preserve"> </w:t>
      </w:r>
      <w:r>
        <w:t xml:space="preserve">prediction for corr(R, −Y) matches the measured value</w:t>
      </w:r>
      <w:r>
        <w:t xml:space="preserve"> </w:t>
      </w:r>
      <w:r>
        <w:t xml:space="preserve">to four decimal places in all four cities. The same pipeline’s previous release</w:t>
      </w:r>
      <w:r>
        <w:t xml:space="preserve"> </w:t>
      </w:r>
      <w:r>
        <w:t xml:space="preserve">occupied the opposite failure mode (λ ≫ 1, residual–expectation correlation 0.9987–</w:t>
      </w:r>
      <w:r>
        <w:t xml:space="preserve"> </w:t>
      </w:r>
      <w:r>
        <w:t xml:space="preserve">0.9996), so both regimes are exhibited by one codebase within six months.</w:t>
      </w:r>
    </w:p>
    <w:p>
      <w:pPr>
        <w:pStyle w:val="BodyText"/>
      </w:pPr>
      <w:r>
        <w:t xml:space="preserve">Three upstream mechanisms produce this. First, fine grain: 20 m cells leave 64.6–96.1%</w:t>
      </w:r>
      <w:r>
        <w:t xml:space="preserve"> </w:t>
      </w:r>
      <w:r>
        <w:t xml:space="preserve">of admitted cells with zero recorded species, and no richness model can fit a response</w:t>
      </w:r>
      <w:r>
        <w:t xml:space="preserve"> </w:t>
      </w:r>
      <w:r>
        <w:t xml:space="preserve">that is mostly zero — spatially blocked cross-validation gives explained deviance of</w:t>
      </w:r>
      <w:r>
        <w:t xml:space="preserve"> </w:t>
      </w:r>
      <w:r>
        <w:t xml:space="preserve">0.120 (Porto), 0.027 (Amsterdam), 0.008 (Yokohama) and 0.0009 (Gent), with individual</w:t>
      </w:r>
      <w:r>
        <w:t xml:space="preserve"> </w:t>
      </w:r>
      <w:r>
        <w:t xml:space="preserve">folds performing worse than a constant in three cities. Second, the effort correction</w:t>
      </w:r>
      <w:r>
        <w:t xml:space="preserve"> </w:t>
      </w:r>
      <w:r>
        <w:t xml:space="preserve">itself: admitting only cells with ≥ 50 m of pedestrian path nearby discards 46–77% of</w:t>
      </w:r>
      <w:r>
        <w:t xml:space="preserve"> </w:t>
      </w:r>
      <w:r>
        <w:t xml:space="preserve">all occurrence records, and the surviving expectation is largely a map of path density</w:t>
      </w:r>
      <w:r>
        <w:t xml:space="preserve"> </w:t>
      </w:r>
      <w:r>
        <w:t xml:space="preserve">(Spearman ρ up to 0.891). Third, coordinate precision: five hexagons — 1,730 m² in</w:t>
      </w:r>
      <w:r>
        <w:t xml:space="preserve"> </w:t>
      </w:r>
      <w:r>
        <w:t xml:space="preserve">total — hold 72.1% of Amsterdam’s 789,554 records, and their centroids fall on the</w:t>
      </w:r>
      <w:r>
        <w:t xml:space="preserve"> </w:t>
      </w:r>
      <w:r>
        <w:t xml:space="preserve">0.05° graticule to within 10 m.</w:t>
      </w:r>
    </w:p>
    <w:p>
      <w:pPr>
        <w:pStyle w:val="BodyText"/>
      </w:pPr>
      <w:r>
        <w:t xml:space="preserve">The consequences reach users unchanged. In the published product the top 1% of</w:t>
      </w:r>
      <w:r>
        <w:t xml:space="preserve"> </w:t>
      </w:r>
      <w:r>
        <w:t xml:space="preserve">“</w:t>
      </w:r>
      <w:r>
        <w:t xml:space="preserve">nature</w:t>
      </w:r>
      <w:r>
        <w:t xml:space="preserve"> </w:t>
      </w:r>
      <w:r>
        <w:t xml:space="preserve">gap</w:t>
      </w:r>
      <w:r>
        <w:t xml:space="preserve">”</w:t>
      </w:r>
      <w:r>
        <w:t xml:space="preserve"> </w:t>
      </w:r>
      <w:r>
        <w:t xml:space="preserve">cells are 80.3–100% cells with no species recorded at all, and 42.0–82.9% of parks</w:t>
      </w:r>
      <w:r>
        <w:t xml:space="preserve"> </w:t>
      </w:r>
      <w:r>
        <w:t xml:space="preserve">per city are labelled</w:t>
      </w:r>
      <w:r>
        <w:t xml:space="preserve"> </w:t>
      </w:r>
      <w:r>
        <w:rPr>
          <w:i/>
        </w:rPr>
        <w:t xml:space="preserve">as expected</w:t>
      </w:r>
      <w:r>
        <w:t xml:space="preserve"> </w:t>
      </w:r>
      <w:r>
        <w:t xml:space="preserve">solely because they contain no usable data. We</w:t>
      </w:r>
      <w:r>
        <w:t xml:space="preserve"> </w:t>
      </w:r>
      <w:r>
        <w:t xml:space="preserve">propose a five-number reporting standard — λ, out-of-sample explained deviance, a</w:t>
      </w:r>
      <w:r>
        <w:t xml:space="preserve"> </w:t>
      </w:r>
      <w:r>
        <w:t xml:space="preserve">coverage triple, a coordinate-artefact screen, and rank stability under uncalibrated</w:t>
      </w:r>
      <w:r>
        <w:t xml:space="preserve"> </w:t>
      </w:r>
      <w:r>
        <w:t xml:space="preserve">parameters — and argue that no expected-minus-observed map should be published without</w:t>
      </w:r>
      <w:r>
        <w:t xml:space="preserve"> </w:t>
      </w:r>
      <w:r>
        <w:t xml:space="preserve">it. All data, code, and per-run fitted parameters are open.</w:t>
      </w:r>
    </w:p>
    <w:p>
      <w:r>
        <w:pict>
          <v:rect style="width:0;height:1.5pt" o:hralign="center" o:hrstd="t" o:hr="t"/>
        </w:pict>
      </w:r>
    </w:p>
    <w:p>
      <w:pPr>
        <w:pStyle w:val="Heading2"/>
      </w:pPr>
      <w:bookmarkStart w:id="21" w:name="introduction"/>
      <w:r>
        <w:t xml:space="preserve">1. Introduction</w:t>
      </w:r>
      <w:bookmarkEnd w:id="21"/>
    </w:p>
    <w:p>
      <w:pPr>
        <w:pStyle w:val="FirstParagraph"/>
      </w:pPr>
      <w:r>
        <w:t xml:space="preserve">A recurring move in applied ecology is to model what a place</w:t>
      </w:r>
      <w:r>
        <w:t xml:space="preserve"> </w:t>
      </w:r>
      <w:r>
        <w:rPr>
          <w:i/>
        </w:rPr>
        <w:t xml:space="preserve">should</w:t>
      </w:r>
      <w:r>
        <w:t xml:space="preserve"> </w:t>
      </w:r>
      <w:r>
        <w:t xml:space="preserve">hold, compare it</w:t>
      </w:r>
      <w:r>
        <w:t xml:space="preserve"> </w:t>
      </w:r>
      <w:r>
        <w:t xml:space="preserve">with what has been</w:t>
      </w:r>
      <w:r>
        <w:t xml:space="preserve"> </w:t>
      </w:r>
      <w:r>
        <w:rPr>
          <w:i/>
        </w:rPr>
        <w:t xml:space="preserve">recorded</w:t>
      </w:r>
      <w:r>
        <w:t xml:space="preserve"> </w:t>
      </w:r>
      <w:r>
        <w:t xml:space="preserve">there, and treat the difference as a measurable deficit.</w:t>
      </w:r>
      <w:r>
        <w:t xml:space="preserve"> </w:t>
      </w:r>
      <w:r>
        <w:t xml:space="preserve">The move appears under many names — biodiversity debt, extinction debt, conservation</w:t>
      </w:r>
      <w:r>
        <w:t xml:space="preserve"> </w:t>
      </w:r>
      <w:r>
        <w:t xml:space="preserve">shortfall, restoration priority, effort-corrected richness anomaly,</w:t>
      </w:r>
      <w:r>
        <w:t xml:space="preserve"> </w:t>
      </w:r>
      <w:r>
        <w:t xml:space="preserve">“</w:t>
      </w:r>
      <w:r>
        <w:t xml:space="preserve">nature gap</w:t>
      </w:r>
      <w:r>
        <w:t xml:space="preserve">”</w:t>
      </w:r>
      <w:r>
        <w:t xml:space="preserve"> </w:t>
      </w:r>
      <w:r>
        <w:t xml:space="preserve">— and</w:t>
      </w:r>
      <w:r>
        <w:t xml:space="preserve"> </w:t>
      </w:r>
      <w:r>
        <w:t xml:space="preserve">it is attractive for the same reason in each case. A raw observation map is obviously</w:t>
      </w:r>
      <w:r>
        <w:t xml:space="preserve"> </w:t>
      </w:r>
      <w:r>
        <w:t xml:space="preserve">confounded by where people looked. A raw habitat model is obviously not an observation.</w:t>
      </w:r>
      <w:r>
        <w:t xml:space="preserve"> </w:t>
      </w:r>
      <w:r>
        <w:t xml:space="preserve">Subtracting one from the other appears to give a quantity that is neither: a shortfall,</w:t>
      </w:r>
      <w:r>
        <w:t xml:space="preserve"> </w:t>
      </w:r>
      <w:r>
        <w:t xml:space="preserve">relative to a baseline, in units someone can act on.</w:t>
      </w:r>
    </w:p>
    <w:p>
      <w:pPr>
        <w:pStyle w:val="BodyText"/>
      </w:pPr>
      <w:r>
        <w:t xml:space="preserve">The move is also increasingly consequential. Difference maps of this form are no longer</w:t>
      </w:r>
      <w:r>
        <w:t xml:space="preserve"> </w:t>
      </w:r>
      <w:r>
        <w:t xml:space="preserve">confined to journal figures; they run inside municipal dashboards, feed restoration</w:t>
      </w:r>
      <w:r>
        <w:t xml:space="preserve"> </w:t>
      </w:r>
      <w:r>
        <w:t xml:space="preserve">prioritisation, and are rendered to the public as neighbourhood-level scores. A cell or</w:t>
      </w:r>
      <w:r>
        <w:t xml:space="preserve"> </w:t>
      </w:r>
      <w:r>
        <w:t xml:space="preserve">a park now receives a colour, a band, and a rank, and someone may plant trees on the</w:t>
      </w:r>
      <w:r>
        <w:t xml:space="preserve"> </w:t>
      </w:r>
      <w:r>
        <w:t xml:space="preserve">strength of it.</w:t>
      </w:r>
    </w:p>
    <w:p>
      <w:pPr>
        <w:pStyle w:val="BodyText"/>
      </w:pPr>
      <w:r>
        <w:t xml:space="preserve">What is rarely reported is whether the difference contains anything the two inputs did</w:t>
      </w:r>
      <w:r>
        <w:t xml:space="preserve"> </w:t>
      </w:r>
      <w:r>
        <w:t xml:space="preserve">not already contain. The standard validation is a fit statistic for the expectation</w:t>
      </w:r>
      <w:r>
        <w:t xml:space="preserve"> </w:t>
      </w:r>
      <w:r>
        <w:t xml:space="preserve">model — R², explained deviance, AUC — reported alone. That statistic answers a</w:t>
      </w:r>
      <w:r>
        <w:t xml:space="preserve"> </w:t>
      </w:r>
      <w:r>
        <w:t xml:space="preserve">different question. It tells you how well Ŷ tracks Y. It does not tell you what the</w:t>
      </w:r>
      <w:r>
        <w:t xml:space="preserve"> </w:t>
      </w:r>
      <w:r>
        <w:t xml:space="preserve">map of Ŷ − Y is</w:t>
      </w:r>
      <w:r>
        <w:t xml:space="preserve"> </w:t>
      </w:r>
      <w:r>
        <w:rPr>
          <w:i/>
        </w:rPr>
        <w:t xml:space="preserve">made of</w:t>
      </w:r>
      <w:r>
        <w:t xml:space="preserve">, and those are not the same thing: a model can fit</w:t>
      </w:r>
      <w:r>
        <w:t xml:space="preserve"> </w:t>
      </w:r>
      <w:r>
        <w:t xml:space="preserve">respectably and still produce a difference map that is a re-rendering of one of its</w:t>
      </w:r>
      <w:r>
        <w:t xml:space="preserve"> </w:t>
      </w:r>
      <w:r>
        <w:t xml:space="preserve">inputs.</w:t>
      </w:r>
    </w:p>
    <w:p>
      <w:pPr>
        <w:pStyle w:val="BodyText"/>
      </w:pPr>
      <w:r>
        <w:t xml:space="preserve">This paper makes that question precise and then answers it empirically. Section 2.7</w:t>
      </w:r>
      <w:r>
        <w:t xml:space="preserve"> </w:t>
      </w:r>
      <w:r>
        <w:t xml:space="preserve">derives the relationship between λ = Var(Ŷ)/Var(Y) and the correlation of the residual</w:t>
      </w:r>
      <w:r>
        <w:t xml:space="preserve"> </w:t>
      </w:r>
      <w:r>
        <w:t xml:space="preserve">with each input, and shows that it admits only a narrow window of λ in which the</w:t>
      </w:r>
      <w:r>
        <w:t xml:space="preserve"> </w:t>
      </w:r>
      <w:r>
        <w:t xml:space="preserve">residual is genuinely a third quantity. Sections 3.1–3.8 measure λ, and the mechanisms</w:t>
      </w:r>
      <w:r>
        <w:t xml:space="preserve"> </w:t>
      </w:r>
      <w:r>
        <w:t xml:space="preserve">that set it, in a production system covering four cities on three continents, built by</w:t>
      </w:r>
      <w:r>
        <w:t xml:space="preserve"> </w:t>
      </w:r>
      <w:r>
        <w:t xml:space="preserve">one codebase from openly licensed inputs, with every fitted parameter recorded per run.</w:t>
      </w:r>
    </w:p>
    <w:p>
      <w:pPr>
        <w:pStyle w:val="BodyText"/>
      </w:pPr>
      <w:r>
        <w:t xml:space="preserve">We chose to audit our own system. This is deliberate. An audit of someone else’s</w:t>
      </w:r>
      <w:r>
        <w:t xml:space="preserve"> </w:t>
      </w:r>
      <w:r>
        <w:t xml:space="preserve">pipeline can only measure what they published; here we can refit the model, reproduce</w:t>
      </w:r>
      <w:r>
        <w:t xml:space="preserve"> </w:t>
      </w:r>
      <w:r>
        <w:t xml:space="preserve">the published coefficients to four decimal places, cross-validate out of sample, trace</w:t>
      </w:r>
      <w:r>
        <w:t xml:space="preserve"> </w:t>
      </w:r>
      <w:r>
        <w:t xml:space="preserve">each pathology to the line of code that causes it, and release everything. The system</w:t>
      </w:r>
      <w:r>
        <w:t xml:space="preserve"> </w:t>
      </w:r>
      <w:r>
        <w:t xml:space="preserve">is also unusually instructive because it has occupied</w:t>
      </w:r>
      <w:r>
        <w:t xml:space="preserve"> </w:t>
      </w:r>
      <w:r>
        <w:rPr>
          <w:i/>
        </w:rPr>
        <w:t xml:space="preserve">both</w:t>
      </w:r>
      <w:r>
        <w:t xml:space="preserve"> </w:t>
      </w:r>
      <w:r>
        <w:t xml:space="preserve">failure modes within six</w:t>
      </w:r>
      <w:r>
        <w:t xml:space="preserve"> </w:t>
      </w:r>
      <w:r>
        <w:t xml:space="preserve">months, under two different specifications of the same subtraction, and documented the</w:t>
      </w:r>
      <w:r>
        <w:t xml:space="preserve"> </w:t>
      </w:r>
      <w:r>
        <w:t xml:space="preserve">first one in its own repository. The general point is not about this pipeline. It is</w:t>
      </w:r>
      <w:r>
        <w:t xml:space="preserve"> </w:t>
      </w:r>
      <w:r>
        <w:t xml:space="preserve">that the subtraction is fragile in a way that a fit statistic cannot see, and that a</w:t>
      </w:r>
      <w:r>
        <w:t xml:space="preserve"> </w:t>
      </w:r>
      <w:r>
        <w:t xml:space="preserve">one-line diagnostic makes visible.</w:t>
      </w:r>
    </w:p>
    <w:p>
      <w:pPr>
        <w:pStyle w:val="BodyText"/>
      </w:pPr>
      <w:r>
        <w:t xml:space="preserve">Our contributions are:</w:t>
      </w:r>
    </w:p>
    <w:p>
      <w:pPr>
        <w:pStyle w:val="Compact"/>
        <w:numPr>
          <w:numId w:val="1001"/>
          <w:ilvl w:val="0"/>
        </w:numPr>
      </w:pPr>
      <w:r>
        <w:rPr>
          <w:b/>
        </w:rPr>
        <w:t xml:space="preserve">A criterion.</w:t>
      </w:r>
      <w:r>
        <w:t xml:space="preserve"> </w:t>
      </w:r>
      <w:r>
        <w:t xml:space="preserve">A closed-form expression for the residual’s shared variance with</w:t>
      </w:r>
      <w:r>
        <w:t xml:space="preserve"> </w:t>
      </w:r>
      <w:r>
        <w:t xml:space="preserve">its inputs as a function of λ and ρ = corr(Ŷ, Y), with two symmetric failure modes</w:t>
      </w:r>
      <w:r>
        <w:t xml:space="preserve"> </w:t>
      </w:r>
      <w:r>
        <w:t xml:space="preserve">and a narrow informative window (§2.7, §4.1).</w:t>
      </w:r>
    </w:p>
    <w:p>
      <w:pPr>
        <w:pStyle w:val="Compact"/>
        <w:numPr>
          <w:numId w:val="1001"/>
          <w:ilvl w:val="0"/>
        </w:numPr>
      </w:pPr>
      <w:r>
        <w:rPr>
          <w:b/>
        </w:rPr>
        <w:t xml:space="preserve">A four-city measurement.</w:t>
      </w:r>
      <w:r>
        <w:t xml:space="preserve"> </w:t>
      </w:r>
      <w:r>
        <w:t xml:space="preserve">λ = 0.00018–0.028 across 1.04 million cells; the</w:t>
      </w:r>
      <w:r>
        <w:t xml:space="preserve"> </w:t>
      </w:r>
      <w:r>
        <w:t xml:space="preserve">residual shares 97.1–99.98% of its variance with the observation (§3.5).</w:t>
      </w:r>
    </w:p>
    <w:p>
      <w:pPr>
        <w:pStyle w:val="Compact"/>
        <w:numPr>
          <w:numId w:val="1001"/>
          <w:ilvl w:val="0"/>
        </w:numPr>
      </w:pPr>
      <w:r>
        <w:rPr>
          <w:b/>
        </w:rPr>
        <w:t xml:space="preserve">The first out-of-sample evaluation</w:t>
      </w:r>
      <w:r>
        <w:t xml:space="preserve"> </w:t>
      </w:r>
      <w:r>
        <w:t xml:space="preserve">of this model class in this setting, by</w:t>
      </w:r>
      <w:r>
        <w:t xml:space="preserve"> </w:t>
      </w:r>
      <w:r>
        <w:t xml:space="preserve">spatially blocked cross-validation, with a reconstruction validated against the</w:t>
      </w:r>
      <w:r>
        <w:t xml:space="preserve"> </w:t>
      </w:r>
      <w:r>
        <w:t xml:space="preserve">published coefficients (§3.4).</w:t>
      </w:r>
    </w:p>
    <w:p>
      <w:pPr>
        <w:pStyle w:val="Compact"/>
        <w:numPr>
          <w:numId w:val="1001"/>
          <w:ilvl w:val="0"/>
        </w:numPr>
      </w:pPr>
      <w:r>
        <w:rPr>
          <w:b/>
        </w:rPr>
        <w:t xml:space="preserve">A mechanistic account</w:t>
      </w:r>
      <w:r>
        <w:t xml:space="preserve"> </w:t>
      </w:r>
      <w:r>
        <w:t xml:space="preserve">— zero-inflation at fine grain, effort-based cell</w:t>
      </w:r>
      <w:r>
        <w:t xml:space="preserve"> </w:t>
      </w:r>
      <w:r>
        <w:t xml:space="preserve">exclusion that discards most of the data, and coordinate-precision artefacts —</w:t>
      </w:r>
      <w:r>
        <w:t xml:space="preserve"> </w:t>
      </w:r>
      <w:r>
        <w:t xml:space="preserve">each quantified (§3.1–3.3).</w:t>
      </w:r>
    </w:p>
    <w:p>
      <w:pPr>
        <w:pStyle w:val="Compact"/>
        <w:numPr>
          <w:numId w:val="1001"/>
          <w:ilvl w:val="0"/>
        </w:numPr>
      </w:pPr>
      <w:r>
        <w:rPr>
          <w:b/>
        </w:rPr>
        <w:t xml:space="preserve">A reporting standard</w:t>
      </w:r>
      <w:r>
        <w:t xml:space="preserve"> </w:t>
      </w:r>
      <w:r>
        <w:t xml:space="preserve">of five numbers that would have caught all of it (§4.5).</w:t>
      </w:r>
    </w:p>
    <w:p>
      <w:r>
        <w:pict>
          <v:rect style="width:0;height:1.5pt" o:hralign="center" o:hrstd="t" o:hr="t"/>
        </w:pict>
      </w:r>
    </w:p>
    <w:p>
      <w:pPr>
        <w:pStyle w:val="Heading2"/>
      </w:pPr>
      <w:bookmarkStart w:id="22" w:name="materials-and-methods"/>
      <w:r>
        <w:t xml:space="preserve">2. Materials and methods</w:t>
      </w:r>
      <w:bookmarkEnd w:id="22"/>
    </w:p>
    <w:p>
      <w:pPr>
        <w:pStyle w:val="Heading3"/>
      </w:pPr>
      <w:bookmarkStart w:id="23" w:name="study-areas"/>
      <w:r>
        <w:t xml:space="preserve">2.1 Study areas</w:t>
      </w:r>
      <w:bookmarkEnd w:id="23"/>
    </w:p>
    <w:p>
      <w:pPr>
        <w:pStyle w:val="FirstParagraph"/>
      </w:pPr>
      <w:r>
        <w:t xml:space="preserve">Four urban areas of interest were analysed with an identical codebase and identical</w:t>
      </w:r>
      <w:r>
        <w:t xml:space="preserve"> </w:t>
      </w:r>
      <w:r>
        <w:t xml:space="preserve">parameters (Table 1). They were selected to span contrasting data-availability regimes</w:t>
      </w:r>
      <w:r>
        <w:t xml:space="preserve"> </w:t>
      </w:r>
      <w:r>
        <w:t xml:space="preserve">rather than to be representative of cities in general: Porto and Gent have national</w:t>
      </w:r>
      <w:r>
        <w:t xml:space="preserve"> </w:t>
      </w:r>
      <w:r>
        <w:t xml:space="preserve">colour-infrared orthophoto coverage and dense OpenStreetMap footpath data; Amsterdam</w:t>
      </w:r>
      <w:r>
        <w:t xml:space="preserve"> </w:t>
      </w:r>
      <w:r>
        <w:t xml:space="preserve">has both plus an exceptionally large GBIF stream; Yokohama has neither national NIR</w:t>
      </w:r>
      <w:r>
        <w:t xml:space="preserve"> </w:t>
      </w:r>
      <w:r>
        <w:t xml:space="preserve">coverage nor a comparable record volume.</w:t>
      </w:r>
    </w:p>
    <w:p>
      <w:pPr>
        <w:pStyle w:val="BodyText"/>
      </w:pPr>
      <w:r>
        <w:rPr>
          <w:b/>
        </w:rPr>
        <w:t xml:space="preserve">Table 1. Study areas.</w:t>
      </w:r>
      <w:r>
        <w:t xml:space="preserve"> </w:t>
      </w:r>
      <w:r>
        <w:t xml:space="preserve">AOI area derived as cell count × 346.4 m² (the area of a 20 m</w:t>
      </w:r>
      <w:r>
        <w:t xml:space="preserve"> </w:t>
      </w:r>
      <w:r>
        <w:t xml:space="preserve">hexagon). Parks are OpenStreetMap</w:t>
      </w:r>
      <w:r>
        <w:t xml:space="preserve"> </w:t>
      </w:r>
      <w:r>
        <w:rPr>
          <w:rStyle w:val="VerbatimChar"/>
        </w:rPr>
        <w:t xml:space="preserve">leisure=park|nature_reserve|garden</w:t>
      </w:r>
      <w:r>
        <w:t xml:space="preserve"> </w:t>
      </w:r>
      <w:r>
        <w:t xml:space="preserve">polygons.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City</w:t>
            </w:r>
          </w:p>
        </w:tc>
        <w:tc>
          <w:tcPr>
            <w:tcBorders>
              <w:bottom w:val="single"/>
            </w:tcBorders>
            <w:vAlign w:val="bottom"/>
          </w:tcPr>
          <w:p>
            <w:pPr>
              <w:pStyle w:val="Compact"/>
              <w:jc w:val="left"/>
            </w:pPr>
            <w:r>
              <w:t xml:space="preserve">Country</w:t>
            </w:r>
          </w:p>
        </w:tc>
        <w:tc>
          <w:tcPr>
            <w:tcBorders>
              <w:bottom w:val="single"/>
            </w:tcBorders>
            <w:vAlign w:val="bottom"/>
          </w:tcPr>
          <w:p>
            <w:pPr>
              <w:pStyle w:val="Compact"/>
              <w:jc w:val="left"/>
            </w:pPr>
            <w:r>
              <w:t xml:space="preserve">Local CRS</w:t>
            </w:r>
          </w:p>
        </w:tc>
        <w:tc>
          <w:tcPr>
            <w:tcBorders>
              <w:bottom w:val="single"/>
            </w:tcBorders>
            <w:vAlign w:val="bottom"/>
          </w:tcPr>
          <w:p>
            <w:pPr>
              <w:pStyle w:val="Compact"/>
              <w:jc w:val="right"/>
            </w:pPr>
            <w:r>
              <w:t xml:space="preserve">Hex cells</w:t>
            </w:r>
          </w:p>
        </w:tc>
        <w:tc>
          <w:tcPr>
            <w:tcBorders>
              <w:bottom w:val="single"/>
            </w:tcBorders>
            <w:vAlign w:val="bottom"/>
          </w:tcPr>
          <w:p>
            <w:pPr>
              <w:pStyle w:val="Compact"/>
              <w:jc w:val="right"/>
            </w:pPr>
            <w:r>
              <w:t xml:space="preserve">AOI (km²)</w:t>
            </w:r>
          </w:p>
        </w:tc>
        <w:tc>
          <w:tcPr>
            <w:tcBorders>
              <w:bottom w:val="single"/>
            </w:tcBorders>
            <w:vAlign w:val="bottom"/>
          </w:tcPr>
          <w:p>
            <w:pPr>
              <w:pStyle w:val="Compact"/>
              <w:jc w:val="right"/>
            </w:pPr>
            <w:r>
              <w:t xml:space="preserve">Parks</w:t>
            </w:r>
          </w:p>
        </w:tc>
        <w:tc>
          <w:tcPr>
            <w:tcBorders>
              <w:bottom w:val="single"/>
            </w:tcBorders>
            <w:vAlign w:val="bottom"/>
          </w:tcPr>
          <w:p>
            <w:pPr>
              <w:pStyle w:val="Compact"/>
              <w:jc w:val="right"/>
            </w:pPr>
            <w:r>
              <w:t xml:space="preserve">Cells admitted</w:t>
            </w:r>
          </w:p>
        </w:tc>
        <w:tc>
          <w:tcPr>
            <w:tcBorders>
              <w:bottom w:val="single"/>
            </w:tcBorders>
            <w:vAlign w:val="bottom"/>
          </w:tcPr>
          <w:p>
            <w:pPr>
              <w:pStyle w:val="Compact"/>
              <w:jc w:val="right"/>
            </w:pPr>
            <w:r>
              <w:t xml:space="preserve">Admitted (%)</w:t>
            </w:r>
          </w:p>
        </w:tc>
      </w:tr>
      <w:tr>
        <w:tc>
          <w:p>
            <w:pPr>
              <w:pStyle w:val="Compact"/>
              <w:jc w:val="left"/>
            </w:pPr>
            <w:r>
              <w:t xml:space="preserve">Porto</w:t>
            </w:r>
          </w:p>
        </w:tc>
        <w:tc>
          <w:p>
            <w:pPr>
              <w:pStyle w:val="Compact"/>
              <w:jc w:val="left"/>
            </w:pPr>
            <w:r>
              <w:t xml:space="preserve">Portugal</w:t>
            </w:r>
          </w:p>
        </w:tc>
        <w:tc>
          <w:p>
            <w:pPr>
              <w:pStyle w:val="Compact"/>
              <w:jc w:val="left"/>
            </w:pPr>
            <w:r>
              <w:t xml:space="preserve">EPSG:3763</w:t>
            </w:r>
          </w:p>
        </w:tc>
        <w:tc>
          <w:p>
            <w:pPr>
              <w:pStyle w:val="Compact"/>
              <w:jc w:val="right"/>
            </w:pPr>
            <w:r>
              <w:t xml:space="preserve">119,771</w:t>
            </w:r>
          </w:p>
        </w:tc>
        <w:tc>
          <w:p>
            <w:pPr>
              <w:pStyle w:val="Compact"/>
              <w:jc w:val="right"/>
            </w:pPr>
            <w:r>
              <w:t xml:space="preserve">41.5</w:t>
            </w:r>
          </w:p>
        </w:tc>
        <w:tc>
          <w:p>
            <w:pPr>
              <w:pStyle w:val="Compact"/>
              <w:jc w:val="right"/>
            </w:pPr>
            <w:r>
              <w:t xml:space="preserve">5,254</w:t>
            </w:r>
          </w:p>
        </w:tc>
        <w:tc>
          <w:p>
            <w:pPr>
              <w:pStyle w:val="Compact"/>
              <w:jc w:val="right"/>
            </w:pPr>
            <w:r>
              <w:t xml:space="preserve">30,947</w:t>
            </w:r>
          </w:p>
        </w:tc>
        <w:tc>
          <w:p>
            <w:pPr>
              <w:pStyle w:val="Compact"/>
              <w:jc w:val="right"/>
            </w:pPr>
            <w:r>
              <w:t xml:space="preserve">25.8</w:t>
            </w:r>
          </w:p>
        </w:tc>
      </w:tr>
      <w:tr>
        <w:tc>
          <w:p>
            <w:pPr>
              <w:pStyle w:val="Compact"/>
              <w:jc w:val="left"/>
            </w:pPr>
            <w:r>
              <w:t xml:space="preserve">Amsterdam</w:t>
            </w:r>
          </w:p>
        </w:tc>
        <w:tc>
          <w:p>
            <w:pPr>
              <w:pStyle w:val="Compact"/>
              <w:jc w:val="left"/>
            </w:pPr>
            <w:r>
              <w:t xml:space="preserve">Netherlands</w:t>
            </w:r>
          </w:p>
        </w:tc>
        <w:tc>
          <w:p>
            <w:pPr>
              <w:pStyle w:val="Compact"/>
              <w:jc w:val="left"/>
            </w:pPr>
            <w:r>
              <w:t xml:space="preserve">EPSG:28992</w:t>
            </w:r>
          </w:p>
        </w:tc>
        <w:tc>
          <w:p>
            <w:pPr>
              <w:pStyle w:val="Compact"/>
              <w:jc w:val="right"/>
            </w:pPr>
            <w:r>
              <w:t xml:space="preserve">192,087</w:t>
            </w:r>
          </w:p>
        </w:tc>
        <w:tc>
          <w:p>
            <w:pPr>
              <w:pStyle w:val="Compact"/>
              <w:jc w:val="right"/>
            </w:pPr>
            <w:r>
              <w:t xml:space="preserve">66.5</w:t>
            </w:r>
          </w:p>
        </w:tc>
        <w:tc>
          <w:p>
            <w:pPr>
              <w:pStyle w:val="Compact"/>
              <w:jc w:val="right"/>
            </w:pPr>
            <w:r>
              <w:t xml:space="preserve">767</w:t>
            </w:r>
          </w:p>
        </w:tc>
        <w:tc>
          <w:p>
            <w:pPr>
              <w:pStyle w:val="Compact"/>
              <w:jc w:val="right"/>
            </w:pPr>
            <w:r>
              <w:t xml:space="preserve">67,147</w:t>
            </w:r>
          </w:p>
        </w:tc>
        <w:tc>
          <w:p>
            <w:pPr>
              <w:pStyle w:val="Compact"/>
              <w:jc w:val="right"/>
            </w:pPr>
            <w:r>
              <w:t xml:space="preserve">35.0</w:t>
            </w:r>
          </w:p>
        </w:tc>
      </w:tr>
      <w:tr>
        <w:tc>
          <w:p>
            <w:pPr>
              <w:pStyle w:val="Compact"/>
              <w:jc w:val="left"/>
            </w:pPr>
            <w:r>
              <w:t xml:space="preserve">Gent</w:t>
            </w:r>
          </w:p>
        </w:tc>
        <w:tc>
          <w:p>
            <w:pPr>
              <w:pStyle w:val="Compact"/>
              <w:jc w:val="left"/>
            </w:pPr>
            <w:r>
              <w:t xml:space="preserve">Belgium</w:t>
            </w:r>
          </w:p>
        </w:tc>
        <w:tc>
          <w:p>
            <w:pPr>
              <w:pStyle w:val="Compact"/>
              <w:jc w:val="left"/>
            </w:pPr>
            <w:r>
              <w:t xml:space="preserve">EPSG:31370</w:t>
            </w:r>
          </w:p>
        </w:tc>
        <w:tc>
          <w:p>
            <w:pPr>
              <w:pStyle w:val="Compact"/>
              <w:jc w:val="right"/>
            </w:pPr>
            <w:r>
              <w:t xml:space="preserve">349,034</w:t>
            </w:r>
          </w:p>
        </w:tc>
        <w:tc>
          <w:p>
            <w:pPr>
              <w:pStyle w:val="Compact"/>
              <w:jc w:val="right"/>
            </w:pPr>
            <w:r>
              <w:t xml:space="preserve">120.9</w:t>
            </w:r>
          </w:p>
        </w:tc>
        <w:tc>
          <w:p>
            <w:pPr>
              <w:pStyle w:val="Compact"/>
              <w:jc w:val="right"/>
            </w:pPr>
            <w:r>
              <w:t xml:space="preserve">5,648</w:t>
            </w:r>
          </w:p>
        </w:tc>
        <w:tc>
          <w:p>
            <w:pPr>
              <w:pStyle w:val="Compact"/>
              <w:jc w:val="right"/>
            </w:pPr>
            <w:r>
              <w:t xml:space="preserve">64,875</w:t>
            </w:r>
          </w:p>
        </w:tc>
        <w:tc>
          <w:p>
            <w:pPr>
              <w:pStyle w:val="Compact"/>
              <w:jc w:val="right"/>
            </w:pPr>
            <w:r>
              <w:t xml:space="preserve">18.6</w:t>
            </w:r>
          </w:p>
        </w:tc>
      </w:tr>
      <w:tr>
        <w:tc>
          <w:p>
            <w:pPr>
              <w:pStyle w:val="Compact"/>
              <w:jc w:val="left"/>
            </w:pPr>
            <w:r>
              <w:t xml:space="preserve">Yokohama</w:t>
            </w:r>
          </w:p>
        </w:tc>
        <w:tc>
          <w:p>
            <w:pPr>
              <w:pStyle w:val="Compact"/>
              <w:jc w:val="left"/>
            </w:pPr>
            <w:r>
              <w:t xml:space="preserve">Japan</w:t>
            </w:r>
          </w:p>
        </w:tc>
        <w:tc>
          <w:p>
            <w:pPr>
              <w:pStyle w:val="Compact"/>
              <w:jc w:val="left"/>
            </w:pPr>
            <w:r>
              <w:t xml:space="preserve">EPSG:6674</w:t>
            </w:r>
          </w:p>
        </w:tc>
        <w:tc>
          <w:p>
            <w:pPr>
              <w:pStyle w:val="Compact"/>
              <w:jc w:val="right"/>
            </w:pPr>
            <w:r>
              <w:t xml:space="preserve">383,341</w:t>
            </w:r>
          </w:p>
        </w:tc>
        <w:tc>
          <w:p>
            <w:pPr>
              <w:pStyle w:val="Compact"/>
              <w:jc w:val="right"/>
            </w:pPr>
            <w:r>
              <w:t xml:space="preserve">132.8</w:t>
            </w:r>
          </w:p>
        </w:tc>
        <w:tc>
          <w:p>
            <w:pPr>
              <w:pStyle w:val="Compact"/>
              <w:jc w:val="right"/>
            </w:pPr>
            <w:r>
              <w:t xml:space="preserve">608</w:t>
            </w:r>
          </w:p>
        </w:tc>
        <w:tc>
          <w:p>
            <w:pPr>
              <w:pStyle w:val="Compact"/>
              <w:jc w:val="right"/>
            </w:pPr>
            <w:r>
              <w:t xml:space="preserve">52,014</w:t>
            </w:r>
          </w:p>
        </w:tc>
        <w:tc>
          <w:p>
            <w:pPr>
              <w:pStyle w:val="Compact"/>
              <w:jc w:val="right"/>
            </w:pPr>
            <w:r>
              <w:t xml:space="preserve">13.6</w:t>
            </w:r>
          </w:p>
        </w:tc>
      </w:tr>
      <w:tr>
        <w:tc>
          <w:p>
            <w:pPr>
              <w:pStyle w:val="Compact"/>
              <w:jc w:val="left"/>
            </w:pPr>
            <w:r>
              <w:rPr>
                <w:b/>
              </w:rPr>
              <w:t xml:space="preserve">Total</w:t>
            </w:r>
          </w:p>
        </w:tc>
        <w:tc>
          <w:p>
            <w:pPr>
              <w:pStyle w:val="Compact"/>
            </w:pPr>
          </w:p>
        </w:tc>
        <w:tc>
          <w:p>
            <w:pPr>
              <w:pStyle w:val="Compact"/>
            </w:pPr>
          </w:p>
        </w:tc>
        <w:tc>
          <w:p>
            <w:pPr>
              <w:pStyle w:val="Compact"/>
              <w:jc w:val="right"/>
            </w:pPr>
            <w:r>
              <w:rPr>
                <w:b/>
              </w:rPr>
              <w:t xml:space="preserve">1,044,233</w:t>
            </w:r>
          </w:p>
        </w:tc>
        <w:tc>
          <w:p>
            <w:pPr>
              <w:pStyle w:val="Compact"/>
              <w:jc w:val="right"/>
            </w:pPr>
            <w:r>
              <w:rPr>
                <w:b/>
              </w:rPr>
              <w:t xml:space="preserve">361.7</w:t>
            </w:r>
          </w:p>
        </w:tc>
        <w:tc>
          <w:p>
            <w:pPr>
              <w:pStyle w:val="Compact"/>
              <w:jc w:val="right"/>
            </w:pPr>
            <w:r>
              <w:rPr>
                <w:b/>
              </w:rPr>
              <w:t xml:space="preserve">12,277</w:t>
            </w:r>
          </w:p>
        </w:tc>
        <w:tc>
          <w:p>
            <w:pPr>
              <w:pStyle w:val="Compact"/>
              <w:jc w:val="right"/>
            </w:pPr>
            <w:r>
              <w:rPr>
                <w:b/>
              </w:rPr>
              <w:t xml:space="preserve">214,983</w:t>
            </w:r>
          </w:p>
        </w:tc>
        <w:tc>
          <w:p>
            <w:pPr>
              <w:pStyle w:val="Compact"/>
              <w:jc w:val="right"/>
            </w:pPr>
            <w:r>
              <w:rPr>
                <w:b/>
              </w:rPr>
              <w:t xml:space="preserve">20.6</w:t>
            </w:r>
          </w:p>
        </w:tc>
      </w:tr>
    </w:tbl>
    <w:p>
      <w:pPr>
        <w:pStyle w:val="Heading3"/>
      </w:pPr>
      <w:bookmarkStart w:id="24" w:name="data-sources"/>
      <w:r>
        <w:t xml:space="preserve">2.2 Data sources</w:t>
      </w:r>
      <w:bookmarkEnd w:id="24"/>
    </w:p>
    <w:p>
      <w:pPr>
        <w:pStyle w:val="FirstParagraph"/>
      </w:pPr>
      <w:r>
        <w:rPr>
          <w:b/>
        </w:rPr>
        <w:t xml:space="preserve">Table 2. Inputs.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Contribution</w:t>
            </w:r>
          </w:p>
        </w:tc>
        <w:tc>
          <w:tcPr>
            <w:tcBorders>
              <w:bottom w:val="single"/>
            </w:tcBorders>
            <w:vAlign w:val="bottom"/>
          </w:tcPr>
          <w:p>
            <w:pPr>
              <w:pStyle w:val="Compact"/>
              <w:jc w:val="left"/>
            </w:pPr>
            <w:r>
              <w:t xml:space="preserve">Licence</w:t>
            </w:r>
          </w:p>
        </w:tc>
      </w:tr>
      <w:tr>
        <w:tc>
          <w:p>
            <w:pPr>
              <w:pStyle w:val="Compact"/>
              <w:jc w:val="left"/>
            </w:pPr>
            <w:r>
              <w:t xml:space="preserve">iNaturalist</w:t>
            </w:r>
          </w:p>
        </w:tc>
        <w:tc>
          <w:p>
            <w:pPr>
              <w:pStyle w:val="Compact"/>
              <w:jc w:val="left"/>
            </w:pPr>
            <w:r>
              <w:t xml:space="preserve">Occurrence records, research and needs_id grade</w:t>
            </w:r>
          </w:p>
        </w:tc>
        <w:tc>
          <w:p>
            <w:pPr>
              <w:pStyle w:val="Compact"/>
              <w:jc w:val="left"/>
            </w:pPr>
            <w:r>
              <w:t xml:space="preserve">CC-BY (research grade)</w:t>
            </w:r>
          </w:p>
        </w:tc>
      </w:tr>
      <w:tr>
        <w:tc>
          <w:p>
            <w:pPr>
              <w:pStyle w:val="Compact"/>
              <w:jc w:val="left"/>
            </w:pPr>
            <w:r>
              <w:t xml:space="preserve">GBIF</w:t>
            </w:r>
          </w:p>
        </w:tc>
        <w:tc>
          <w:p>
            <w:pPr>
              <w:pStyle w:val="Compact"/>
              <w:jc w:val="left"/>
            </w:pPr>
            <w:r>
              <w:t xml:space="preserve">Aggregated occurrence records</w:t>
            </w:r>
          </w:p>
        </w:tc>
        <w:tc>
          <w:p>
            <w:pPr>
              <w:pStyle w:val="Compact"/>
              <w:jc w:val="left"/>
            </w:pPr>
            <w:r>
              <w:t xml:space="preserve">Varies; CC-BY / CC0</w:t>
            </w:r>
          </w:p>
        </w:tc>
      </w:tr>
      <w:tr>
        <w:tc>
          <w:p>
            <w:pPr>
              <w:pStyle w:val="Compact"/>
              <w:jc w:val="left"/>
            </w:pPr>
            <w:r>
              <w:t xml:space="preserve">OpenStreetMap</w:t>
            </w:r>
          </w:p>
        </w:tc>
        <w:tc>
          <w:p>
            <w:pPr>
              <w:pStyle w:val="Compact"/>
              <w:jc w:val="left"/>
            </w:pPr>
            <w:r>
              <w:t xml:space="preserve">Footpaths, roads, rail, green space, amenities, lighting, water</w:t>
            </w:r>
          </w:p>
        </w:tc>
        <w:tc>
          <w:p>
            <w:pPr>
              <w:pStyle w:val="Compact"/>
              <w:jc w:val="left"/>
            </w:pPr>
            <w:r>
              <w:t xml:space="preserve">ODbL</w:t>
            </w:r>
          </w:p>
        </w:tc>
      </w:tr>
      <w:tr>
        <w:tc>
          <w:p>
            <w:pPr>
              <w:pStyle w:val="Compact"/>
              <w:jc w:val="left"/>
            </w:pPr>
            <w:r>
              <w:t xml:space="preserve">Sentinel-2 MSI</w:t>
            </w:r>
          </w:p>
        </w:tc>
        <w:tc>
          <w:p>
            <w:pPr>
              <w:pStyle w:val="Compact"/>
              <w:jc w:val="left"/>
            </w:pPr>
            <w:r>
              <w:t xml:space="preserve">NDVI at 10 m</w:t>
            </w:r>
          </w:p>
        </w:tc>
        <w:tc>
          <w:p>
            <w:pPr>
              <w:pStyle w:val="Compact"/>
              <w:jc w:val="left"/>
            </w:pPr>
            <w:r>
              <w:t xml:space="preserve">Copernicus</w:t>
            </w:r>
          </w:p>
        </w:tc>
      </w:tr>
      <w:tr>
        <w:tc>
          <w:p>
            <w:pPr>
              <w:pStyle w:val="Compact"/>
              <w:jc w:val="left"/>
            </w:pPr>
            <w:r>
              <w:t xml:space="preserve">Landsat 8/9</w:t>
            </w:r>
          </w:p>
        </w:tc>
        <w:tc>
          <w:p>
            <w:pPr>
              <w:pStyle w:val="Compact"/>
              <w:jc w:val="left"/>
            </w:pPr>
            <w:r>
              <w:t xml:space="preserve">Land surface temperature, three seasonal composites</w:t>
            </w:r>
          </w:p>
        </w:tc>
        <w:tc>
          <w:p>
            <w:pPr>
              <w:pStyle w:val="Compact"/>
              <w:jc w:val="left"/>
            </w:pPr>
            <w:r>
              <w:t xml:space="preserve">USGS/NASA</w:t>
            </w:r>
          </w:p>
        </w:tc>
      </w:tr>
      <w:tr>
        <w:tc>
          <w:p>
            <w:pPr>
              <w:pStyle w:val="Compact"/>
              <w:jc w:val="left"/>
            </w:pPr>
            <w:r>
              <w:t xml:space="preserve">ESA WorldCover</w:t>
            </w:r>
          </w:p>
        </w:tc>
        <w:tc>
          <w:p>
            <w:pPr>
              <w:pStyle w:val="Compact"/>
              <w:jc w:val="left"/>
            </w:pPr>
            <w:r>
              <w:t xml:space="preserve">Land-cover fractions</w:t>
            </w:r>
          </w:p>
        </w:tc>
        <w:tc>
          <w:p>
            <w:pPr>
              <w:pStyle w:val="Compact"/>
              <w:jc w:val="left"/>
            </w:pPr>
            <w:r>
              <w:t xml:space="preserve">CC-BY 4.0</w:t>
            </w:r>
          </w:p>
        </w:tc>
      </w:tr>
      <w:tr>
        <w:tc>
          <w:p>
            <w:pPr>
              <w:pStyle w:val="Compact"/>
              <w:jc w:val="left"/>
            </w:pPr>
            <w:r>
              <w:t xml:space="preserve">Copernicus EMC-BUILT</w:t>
            </w:r>
          </w:p>
        </w:tc>
        <w:tc>
          <w:p>
            <w:pPr>
              <w:pStyle w:val="Compact"/>
              <w:jc w:val="left"/>
            </w:pPr>
            <w:r>
              <w:t xml:space="preserve">Impervious fraction</w:t>
            </w:r>
          </w:p>
        </w:tc>
        <w:tc>
          <w:p>
            <w:pPr>
              <w:pStyle w:val="Compact"/>
              <w:jc w:val="left"/>
            </w:pPr>
            <w:r>
              <w:t xml:space="preserve">Copernicus</w:t>
            </w:r>
          </w:p>
        </w:tc>
      </w:tr>
      <w:tr>
        <w:tc>
          <w:p>
            <w:pPr>
              <w:pStyle w:val="Compact"/>
              <w:jc w:val="left"/>
            </w:pPr>
            <w:r>
              <w:t xml:space="preserve">Portugal DGT / NL PDOK / Flanders</w:t>
            </w:r>
          </w:p>
        </w:tc>
        <w:tc>
          <w:p>
            <w:pPr>
              <w:pStyle w:val="Compact"/>
              <w:jc w:val="left"/>
            </w:pPr>
            <w:r>
              <w:t xml:space="preserve">0.5 m CIR orthophoto → vegetation fraction, NDVI texture</w:t>
            </w:r>
          </w:p>
        </w:tc>
        <w:tc>
          <w:p>
            <w:pPr>
              <w:pStyle w:val="Compact"/>
              <w:jc w:val="left"/>
            </w:pPr>
            <w:r>
              <w:t xml:space="preserve">National open data</w:t>
            </w:r>
          </w:p>
        </w:tc>
      </w:tr>
    </w:tbl>
    <w:p>
      <w:pPr>
        <w:pStyle w:val="BodyText"/>
      </w:pPr>
      <w:r>
        <w:t xml:space="preserve">Occurrence records are filtered on ingest and again after the streams are combined:</w:t>
      </w:r>
      <w:r>
        <w:t xml:space="preserve"> </w:t>
      </w:r>
      <w:r>
        <w:t xml:space="preserve">records with stated positional accuracy &gt; 30 m are dropped; records with unknown</w:t>
      </w:r>
      <w:r>
        <w:t xml:space="preserve"> </w:t>
      </w:r>
      <w:r>
        <w:t xml:space="preserve">accuracy are retained at half weight; iNaturalist records with obscured or</w:t>
      </w:r>
      <w:r>
        <w:t xml:space="preserve"> </w:t>
      </w:r>
      <w:r>
        <w:t xml:space="preserve">geoprivacy-restricted coordinates are dropped; records earlier than 2015 (the Sentinel-2</w:t>
      </w:r>
      <w:r>
        <w:t xml:space="preserve"> </w:t>
      </w:r>
      <w:r>
        <w:t xml:space="preserve">operational start) or without a date are dropped; and GBIF</w:t>
      </w:r>
      <w:r>
        <w:t xml:space="preserve"> </w:t>
      </w:r>
      <w:r>
        <w:rPr>
          <w:rStyle w:val="VerbatimChar"/>
        </w:rPr>
        <w:t xml:space="preserve">PRESERVED_SPECIMEN</w:t>
      </w:r>
      <w:r>
        <w:t xml:space="preserve"> </w:t>
      </w:r>
      <w:r>
        <w:t xml:space="preserve">records</w:t>
      </w:r>
      <w:r>
        <w:t xml:space="preserve"> </w:t>
      </w:r>
      <w:r>
        <w:t xml:space="preserve">are dropped. The gates are severe on some streams: of the GBIF archives as fetched they</w:t>
      </w:r>
      <w:r>
        <w:t xml:space="preserve"> </w:t>
      </w:r>
      <w:r>
        <w:t xml:space="preserve">retain 91.1% for Porto, 22.4% for Gent, 27.4% for Yokohama and 18.5% for Amsterdam,</w:t>
      </w:r>
      <w:r>
        <w:t xml:space="preserve"> </w:t>
      </w:r>
      <w:r>
        <w:t xml:space="preserve">and of the survivors 44.0–95.6% state no positional accuracy at all. §3.3 shows what</w:t>
      </w:r>
      <w:r>
        <w:t xml:space="preserve"> </w:t>
      </w:r>
      <w:r>
        <w:t xml:space="preserve">that last figure permits.</w:t>
      </w:r>
    </w:p>
    <w:p>
      <w:pPr>
        <w:pStyle w:val="BodyText"/>
      </w:pPr>
      <w:r>
        <w:t xml:space="preserve">After gating, the four cities contribute 1,850,703 records: Porto 227,110, Amsterdam</w:t>
      </w:r>
      <w:r>
        <w:t xml:space="preserve"> </w:t>
      </w:r>
      <w:r>
        <w:t xml:space="preserve">789,554, Gent 799,628, Yokohama 34,411.</w:t>
      </w:r>
    </w:p>
    <w:p>
      <w:pPr>
        <w:pStyle w:val="Heading3"/>
      </w:pPr>
      <w:bookmarkStart w:id="25" w:name="spatial-unit"/>
      <w:r>
        <w:t xml:space="preserve">2.3 Spatial unit</w:t>
      </w:r>
      <w:bookmarkEnd w:id="25"/>
    </w:p>
    <w:p>
      <w:pPr>
        <w:pStyle w:val="FirstParagraph"/>
      </w:pPr>
      <w:r>
        <w:t xml:space="preserve">All analysis is on a 20 m hexagonal grid (</w:t>
      </w:r>
      <w:r>
        <w:rPr>
          <w:rStyle w:val="VerbatimChar"/>
        </w:rPr>
        <w:t xml:space="preserve">sf::st_make_grid(cellsize = 20, square = FALSE)</w:t>
      </w:r>
      <w:r>
        <w:t xml:space="preserve">; ≈ 346 m² per cell) generated in each city’s national projected CRS.</w:t>
      </w:r>
      <w:r>
        <w:t xml:space="preserve"> </w:t>
      </w:r>
      <w:r>
        <w:t xml:space="preserve">The same cell identifiers connect the modelling outputs, the vector tiles, the database</w:t>
      </w:r>
      <w:r>
        <w:t xml:space="preserve"> </w:t>
      </w:r>
      <w:r>
        <w:t xml:space="preserve">and the public interface. There is no secondary analytical grid.</w:t>
      </w:r>
    </w:p>
    <w:p>
      <w:pPr>
        <w:pStyle w:val="Heading3"/>
      </w:pPr>
      <w:bookmarkStart w:id="26" w:name="observer-effort-correction"/>
      <w:r>
        <w:t xml:space="preserve">2.4 Observer effort correction</w:t>
      </w:r>
      <w:bookmarkEnd w:id="26"/>
    </w:p>
    <w:p>
      <w:pPr>
        <w:pStyle w:val="FirstParagraph"/>
      </w:pPr>
      <w:r>
        <w:t xml:space="preserve">Occurrence records cluster where people walk, so raw richness confounds biodiversity</w:t>
      </w:r>
      <w:r>
        <w:t xml:space="preserve"> </w:t>
      </w:r>
      <w:r>
        <w:t xml:space="preserve">with observer effort. The pipeline corrects for this with a pedestrian-path proxy:</w:t>
      </w:r>
    </w:p>
    <w:p>
      <w:pPr>
        <w:pStyle w:val="SourceCode"/>
      </w:pPr>
      <w:r>
        <w:rPr>
          <w:rStyle w:val="VerbatimChar"/>
        </w:rPr>
        <w:t xml:space="preserve">survey_effort_units_i = log(1 + path_local_m_i)</w:t>
      </w:r>
      <w:r>
        <w:br w:type="textWrapping"/>
      </w:r>
      <w:r>
        <w:rPr>
          <w:rStyle w:val="VerbatimChar"/>
        </w:rPr>
        <w:t xml:space="preserve">observed_richness_i   = species_richness_i / survey_effort_units_i</w:t>
      </w:r>
    </w:p>
    <w:p>
      <w:pPr>
        <w:pStyle w:val="FirstParagraph"/>
      </w:pPr>
      <w:r>
        <w:t xml:space="preserve">where</w:t>
      </w:r>
      <w:r>
        <w:t xml:space="preserve"> </w:t>
      </w:r>
      <w:r>
        <w:rPr>
          <w:rStyle w:val="VerbatimChar"/>
        </w:rPr>
        <w:t xml:space="preserve">path_local_m_i</w:t>
      </w:r>
      <w:r>
        <w:t xml:space="preserve"> </w:t>
      </w:r>
      <w:r>
        <w:t xml:space="preserve">is OpenStreetMap footway, path and track length in metres within</w:t>
      </w:r>
      <w:r>
        <w:t xml:space="preserve"> </w:t>
      </w:r>
      <w:r>
        <w:t xml:space="preserve">40 m of cell</w:t>
      </w:r>
      <w:r>
        <w:t xml:space="preserve"> </w:t>
      </w:r>
      <w:r>
        <w:rPr>
          <w:i/>
        </w:rPr>
        <w:t xml:space="preserve">i</w:t>
      </w:r>
      <w:r>
        <w:t xml:space="preserve">’s centroid. Cells with less than 50 m of path in that neighbourhood are</w:t>
      </w:r>
      <w:r>
        <w:t xml:space="preserve"> </w:t>
      </w:r>
      <w:r>
        <w:t xml:space="preserve">declared</w:t>
      </w:r>
      <w:r>
        <w:t xml:space="preserve"> </w:t>
      </w:r>
      <w:r>
        <w:rPr>
          <w:b/>
        </w:rPr>
        <w:t xml:space="preserve">unsampled</w:t>
      </w:r>
      <w:r>
        <w:t xml:space="preserve">: they receive</w:t>
      </w:r>
      <w:r>
        <w:t xml:space="preserve"> </w:t>
      </w:r>
      <w:r>
        <w:rPr>
          <w:rStyle w:val="VerbatimChar"/>
        </w:rPr>
        <w:t xml:space="preserve">NA</w:t>
      </w:r>
      <w:r>
        <w:t xml:space="preserve"> </w:t>
      </w:r>
      <w:r>
        <w:t xml:space="preserve">for effort, observed richness and residual,</w:t>
      </w:r>
      <w:r>
        <w:t xml:space="preserve"> </w:t>
      </w:r>
      <w:r>
        <w:t xml:space="preserve">and are excluded from model fitting rather than treated as zero-richness cells. This is</w:t>
      </w:r>
      <w:r>
        <w:t xml:space="preserve"> </w:t>
      </w:r>
      <w:r>
        <w:t xml:space="preserve">the correct treatment of an unobserved cell, and §3.2 shows what it costs.</w:t>
      </w:r>
    </w:p>
    <w:p>
      <w:pPr>
        <w:pStyle w:val="Heading3"/>
      </w:pPr>
      <w:bookmarkStart w:id="27" w:name="expected-richness"/>
      <w:r>
        <w:t xml:space="preserve">2.5 Expected richness</w:t>
      </w:r>
      <w:bookmarkEnd w:id="27"/>
    </w:p>
    <w:p>
      <w:pPr>
        <w:pStyle w:val="FirstParagraph"/>
      </w:pPr>
      <w:r>
        <w:t xml:space="preserve">Expected richness is the fitted conditional expectation of the same quantity that is</w:t>
      </w:r>
      <w:r>
        <w:t xml:space="preserve"> </w:t>
      </w:r>
      <w:r>
        <w:t xml:space="preserve">subtracted from it — not a separate index — so that the difference in §2.6 is a</w:t>
      </w:r>
      <w:r>
        <w:t xml:space="preserve"> </w:t>
      </w:r>
      <w:r>
        <w:t xml:space="preserve">residual in the statistical sense, with both sides in units of species per effort unit:</w:t>
      </w:r>
    </w:p>
    <w:p>
      <w:pPr>
        <w:pStyle w:val="SourceCode"/>
      </w:pPr>
      <w:r>
        <w:rPr>
          <w:rStyle w:val="VerbatimChar"/>
        </w:rPr>
        <w:t xml:space="preserve">species_richness_i ~ quasipoisson(log link)</w:t>
      </w:r>
      <w:r>
        <w:br w:type="textWrapping"/>
      </w:r>
      <w:r>
        <w:rPr>
          <w:rStyle w:val="VerbatimChar"/>
        </w:rPr>
        <w:t xml:space="preserve">  habitat_component + connectivity_component + accessibility_component</w:t>
      </w:r>
      <w:r>
        <w:br w:type="textWrapping"/>
      </w:r>
      <w:r>
        <w:rPr>
          <w:rStyle w:val="VerbatimChar"/>
        </w:rPr>
        <w:t xml:space="preserve">  + offset(log(survey_effort_units_i))</w:t>
      </w:r>
      <w:r>
        <w:br w:type="textWrapping"/>
      </w:r>
      <w:r>
        <w:br w:type="textWrapping"/>
      </w:r>
      <w:r>
        <w:rPr>
          <w:rStyle w:val="VerbatimChar"/>
        </w:rPr>
        <w:t xml:space="preserve">expected_richness_i = exp(X_i · β)</w:t>
      </w:r>
    </w:p>
    <w:p>
      <w:pPr>
        <w:pStyle w:val="FirstParagraph"/>
      </w:pPr>
      <w:r>
        <w:rPr>
          <w:rStyle w:val="VerbatimChar"/>
        </w:rPr>
        <w:t xml:space="preserve">habitat_component</w:t>
      </w:r>
      <w:r>
        <w:t xml:space="preserve"> </w:t>
      </w:r>
      <w:r>
        <w:t xml:space="preserve">is a habitat quality index (0.50 · NDVI index + 0.286 · inverted LST</w:t>
      </w:r>
      <w:r>
        <w:t xml:space="preserve"> </w:t>
      </w:r>
      <w:r>
        <w:t xml:space="preserve">percentile + 0.214 · inverted disturbance index);</w:t>
      </w:r>
      <w:r>
        <w:t xml:space="preserve"> </w:t>
      </w:r>
      <w:r>
        <w:rPr>
          <w:rStyle w:val="VerbatimChar"/>
        </w:rPr>
        <w:t xml:space="preserve">connectivity_component</w:t>
      </w:r>
      <w:r>
        <w:t xml:space="preserve"> </w:t>
      </w:r>
      <w:r>
        <w:t xml:space="preserve">is the</w:t>
      </w:r>
      <w:r>
        <w:t xml:space="preserve"> </w:t>
      </w:r>
      <w:r>
        <w:t xml:space="preserve">percentile rank of dispersal-limited betweenness on a habitat-resistance graph, clamped</w:t>
      </w:r>
      <w:r>
        <w:t xml:space="preserve"> </w:t>
      </w:r>
      <w:r>
        <w:t xml:space="preserve">to [0, 1];</w:t>
      </w:r>
      <w:r>
        <w:t xml:space="preserve"> </w:t>
      </w:r>
      <w:r>
        <w:rPr>
          <w:rStyle w:val="VerbatimChar"/>
        </w:rPr>
        <w:t xml:space="preserve">accessibility_component</w:t>
      </w:r>
      <w:r>
        <w:t xml:space="preserve"> </w:t>
      </w:r>
      <w:r>
        <w:t xml:space="preserve">is log1p(path_local_m) normalised by its city</w:t>
      </w:r>
      <w:r>
        <w:t xml:space="preserve"> </w:t>
      </w:r>
      <w:r>
        <w:t xml:space="preserve">maximum. The model is fitted per city, on admitted cells only, in-sample.</w:t>
      </w:r>
    </w:p>
    <w:p>
      <w:pPr>
        <w:pStyle w:val="BodyText"/>
      </w:pPr>
      <w:r>
        <w:t xml:space="preserve">Note that effort enters twice: once as a fixed offset and once, in transformed form, as</w:t>
      </w:r>
      <w:r>
        <w:t xml:space="preserve"> </w:t>
      </w:r>
      <w:r>
        <w:t xml:space="preserve">a free covariate. We return to this in §3.6.</w:t>
      </w:r>
    </w:p>
    <w:p>
      <w:pPr>
        <w:pStyle w:val="Heading3"/>
      </w:pPr>
      <w:bookmarkStart w:id="28" w:name="published-products"/>
      <w:r>
        <w:t xml:space="preserve">2.6 Published products</w:t>
      </w:r>
      <w:bookmarkEnd w:id="28"/>
    </w:p>
    <w:p>
      <w:pPr>
        <w:pStyle w:val="Compact"/>
        <w:numPr>
          <w:numId w:val="1002"/>
          <w:ilvl w:val="0"/>
        </w:numPr>
      </w:pPr>
      <w:r>
        <w:rPr>
          <w:b/>
        </w:rPr>
        <w:t xml:space="preserve">Ecological residual</w:t>
      </w:r>
      <w:r>
        <w:t xml:space="preserve"> </w:t>
      </w:r>
      <w:r>
        <w:rPr>
          <w:rStyle w:val="VerbatimChar"/>
        </w:rPr>
        <w:t xml:space="preserve">R = expected_richness − observed_richness</w:t>
      </w:r>
      <w:r>
        <w:t xml:space="preserve">, signed so that</w:t>
      </w:r>
      <w:r>
        <w:t xml:space="preserve"> </w:t>
      </w:r>
      <w:r>
        <w:t xml:space="preserve">positive means below expectation.</w:t>
      </w:r>
    </w:p>
    <w:p>
      <w:pPr>
        <w:pStyle w:val="Compact"/>
        <w:numPr>
          <w:numId w:val="1002"/>
          <w:ilvl w:val="0"/>
        </w:numPr>
      </w:pPr>
      <w:r>
        <w:rPr>
          <w:b/>
        </w:rPr>
        <w:t xml:space="preserve">Nature Gap score</w:t>
      </w:r>
      <w:r>
        <w:t xml:space="preserve">, a composite of the median-centred residual (0.50), habitat</w:t>
      </w:r>
      <w:r>
        <w:t xml:space="preserve"> </w:t>
      </w:r>
      <w:r>
        <w:t xml:space="preserve">deficit (0.30) and connectivity deficit (0.20), scaled to [−100, +100] and binned into</w:t>
      </w:r>
      <w:r>
        <w:t xml:space="preserve"> </w:t>
      </w:r>
      <w:r>
        <w:t xml:space="preserve">five bands (</w:t>
      </w:r>
      <w:r>
        <w:rPr>
          <w:rStyle w:val="VerbatimChar"/>
        </w:rPr>
        <w:t xml:space="preserve">much-better</w:t>
      </w:r>
      <w:r>
        <w:t xml:space="preserve"> </w:t>
      </w:r>
      <w:r>
        <w:t xml:space="preserve">&lt; −15 ≤</w:t>
      </w:r>
      <w:r>
        <w:t xml:space="preserve"> </w:t>
      </w:r>
      <w:r>
        <w:rPr>
          <w:rStyle w:val="VerbatimChar"/>
        </w:rPr>
        <w:t xml:space="preserve">better</w:t>
      </w:r>
      <w:r>
        <w:t xml:space="preserve"> </w:t>
      </w:r>
      <w:r>
        <w:t xml:space="preserve">&lt; −5 ≤</w:t>
      </w:r>
      <w:r>
        <w:t xml:space="preserve"> </w:t>
      </w:r>
      <w:r>
        <w:rPr>
          <w:rStyle w:val="VerbatimChar"/>
        </w:rPr>
        <w:t xml:space="preserve">as-expected</w:t>
      </w:r>
      <w:r>
        <w:t xml:space="preserve"> </w:t>
      </w:r>
      <w:r>
        <w:t xml:space="preserve">&lt; 10 ≤</w:t>
      </w:r>
      <w:r>
        <w:t xml:space="preserve"> </w:t>
      </w:r>
      <w:r>
        <w:rPr>
          <w:rStyle w:val="VerbatimChar"/>
        </w:rPr>
        <w:t xml:space="preserve">worse</w:t>
      </w:r>
      <w:r>
        <w:t xml:space="preserve"> </w:t>
      </w:r>
      <w:r>
        <w:t xml:space="preserve">&lt; 20 ≤</w:t>
      </w:r>
      <w:r>
        <w:t xml:space="preserve"> </w:t>
      </w:r>
      <w:r>
        <w:rPr>
          <w:rStyle w:val="VerbatimChar"/>
        </w:rPr>
        <w:t xml:space="preserve">much-worse</w:t>
      </w:r>
      <w:r>
        <w:t xml:space="preserve">).</w:t>
      </w:r>
    </w:p>
    <w:p>
      <w:pPr>
        <w:pStyle w:val="Compact"/>
        <w:numPr>
          <w:numId w:val="1002"/>
          <w:ilvl w:val="0"/>
        </w:numPr>
      </w:pPr>
      <w:r>
        <w:rPr>
          <w:b/>
        </w:rPr>
        <w:t xml:space="preserve">Intervention score</w:t>
      </w:r>
      <w:r>
        <w:t xml:space="preserve"> </w:t>
      </w:r>
      <w:r>
        <w:rPr>
          <w:rStyle w:val="VerbatimChar"/>
        </w:rPr>
        <w:t xml:space="preserve">max(0, R − median(R)) × corridor_importance</w:t>
      </w:r>
      <w:r>
        <w:t xml:space="preserve">, ranked</w:t>
      </w:r>
      <w:r>
        <w:t xml:space="preserve"> </w:t>
      </w:r>
      <w:r>
        <w:t xml:space="preserve">descending, with the top 20 exported for action.</w:t>
      </w:r>
    </w:p>
    <w:p>
      <w:pPr>
        <w:pStyle w:val="Compact"/>
        <w:numPr>
          <w:numId w:val="1002"/>
          <w:ilvl w:val="0"/>
        </w:numPr>
      </w:pPr>
      <w:r>
        <w:t xml:space="preserve">A</w:t>
      </w:r>
      <w:r>
        <w:t xml:space="preserve"> </w:t>
      </w:r>
      <w:r>
        <w:rPr>
          <w:b/>
        </w:rPr>
        <w:t xml:space="preserve">rank-stability</w:t>
      </w:r>
      <w:r>
        <w:t xml:space="preserve"> </w:t>
      </w:r>
      <w:r>
        <w:t xml:space="preserve">ensemble: the whole residual chain is recomputed at six values of</w:t>
      </w:r>
      <w:r>
        <w:t xml:space="preserve"> </w:t>
      </w:r>
      <w:r>
        <w:t xml:space="preserve">the uncalibrated dispersal-cost ceiling (R ∈ {5, 10, 20, 30, 50, 100}) and each cell</w:t>
      </w:r>
      <w:r>
        <w:t xml:space="preserve"> </w:t>
      </w:r>
      <w:r>
        <w:t xml:space="preserve">records the share of runs placing it in the top 20.</w:t>
      </w:r>
    </w:p>
    <w:p>
      <w:pPr>
        <w:pStyle w:val="Heading3"/>
      </w:pPr>
      <w:bookmarkStart w:id="29" w:name="diagnostics-introduced-here"/>
      <w:r>
        <w:t xml:space="preserve">2.7 Diagnostics introduced here</w:t>
      </w:r>
      <w:bookmarkEnd w:id="29"/>
    </w:p>
    <w:p>
      <w:pPr>
        <w:pStyle w:val="FirstParagraph"/>
      </w:pPr>
      <w:r>
        <w:rPr>
          <w:b/>
        </w:rPr>
        <w:t xml:space="preserve">The variance criterion.</w:t>
      </w:r>
      <w:r>
        <w:t xml:space="preserve"> </w:t>
      </w:r>
      <w:r>
        <w:t xml:space="preserve">Write the residual as R = Ŷ − Y, let λ = Var(Ŷ)/Var(Y) and</w:t>
      </w:r>
      <w:r>
        <w:t xml:space="preserve"> </w:t>
      </w:r>
      <w:r>
        <w:t xml:space="preserve">ρ = corr(Ŷ, Y). Then</w:t>
      </w:r>
    </w:p>
    <w:p>
      <w:pPr>
        <w:pStyle w:val="SourceCode"/>
      </w:pPr>
      <w:r>
        <w:rPr>
          <w:rStyle w:val="VerbatimChar"/>
        </w:rPr>
        <w:t xml:space="preserve">Var(R) = Var(Ŷ) + Var(Y) − 2·Cov(Ŷ, Y)</w:t>
      </w:r>
    </w:p>
    <w:p>
      <w:pPr>
        <w:pStyle w:val="FirstParagraph"/>
      </w:pPr>
      <w:r>
        <w:t xml:space="preserve">and the residual’s correlation with each of its inputs follows in closed form:</w:t>
      </w:r>
    </w:p>
    <w:p>
      <w:pPr>
        <w:pStyle w:val="SourceCode"/>
      </w:pPr>
      <w:r>
        <w:rPr>
          <w:rStyle w:val="VerbatimChar"/>
        </w:rPr>
        <w:t xml:space="preserve">corr(R, −Y) = (1 − ρ√λ) / √(1 + λ − 2ρ√λ)                              (1)</w:t>
      </w:r>
      <w:r>
        <w:br w:type="textWrapping"/>
      </w:r>
      <w:r>
        <w:rPr>
          <w:rStyle w:val="VerbatimChar"/>
        </w:rPr>
        <w:t xml:space="preserve">corr(R,  Ŷ) = (√λ − ρ) / √(1 + λ − 2ρ√λ)                               (2)</w:t>
      </w:r>
    </w:p>
    <w:p>
      <w:pPr>
        <w:pStyle w:val="FirstParagraph"/>
      </w:pPr>
      <w:r>
        <w:t xml:space="preserve">Equation (1) has two limits. As λ → 0, corr(R, −Y) → 1: the residual</w:t>
      </w:r>
      <w:r>
        <w:t xml:space="preserve"> </w:t>
      </w:r>
      <w:r>
        <w:rPr>
          <w:i/>
        </w:rPr>
        <w:t xml:space="preserve">is</w:t>
      </w:r>
      <w:r>
        <w:t xml:space="preserve"> </w:t>
      </w:r>
      <w:r>
        <w:t xml:space="preserve">the</w:t>
      </w:r>
      <w:r>
        <w:t xml:space="preserve"> </w:t>
      </w:r>
      <w:r>
        <w:t xml:space="preserve">observation, negated. As λ → ∞, corr(R, Ŷ) → 1: the residual</w:t>
      </w:r>
      <w:r>
        <w:t xml:space="preserve"> </w:t>
      </w:r>
      <w:r>
        <w:rPr>
          <w:i/>
        </w:rPr>
        <w:t xml:space="preserve">is</w:t>
      </w:r>
      <w:r>
        <w:t xml:space="preserve"> </w:t>
      </w:r>
      <w:r>
        <w:t xml:space="preserve">the model. Only in</w:t>
      </w:r>
      <w:r>
        <w:t xml:space="preserve"> </w:t>
      </w:r>
      <w:r>
        <w:t xml:space="preserve">between is R a quantity distinct from both. Setting ρ = 0 for the worst case, the</w:t>
      </w:r>
      <w:r>
        <w:t xml:space="preserve"> </w:t>
      </w:r>
      <w:r>
        <w:t xml:space="preserve">residual shares less than half its variance with the observation only once λ &gt; 1, and</w:t>
      </w:r>
      <w:r>
        <w:t xml:space="preserve"> </w:t>
      </w:r>
      <w:r>
        <w:t xml:space="preserve">less than 20% only once λ &gt; 4. We therefore treat</w:t>
      </w:r>
      <w:r>
        <w:t xml:space="preserve"> </w:t>
      </w:r>
      <w:r>
        <w:rPr>
          <w:b/>
        </w:rPr>
        <w:t xml:space="preserve">λ ∈ [0.25, 4] as the residual window</w:t>
      </w:r>
      <w:r>
        <w:t xml:space="preserve"> </w:t>
      </w:r>
      <w:r>
        <w:t xml:space="preserve">(Fig. 1) — deliberately generous; a map at λ = 0.25 still shares 80% of its variance</w:t>
      </w:r>
      <w:r>
        <w:t xml:space="preserve"> </w:t>
      </w:r>
      <w:r>
        <w:t xml:space="preserve">with the observation.</w:t>
      </w:r>
    </w:p>
    <w:p>
      <w:pPr>
        <w:pStyle w:val="BodyText"/>
      </w:pPr>
      <w:r>
        <w:t xml:space="preserve">λ is not a restatement of the model’s fit statistic. Under a log link on overdispersed</w:t>
      </w:r>
      <w:r>
        <w:t xml:space="preserve"> </w:t>
      </w:r>
      <w:r>
        <w:t xml:space="preserve">counts, fitted values shrink toward the mean far more than the deviance measure</w:t>
      </w:r>
      <w:r>
        <w:t xml:space="preserve"> </w:t>
      </w:r>
      <w:r>
        <w:t xml:space="preserve">suggests: in Porto the model explains 14.05% of deviance but λ = 0.028, a fivefold</w:t>
      </w:r>
      <w:r>
        <w:t xml:space="preserve"> </w:t>
      </w:r>
      <w:r>
        <w:t xml:space="preserve">discrepancy. λ is a property of the two mapped quantities and must be measured on them.</w:t>
      </w:r>
    </w:p>
    <w:p>
      <w:pPr>
        <w:pStyle w:val="BodyText"/>
      </w:pPr>
      <w:r>
        <w:rPr>
          <w:b/>
        </w:rPr>
        <w:t xml:space="preserve">Spatially blocked cross-validation.</w:t>
      </w:r>
      <w:r>
        <w:t xml:space="preserve"> </w:t>
      </w:r>
      <w:r>
        <w:t xml:space="preserve">The pipeline reports in-sample explained</w:t>
      </w:r>
      <w:r>
        <w:t xml:space="preserve"> </w:t>
      </w:r>
      <w:r>
        <w:t xml:space="preserve">deviance only. We tiled each city’s admitted cells into a 25 × 25 lattice of spatial</w:t>
      </w:r>
      <w:r>
        <w:t xml:space="preserve"> </w:t>
      </w:r>
      <w:r>
        <w:t xml:space="preserve">blocks, assigned whole blocks at random to five folds (seed 42), refitted the model on</w:t>
      </w:r>
      <w:r>
        <w:t xml:space="preserve"> </w:t>
      </w:r>
      <w:r>
        <w:t xml:space="preserve">four folds and evaluated Poisson deviance on the held-out fold against a constant-rate</w:t>
      </w:r>
      <w:r>
        <w:t xml:space="preserve"> </w:t>
      </w:r>
      <w:r>
        <w:t xml:space="preserve">null fitted on the training folds. Blocking by contiguous area rather than by cell</w:t>
      </w:r>
      <w:r>
        <w:t xml:space="preserve"> </w:t>
      </w:r>
      <w:r>
        <w:t xml:space="preserve">prevents neighbouring cells of the same record cluster appearing in both training and</w:t>
      </w:r>
      <w:r>
        <w:t xml:space="preserve"> </w:t>
      </w:r>
      <w:r>
        <w:t xml:space="preserve">test sets.</w:t>
      </w:r>
    </w:p>
    <w:p>
      <w:pPr>
        <w:pStyle w:val="BodyText"/>
      </w:pPr>
      <w:r>
        <w:rPr>
          <w:b/>
        </w:rPr>
        <w:t xml:space="preserve">Reconstruction validation.</w:t>
      </w:r>
      <w:r>
        <w:t xml:space="preserve"> </w:t>
      </w:r>
      <w:r>
        <w:t xml:space="preserve">Before any of this, we refitted the published</w:t>
      </w:r>
      <w:r>
        <w:t xml:space="preserve"> </w:t>
      </w:r>
      <w:r>
        <w:t xml:space="preserve">specification from the exported per-cell components. The refitted coefficients match</w:t>
      </w:r>
      <w:r>
        <w:t xml:space="preserve"> </w:t>
      </w:r>
      <w:r>
        <w:t xml:space="preserve">the published ones to within 4 × 10⁻⁴ in all four cities, and the explained deviance and</w:t>
      </w:r>
      <w:r>
        <w:t xml:space="preserve"> </w:t>
      </w:r>
      <w:r>
        <w:t xml:space="preserve">dispersion match to the published precision (Table 5). All subsequent diagnostics are</w:t>
      </w:r>
      <w:r>
        <w:t xml:space="preserve"> </w:t>
      </w:r>
      <w:r>
        <w:t xml:space="preserve">therefore measuring the published model, not a reimplementation of it.</w:t>
      </w:r>
    </w:p>
    <w:p>
      <w:pPr>
        <w:pStyle w:val="BodyText"/>
      </w:pPr>
      <w:r>
        <w:rPr>
          <w:b/>
        </w:rPr>
        <w:t xml:space="preserve">Coordinate-artefact screen.</w:t>
      </w:r>
      <w:r>
        <w:t xml:space="preserve"> </w:t>
      </w:r>
      <w:r>
        <w:t xml:space="preserve">For each cell holding records we computed the distance</w:t>
      </w:r>
      <w:r>
        <w:t xml:space="preserve"> </w:t>
      </w:r>
      <w:r>
        <w:t xml:space="preserve">from its centroid to the nearest node of a regular geographic lattice at 0.1°, 0.05°,</w:t>
      </w:r>
      <w:r>
        <w:t xml:space="preserve"> </w:t>
      </w:r>
      <w:r>
        <w:t xml:space="preserve">0.01° and 0.001°, and summed records within 15 m of a node.</w:t>
      </w:r>
    </w:p>
    <w:p>
      <w:pPr>
        <w:pStyle w:val="BodyText"/>
      </w:pPr>
      <w:r>
        <w:rPr>
          <w:b/>
        </w:rPr>
        <w:t xml:space="preserve">Software.</w:t>
      </w:r>
      <w:r>
        <w:t xml:space="preserve"> </w:t>
      </w:r>
      <w:r>
        <w:t xml:space="preserve">Pipeline in R (</w:t>
      </w:r>
      <w:r>
        <w:rPr>
          <w:rStyle w:val="VerbatimChar"/>
        </w:rPr>
        <w:t xml:space="preserve">sf</w:t>
      </w:r>
      <w:r>
        <w:t xml:space="preserve">,</w:t>
      </w:r>
      <w:r>
        <w:t xml:space="preserve"> </w:t>
      </w:r>
      <w:r>
        <w:rPr>
          <w:rStyle w:val="VerbatimChar"/>
        </w:rPr>
        <w:t xml:space="preserve">terra</w:t>
      </w:r>
      <w:r>
        <w:t xml:space="preserve">,</w:t>
      </w:r>
      <w:r>
        <w:t xml:space="preserve"> </w:t>
      </w:r>
      <w:r>
        <w:rPr>
          <w:rStyle w:val="VerbatimChar"/>
        </w:rPr>
        <w:t xml:space="preserve">igraph</w:t>
      </w:r>
      <w:r>
        <w:t xml:space="preserve">); diagnostics in Python</w:t>
      </w:r>
      <w:r>
        <w:t xml:space="preserve"> </w:t>
      </w:r>
      <w:r>
        <w:t xml:space="preserve">(</w:t>
      </w:r>
      <w:r>
        <w:rPr>
          <w:rStyle w:val="VerbatimChar"/>
        </w:rPr>
        <w:t xml:space="preserve">numpy</w:t>
      </w:r>
      <w:r>
        <w:t xml:space="preserve">,</w:t>
      </w:r>
      <w:r>
        <w:t xml:space="preserve"> </w:t>
      </w:r>
      <w:r>
        <w:rPr>
          <w:rStyle w:val="VerbatimChar"/>
        </w:rPr>
        <w:t xml:space="preserve">scipy</w:t>
      </w:r>
      <w:r>
        <w:t xml:space="preserve">,</w:t>
      </w:r>
      <w:r>
        <w:t xml:space="preserve"> </w:t>
      </w:r>
      <w:r>
        <w:rPr>
          <w:rStyle w:val="VerbatimChar"/>
        </w:rPr>
        <w:t xml:space="preserve">statsmodels</w:t>
      </w:r>
      <w:r>
        <w:t xml:space="preserve"> </w:t>
      </w:r>
      <w:r>
        <w:t xml:space="preserve">0.12.2). All analysis scripts are released</w:t>
      </w:r>
      <w:r>
        <w:t xml:space="preserve"> </w:t>
      </w:r>
      <w:r>
        <w:t xml:space="preserve">(§ Data and code availability).</w:t>
      </w:r>
    </w:p>
    <w:p>
      <w:r>
        <w:pict>
          <v:rect style="width:0;height:1.5pt" o:hralign="center" o:hrstd="t" o:hr="t"/>
        </w:pict>
      </w:r>
    </w:p>
    <w:p>
      <w:pPr>
        <w:pStyle w:val="CaptionedFigure"/>
      </w:pPr>
      <w:r>
        <w:drawing>
          <wp:inline>
            <wp:extent cx="5334000" cy="2569426"/>
            <wp:effectExtent b="0" l="0" r="0" t="0"/>
            <wp:docPr descr="Figure 1. Shared variance of the residual R = Y-hat - Y with each of its inputs, as a function of lambda, from equations (1) and (2) at rho = 0. The shaded band marks the residual window. The four cities of this study and the pipeline’s previous release are plotted at their measured lambda." title="" id="1" name="Picture"/>
            <a:graphic>
              <a:graphicData uri="http://schemas.openxmlformats.org/drawingml/2006/picture">
                <pic:pic>
                  <pic:nvPicPr>
                    <pic:cNvPr descr="figures/fig1_residual_window.png" id="0" name="Picture"/>
                    <pic:cNvPicPr>
                      <a:picLocks noChangeArrowheads="1" noChangeAspect="1"/>
                    </pic:cNvPicPr>
                  </pic:nvPicPr>
                  <pic:blipFill>
                    <a:blip r:embed="rId30"/>
                    <a:stretch>
                      <a:fillRect/>
                    </a:stretch>
                  </pic:blipFill>
                  <pic:spPr bwMode="auto">
                    <a:xfrm>
                      <a:off x="0" y="0"/>
                      <a:ext cx="5334000" cy="2569426"/>
                    </a:xfrm>
                    <a:prstGeom prst="rect">
                      <a:avLst/>
                    </a:prstGeom>
                    <a:noFill/>
                    <a:ln w="9525">
                      <a:noFill/>
                      <a:headEnd/>
                      <a:tailEnd/>
                    </a:ln>
                  </pic:spPr>
                </pic:pic>
              </a:graphicData>
            </a:graphic>
          </wp:inline>
        </w:drawing>
      </w:r>
    </w:p>
    <w:p>
      <w:pPr>
        <w:pStyle w:val="ImageCaption"/>
      </w:pPr>
      <w:r>
        <w:t xml:space="preserve">Figure 1. Shared variance of the residual R = Y-hat - Y with each of its inputs, as a function of lambda, from equations (1) and (2) at rho = 0. The shaded band marks the residual window. The four cities of this study and the pipeline’s previous release are plotted at their measured lambda.</w:t>
      </w:r>
    </w:p>
    <w:p>
      <w:pPr>
        <w:pStyle w:val="Heading2"/>
      </w:pPr>
      <w:bookmarkStart w:id="31" w:name="results"/>
      <w:r>
        <w:t xml:space="preserve">3. Results</w:t>
      </w:r>
      <w:bookmarkEnd w:id="31"/>
    </w:p>
    <w:p>
      <w:pPr>
        <w:pStyle w:val="Heading3"/>
      </w:pPr>
      <w:bookmarkStart w:id="32" w:name="coverage-and-sparsity"/>
      <w:r>
        <w:t xml:space="preserve">3.1 Coverage and sparsity</w:t>
      </w:r>
      <w:bookmarkEnd w:id="32"/>
    </w:p>
    <w:p>
      <w:pPr>
        <w:pStyle w:val="FirstParagraph"/>
      </w:pPr>
      <w:r>
        <w:t xml:space="preserve">Across the four cities, 214,983 of 1,044,233 cells (20.6%) are admitted to the analysis</w:t>
      </w:r>
      <w:r>
        <w:t xml:space="preserve"> </w:t>
      </w:r>
      <w:r>
        <w:t xml:space="preserve">(Table 1). Of those admitted, the great majority hold nothing: 64.6% of Gent’s, 76.3%</w:t>
      </w:r>
      <w:r>
        <w:t xml:space="preserve"> </w:t>
      </w:r>
      <w:r>
        <w:t xml:space="preserve">of Porto’s, 79.7% of Amsterdam’s and 96.1% of Yokohama’s admitted cells record zero</w:t>
      </w:r>
      <w:r>
        <w:t xml:space="preserve"> </w:t>
      </w:r>
      <w:r>
        <w:t xml:space="preserve">species (Table 3, Fig. 2b). Mean richness on an admitted cell is 0.16–1.22 species.</w:t>
      </w:r>
    </w:p>
    <w:p>
      <w:pPr>
        <w:pStyle w:val="BodyText"/>
      </w:pPr>
      <w:r>
        <w:rPr>
          <w:b/>
        </w:rPr>
        <w:t xml:space="preserve">Table 3. Coverage and sparsity.</w:t>
      </w:r>
    </w:p>
    <w:tbl>
      <w:tblPr>
        <w:tblStyle w:val="Table"/>
        <w:tblW w:type="pct" w:w="0.0"/>
        <w:tblLook w:firstRow="1"/>
      </w:tblPr>
      <w:tblGrid/>
      <w:tr>
        <w:trPr>
          <w:cnfStyle w:firstRow="1"/>
        </w:trPr>
        <w:tc>
          <w:tcPr>
            <w:tcBorders>
              <w:bottom w:val="single"/>
            </w:tcBorders>
            <w:vAlign w:val="bottom"/>
          </w:tcPr>
          <w:p>
            <w:pPr>
              <w:pStyle w:val="Compact"/>
            </w:pPr>
          </w:p>
        </w:tc>
        <w:tc>
          <w:tcPr>
            <w:tcBorders>
              <w:bottom w:val="single"/>
            </w:tcBorders>
            <w:vAlign w:val="bottom"/>
          </w:tcPr>
          <w:p>
            <w:pPr>
              <w:pStyle w:val="Compact"/>
              <w:jc w:val="right"/>
            </w:pPr>
            <w:r>
              <w:t xml:space="preserve">Porto</w:t>
            </w:r>
          </w:p>
        </w:tc>
        <w:tc>
          <w:tcPr>
            <w:tcBorders>
              <w:bottom w:val="single"/>
            </w:tcBorders>
            <w:vAlign w:val="bottom"/>
          </w:tcPr>
          <w:p>
            <w:pPr>
              <w:pStyle w:val="Compact"/>
              <w:jc w:val="right"/>
            </w:pPr>
            <w:r>
              <w:t xml:space="preserve">Amsterdam</w:t>
            </w:r>
          </w:p>
        </w:tc>
        <w:tc>
          <w:tcPr>
            <w:tcBorders>
              <w:bottom w:val="single"/>
            </w:tcBorders>
            <w:vAlign w:val="bottom"/>
          </w:tcPr>
          <w:p>
            <w:pPr>
              <w:pStyle w:val="Compact"/>
              <w:jc w:val="right"/>
            </w:pPr>
            <w:r>
              <w:t xml:space="preserve">Gent</w:t>
            </w:r>
          </w:p>
        </w:tc>
        <w:tc>
          <w:tcPr>
            <w:tcBorders>
              <w:bottom w:val="single"/>
            </w:tcBorders>
            <w:vAlign w:val="bottom"/>
          </w:tcPr>
          <w:p>
            <w:pPr>
              <w:pStyle w:val="Compact"/>
              <w:jc w:val="right"/>
            </w:pPr>
            <w:r>
              <w:t xml:space="preserve">Yokohama</w:t>
            </w:r>
          </w:p>
        </w:tc>
      </w:tr>
      <w:tr>
        <w:tc>
          <w:p>
            <w:pPr>
              <w:pStyle w:val="Compact"/>
              <w:jc w:val="left"/>
            </w:pPr>
            <w:r>
              <w:t xml:space="preserve">Records after gating</w:t>
            </w:r>
          </w:p>
        </w:tc>
        <w:tc>
          <w:p>
            <w:pPr>
              <w:pStyle w:val="Compact"/>
              <w:jc w:val="right"/>
            </w:pPr>
            <w:r>
              <w:t xml:space="preserve">227,110</w:t>
            </w:r>
          </w:p>
        </w:tc>
        <w:tc>
          <w:p>
            <w:pPr>
              <w:pStyle w:val="Compact"/>
              <w:jc w:val="right"/>
            </w:pPr>
            <w:r>
              <w:t xml:space="preserve">789,554</w:t>
            </w:r>
          </w:p>
        </w:tc>
        <w:tc>
          <w:p>
            <w:pPr>
              <w:pStyle w:val="Compact"/>
              <w:jc w:val="right"/>
            </w:pPr>
            <w:r>
              <w:t xml:space="preserve">799,628</w:t>
            </w:r>
          </w:p>
        </w:tc>
        <w:tc>
          <w:p>
            <w:pPr>
              <w:pStyle w:val="Compact"/>
              <w:jc w:val="right"/>
            </w:pPr>
            <w:r>
              <w:t xml:space="preserve">34,411</w:t>
            </w:r>
          </w:p>
        </w:tc>
      </w:tr>
      <w:tr>
        <w:tc>
          <w:p>
            <w:pPr>
              <w:pStyle w:val="Compact"/>
              <w:jc w:val="left"/>
            </w:pPr>
            <w:r>
              <w:t xml:space="preserve">Cells holding ≥ 1 record</w:t>
            </w:r>
          </w:p>
        </w:tc>
        <w:tc>
          <w:p>
            <w:pPr>
              <w:pStyle w:val="Compact"/>
              <w:jc w:val="right"/>
            </w:pPr>
            <w:r>
              <w:t xml:space="preserve">13,866</w:t>
            </w:r>
          </w:p>
        </w:tc>
        <w:tc>
          <w:p>
            <w:pPr>
              <w:pStyle w:val="Compact"/>
              <w:jc w:val="right"/>
            </w:pPr>
            <w:r>
              <w:t xml:space="preserve">24,003</w:t>
            </w:r>
          </w:p>
        </w:tc>
        <w:tc>
          <w:p>
            <w:pPr>
              <w:pStyle w:val="Compact"/>
              <w:jc w:val="right"/>
            </w:pPr>
            <w:r>
              <w:t xml:space="preserve">68,321</w:t>
            </w:r>
          </w:p>
        </w:tc>
        <w:tc>
          <w:p>
            <w:pPr>
              <w:pStyle w:val="Compact"/>
              <w:jc w:val="right"/>
            </w:pPr>
            <w:r>
              <w:t xml:space="preserve">3,218</w:t>
            </w:r>
          </w:p>
        </w:tc>
      </w:tr>
      <w:tr>
        <w:tc>
          <w:p>
            <w:pPr>
              <w:pStyle w:val="Compact"/>
              <w:jc w:val="left"/>
            </w:pPr>
            <w:r>
              <w:t xml:space="preserve">Cells admitted</w:t>
            </w:r>
          </w:p>
        </w:tc>
        <w:tc>
          <w:p>
            <w:pPr>
              <w:pStyle w:val="Compact"/>
              <w:jc w:val="right"/>
            </w:pPr>
            <w:r>
              <w:t xml:space="preserve">30,947</w:t>
            </w:r>
          </w:p>
        </w:tc>
        <w:tc>
          <w:p>
            <w:pPr>
              <w:pStyle w:val="Compact"/>
              <w:jc w:val="right"/>
            </w:pPr>
            <w:r>
              <w:t xml:space="preserve">67,147</w:t>
            </w:r>
          </w:p>
        </w:tc>
        <w:tc>
          <w:p>
            <w:pPr>
              <w:pStyle w:val="Compact"/>
              <w:jc w:val="right"/>
            </w:pPr>
            <w:r>
              <w:t xml:space="preserve">64,875</w:t>
            </w:r>
          </w:p>
        </w:tc>
        <w:tc>
          <w:p>
            <w:pPr>
              <w:pStyle w:val="Compact"/>
              <w:jc w:val="right"/>
            </w:pPr>
            <w:r>
              <w:t xml:space="preserve">52,014</w:t>
            </w:r>
          </w:p>
        </w:tc>
      </w:tr>
      <w:tr>
        <w:tc>
          <w:p>
            <w:pPr>
              <w:pStyle w:val="Compact"/>
              <w:jc w:val="left"/>
            </w:pPr>
            <w:r>
              <w:t xml:space="preserve">Admitted cells with zero species (%)</w:t>
            </w:r>
          </w:p>
        </w:tc>
        <w:tc>
          <w:p>
            <w:pPr>
              <w:pStyle w:val="Compact"/>
              <w:jc w:val="right"/>
            </w:pPr>
            <w:r>
              <w:t xml:space="preserve">76.3</w:t>
            </w:r>
          </w:p>
        </w:tc>
        <w:tc>
          <w:p>
            <w:pPr>
              <w:pStyle w:val="Compact"/>
              <w:jc w:val="right"/>
            </w:pPr>
            <w:r>
              <w:t xml:space="preserve">79.7</w:t>
            </w:r>
          </w:p>
        </w:tc>
        <w:tc>
          <w:p>
            <w:pPr>
              <w:pStyle w:val="Compact"/>
              <w:jc w:val="right"/>
            </w:pPr>
            <w:r>
              <w:t xml:space="preserve">64.6</w:t>
            </w:r>
          </w:p>
        </w:tc>
        <w:tc>
          <w:p>
            <w:pPr>
              <w:pStyle w:val="Compact"/>
              <w:jc w:val="right"/>
            </w:pPr>
            <w:r>
              <w:t xml:space="preserve">96.1</w:t>
            </w:r>
          </w:p>
        </w:tc>
      </w:tr>
      <w:tr>
        <w:tc>
          <w:p>
            <w:pPr>
              <w:pStyle w:val="Compact"/>
              <w:jc w:val="left"/>
            </w:pPr>
            <w:r>
              <w:t xml:space="preserve">Mean species richness, admitted</w:t>
            </w:r>
          </w:p>
        </w:tc>
        <w:tc>
          <w:p>
            <w:pPr>
              <w:pStyle w:val="Compact"/>
              <w:jc w:val="right"/>
            </w:pPr>
            <w:r>
              <w:t xml:space="preserve">0.88</w:t>
            </w:r>
          </w:p>
        </w:tc>
        <w:tc>
          <w:p>
            <w:pPr>
              <w:pStyle w:val="Compact"/>
              <w:jc w:val="right"/>
            </w:pPr>
            <w:r>
              <w:t xml:space="preserve">0.76</w:t>
            </w:r>
          </w:p>
        </w:tc>
        <w:tc>
          <w:p>
            <w:pPr>
              <w:pStyle w:val="Compact"/>
              <w:jc w:val="right"/>
            </w:pPr>
            <w:r>
              <w:t xml:space="preserve">1.22</w:t>
            </w:r>
          </w:p>
        </w:tc>
        <w:tc>
          <w:p>
            <w:pPr>
              <w:pStyle w:val="Compact"/>
              <w:jc w:val="right"/>
            </w:pPr>
            <w:r>
              <w:t xml:space="preserve">0.16</w:t>
            </w:r>
          </w:p>
        </w:tc>
      </w:tr>
      <w:tr>
        <w:tc>
          <w:p>
            <w:pPr>
              <w:pStyle w:val="Compact"/>
              <w:jc w:val="left"/>
            </w:pPr>
            <w:r>
              <w:t xml:space="preserve">99th percentile richness</w:t>
            </w:r>
          </w:p>
        </w:tc>
        <w:tc>
          <w:p>
            <w:pPr>
              <w:pStyle w:val="Compact"/>
              <w:jc w:val="right"/>
            </w:pPr>
            <w:r>
              <w:t xml:space="preserve">14</w:t>
            </w:r>
          </w:p>
        </w:tc>
        <w:tc>
          <w:p>
            <w:pPr>
              <w:pStyle w:val="Compact"/>
              <w:jc w:val="right"/>
            </w:pPr>
            <w:r>
              <w:t xml:space="preserve">11</w:t>
            </w:r>
          </w:p>
        </w:tc>
        <w:tc>
          <w:p>
            <w:pPr>
              <w:pStyle w:val="Compact"/>
              <w:jc w:val="right"/>
            </w:pPr>
            <w:r>
              <w:t xml:space="preserve">12</w:t>
            </w:r>
          </w:p>
        </w:tc>
        <w:tc>
          <w:p>
            <w:pPr>
              <w:pStyle w:val="Compact"/>
              <w:jc w:val="right"/>
            </w:pPr>
            <w:r>
              <w:t xml:space="preserve">2</w:t>
            </w:r>
          </w:p>
        </w:tc>
      </w:tr>
      <w:tr>
        <w:tc>
          <w:p>
            <w:pPr>
              <w:pStyle w:val="Compact"/>
              <w:jc w:val="left"/>
            </w:pPr>
            <w:r>
              <w:t xml:space="preserve">Maximum richness in one cell</w:t>
            </w:r>
          </w:p>
        </w:tc>
        <w:tc>
          <w:p>
            <w:pPr>
              <w:pStyle w:val="Compact"/>
              <w:jc w:val="right"/>
            </w:pPr>
            <w:r>
              <w:t xml:space="preserve">359</w:t>
            </w:r>
          </w:p>
        </w:tc>
        <w:tc>
          <w:p>
            <w:pPr>
              <w:pStyle w:val="Compact"/>
              <w:jc w:val="right"/>
            </w:pPr>
            <w:r>
              <w:t xml:space="preserve">3,403</w:t>
            </w:r>
          </w:p>
        </w:tc>
        <w:tc>
          <w:p>
            <w:pPr>
              <w:pStyle w:val="Compact"/>
              <w:jc w:val="right"/>
            </w:pPr>
            <w:r>
              <w:t xml:space="preserve">619</w:t>
            </w:r>
          </w:p>
        </w:tc>
        <w:tc>
          <w:p>
            <w:pPr>
              <w:pStyle w:val="Compact"/>
              <w:jc w:val="right"/>
            </w:pPr>
            <w:r>
              <w:t xml:space="preserve">993</w:t>
            </w:r>
          </w:p>
        </w:tc>
      </w:tr>
      <w:tr>
        <w:tc>
          <w:p>
            <w:pPr>
              <w:pStyle w:val="Compact"/>
              <w:jc w:val="left"/>
            </w:pPr>
            <w:r>
              <w:t xml:space="preserve">Gini coefficient of records over cells</w:t>
            </w:r>
          </w:p>
        </w:tc>
        <w:tc>
          <w:p>
            <w:pPr>
              <w:pStyle w:val="Compact"/>
              <w:jc w:val="right"/>
            </w:pPr>
            <w:r>
              <w:t xml:space="preserve">0.986</w:t>
            </w:r>
          </w:p>
        </w:tc>
        <w:tc>
          <w:p>
            <w:pPr>
              <w:pStyle w:val="Compact"/>
              <w:jc w:val="right"/>
            </w:pPr>
            <w:r>
              <w:t xml:space="preserve">0.994</w:t>
            </w:r>
          </w:p>
        </w:tc>
        <w:tc>
          <w:p>
            <w:pPr>
              <w:pStyle w:val="Compact"/>
              <w:jc w:val="right"/>
            </w:pPr>
            <w:r>
              <w:t xml:space="preserve">0.977</w:t>
            </w:r>
          </w:p>
        </w:tc>
        <w:tc>
          <w:p>
            <w:pPr>
              <w:pStyle w:val="Compact"/>
              <w:jc w:val="right"/>
            </w:pPr>
            <w:r>
              <w:t xml:space="preserve">0.999</w:t>
            </w:r>
          </w:p>
        </w:tc>
      </w:tr>
      <w:tr>
        <w:tc>
          <w:p>
            <w:pPr>
              <w:pStyle w:val="Compact"/>
              <w:jc w:val="left"/>
            </w:pPr>
            <w:r>
              <w:t xml:space="preserve">Records in the 10 largest cells (%)</w:t>
            </w:r>
          </w:p>
        </w:tc>
        <w:tc>
          <w:p>
            <w:pPr>
              <w:pStyle w:val="Compact"/>
              <w:jc w:val="right"/>
            </w:pPr>
            <w:r>
              <w:t xml:space="preserve">45.3</w:t>
            </w:r>
          </w:p>
        </w:tc>
        <w:tc>
          <w:p>
            <w:pPr>
              <w:pStyle w:val="Compact"/>
              <w:jc w:val="right"/>
            </w:pPr>
            <w:r>
              <w:t xml:space="preserve">80.1</w:t>
            </w:r>
          </w:p>
        </w:tc>
        <w:tc>
          <w:p>
            <w:pPr>
              <w:pStyle w:val="Compact"/>
              <w:jc w:val="right"/>
            </w:pPr>
            <w:r>
              <w:t xml:space="preserve">42.1</w:t>
            </w:r>
          </w:p>
        </w:tc>
        <w:tc>
          <w:p>
            <w:pPr>
              <w:pStyle w:val="Compact"/>
              <w:jc w:val="right"/>
            </w:pPr>
            <w:r>
              <w:t xml:space="preserve">45.5</w:t>
            </w:r>
          </w:p>
        </w:tc>
      </w:tr>
    </w:tbl>
    <w:p>
      <w:pPr>
        <w:pStyle w:val="BodyText"/>
      </w:pPr>
      <w:r>
        <w:t xml:space="preserve">The distributional consequence is severe (Fig. 3a). Gini coefficients of 0.977–0.999</w:t>
      </w:r>
      <w:r>
        <w:t xml:space="preserve"> </w:t>
      </w:r>
      <w:r>
        <w:t xml:space="preserve">place these datasets close to the maximum possible concentration; ten cells out of tens</w:t>
      </w:r>
      <w:r>
        <w:t xml:space="preserve"> </w:t>
      </w:r>
      <w:r>
        <w:t xml:space="preserve">of thousands hold 42–80% of a city’s records. A response this concentrated and this</w:t>
      </w:r>
      <w:r>
        <w:t xml:space="preserve"> </w:t>
      </w:r>
      <w:r>
        <w:t xml:space="preserve">sparse is a difficult target for any regression, and §3.4 shows that the difficulty is</w:t>
      </w:r>
      <w:r>
        <w:t xml:space="preserve"> </w:t>
      </w:r>
      <w:r>
        <w:t xml:space="preserve">realised.</w:t>
      </w:r>
    </w:p>
    <w:p>
      <w:pPr>
        <w:pStyle w:val="CaptionedFigure"/>
      </w:pPr>
      <w:r>
        <w:drawing>
          <wp:inline>
            <wp:extent cx="5334000" cy="1836358"/>
            <wp:effectExtent b="0" l="0" r="0" t="0"/>
            <wp:docPr descr="Figure 2. (a) Share of grid cells admitted to the analysis. (b) Share of admitted cells with zero recorded species. (c) Share of all occurrence records falling in cells the admission rule excludes." title="" id="1" name="Picture"/>
            <a:graphic>
              <a:graphicData uri="http://schemas.openxmlformats.org/drawingml/2006/picture">
                <pic:pic>
                  <pic:nvPicPr>
                    <pic:cNvPr descr="figures/fig2_coverage.png" id="0" name="Picture"/>
                    <pic:cNvPicPr>
                      <a:picLocks noChangeArrowheads="1" noChangeAspect="1"/>
                    </pic:cNvPicPr>
                  </pic:nvPicPr>
                  <pic:blipFill>
                    <a:blip r:embed="rId33"/>
                    <a:stretch>
                      <a:fillRect/>
                    </a:stretch>
                  </pic:blipFill>
                  <pic:spPr bwMode="auto">
                    <a:xfrm>
                      <a:off x="0" y="0"/>
                      <a:ext cx="5334000" cy="1836358"/>
                    </a:xfrm>
                    <a:prstGeom prst="rect">
                      <a:avLst/>
                    </a:prstGeom>
                    <a:noFill/>
                    <a:ln w="9525">
                      <a:noFill/>
                      <a:headEnd/>
                      <a:tailEnd/>
                    </a:ln>
                  </pic:spPr>
                </pic:pic>
              </a:graphicData>
            </a:graphic>
          </wp:inline>
        </w:drawing>
      </w:r>
    </w:p>
    <w:p>
      <w:pPr>
        <w:pStyle w:val="ImageCaption"/>
      </w:pPr>
      <w:r>
        <w:t xml:space="preserve">Figure 2. (a) Share of grid cells admitted to the analysis. (b) Share of admitted cells with zero recorded species. (c) Share of all occurrence records falling in cells the admission rule excludes.</w:t>
      </w:r>
    </w:p>
    <w:p>
      <w:pPr>
        <w:pStyle w:val="Heading3"/>
      </w:pPr>
      <w:bookmarkStart w:id="34" w:name="the-effort-correction-discards-most-of-the-data"/>
      <w:r>
        <w:t xml:space="preserve">3.2 The effort correction discards most of the data</w:t>
      </w:r>
      <w:bookmarkEnd w:id="34"/>
    </w:p>
    <w:p>
      <w:pPr>
        <w:pStyle w:val="FirstParagraph"/>
      </w:pPr>
      <w:r>
        <w:t xml:space="preserve">The 50 m path-length admission rule is meant to distinguish cells that were plausibly</w:t>
      </w:r>
      <w:r>
        <w:t xml:space="preserve"> </w:t>
      </w:r>
      <w:r>
        <w:t xml:space="preserve">searched from cells that were not. Measured against the records themselves, it does</w:t>
      </w:r>
      <w:r>
        <w:t xml:space="preserve"> </w:t>
      </w:r>
      <w:r>
        <w:t xml:space="preserve">something more drastic:</w:t>
      </w:r>
      <w:r>
        <w:t xml:space="preserve"> </w:t>
      </w:r>
      <w:r>
        <w:rPr>
          <w:b/>
        </w:rPr>
        <w:t xml:space="preserve">46–77% of all occurrence records fall in cells the rule</w:t>
      </w:r>
      <w:r>
        <w:rPr>
          <w:b/>
        </w:rPr>
        <w:t xml:space="preserve"> </w:t>
      </w:r>
      <w:r>
        <w:rPr>
          <w:b/>
        </w:rPr>
        <w:t xml:space="preserve">excludes</w:t>
      </w:r>
      <w:r>
        <w:t xml:space="preserve"> </w:t>
      </w:r>
      <w:r>
        <w:t xml:space="preserve">(Fig. 2c).</w:t>
      </w:r>
    </w:p>
    <w:tbl>
      <w:tblPr>
        <w:tblStyle w:val="Table"/>
        <w:tblW w:type="pct" w:w="0.0"/>
        <w:tblLook w:firstRow="1"/>
      </w:tblPr>
      <w:tblGrid/>
      <w:tr>
        <w:trPr>
          <w:cnfStyle w:firstRow="1"/>
        </w:trPr>
        <w:tc>
          <w:tcPr>
            <w:tcBorders>
              <w:bottom w:val="single"/>
            </w:tcBorders>
            <w:vAlign w:val="bottom"/>
          </w:tcPr>
          <w:p>
            <w:pPr>
              <w:pStyle w:val="Compact"/>
            </w:pPr>
          </w:p>
        </w:tc>
        <w:tc>
          <w:tcPr>
            <w:tcBorders>
              <w:bottom w:val="single"/>
            </w:tcBorders>
            <w:vAlign w:val="bottom"/>
          </w:tcPr>
          <w:p>
            <w:pPr>
              <w:pStyle w:val="Compact"/>
              <w:jc w:val="right"/>
            </w:pPr>
            <w:r>
              <w:t xml:space="preserve">Porto</w:t>
            </w:r>
          </w:p>
        </w:tc>
        <w:tc>
          <w:tcPr>
            <w:tcBorders>
              <w:bottom w:val="single"/>
            </w:tcBorders>
            <w:vAlign w:val="bottom"/>
          </w:tcPr>
          <w:p>
            <w:pPr>
              <w:pStyle w:val="Compact"/>
              <w:jc w:val="right"/>
            </w:pPr>
            <w:r>
              <w:t xml:space="preserve">Amsterdam</w:t>
            </w:r>
          </w:p>
        </w:tc>
        <w:tc>
          <w:tcPr>
            <w:tcBorders>
              <w:bottom w:val="single"/>
            </w:tcBorders>
            <w:vAlign w:val="bottom"/>
          </w:tcPr>
          <w:p>
            <w:pPr>
              <w:pStyle w:val="Compact"/>
              <w:jc w:val="right"/>
            </w:pPr>
            <w:r>
              <w:t xml:space="preserve">Gent</w:t>
            </w:r>
          </w:p>
        </w:tc>
        <w:tc>
          <w:tcPr>
            <w:tcBorders>
              <w:bottom w:val="single"/>
            </w:tcBorders>
            <w:vAlign w:val="bottom"/>
          </w:tcPr>
          <w:p>
            <w:pPr>
              <w:pStyle w:val="Compact"/>
              <w:jc w:val="right"/>
            </w:pPr>
            <w:r>
              <w:t xml:space="preserve">Yokohama</w:t>
            </w:r>
          </w:p>
        </w:tc>
      </w:tr>
      <w:tr>
        <w:tc>
          <w:p>
            <w:pPr>
              <w:pStyle w:val="Compact"/>
              <w:jc w:val="left"/>
            </w:pPr>
            <w:r>
              <w:t xml:space="preserve">Records in excluded cells (%)</w:t>
            </w:r>
          </w:p>
        </w:tc>
        <w:tc>
          <w:p>
            <w:pPr>
              <w:pStyle w:val="Compact"/>
              <w:jc w:val="right"/>
            </w:pPr>
            <w:r>
              <w:t xml:space="preserve">47.2</w:t>
            </w:r>
          </w:p>
        </w:tc>
        <w:tc>
          <w:p>
            <w:pPr>
              <w:pStyle w:val="Compact"/>
              <w:jc w:val="right"/>
            </w:pPr>
            <w:r>
              <w:t xml:space="preserve">62.9</w:t>
            </w:r>
          </w:p>
        </w:tc>
        <w:tc>
          <w:p>
            <w:pPr>
              <w:pStyle w:val="Compact"/>
              <w:jc w:val="right"/>
            </w:pPr>
            <w:r>
              <w:t xml:space="preserve">77.2</w:t>
            </w:r>
          </w:p>
        </w:tc>
        <w:tc>
          <w:p>
            <w:pPr>
              <w:pStyle w:val="Compact"/>
              <w:jc w:val="right"/>
            </w:pPr>
            <w:r>
              <w:t xml:space="preserve">45.8</w:t>
            </w:r>
          </w:p>
        </w:tc>
      </w:tr>
      <w:tr>
        <w:tc>
          <w:p>
            <w:pPr>
              <w:pStyle w:val="Compact"/>
              <w:jc w:val="left"/>
            </w:pPr>
            <w:r>
              <w:t xml:space="preserve">Excluded cells holding ≥ 1 record</w:t>
            </w:r>
          </w:p>
        </w:tc>
        <w:tc>
          <w:p>
            <w:pPr>
              <w:pStyle w:val="Compact"/>
              <w:jc w:val="right"/>
            </w:pPr>
            <w:r>
              <w:t xml:space="preserve">6,526</w:t>
            </w:r>
          </w:p>
        </w:tc>
        <w:tc>
          <w:p>
            <w:pPr>
              <w:pStyle w:val="Compact"/>
              <w:jc w:val="right"/>
            </w:pPr>
            <w:r>
              <w:t xml:space="preserve">10,362</w:t>
            </w:r>
          </w:p>
        </w:tc>
        <w:tc>
          <w:p>
            <w:pPr>
              <w:pStyle w:val="Compact"/>
              <w:jc w:val="right"/>
            </w:pPr>
            <w:r>
              <w:t xml:space="preserve">45,370</w:t>
            </w:r>
          </w:p>
        </w:tc>
        <w:tc>
          <w:p>
            <w:pPr>
              <w:pStyle w:val="Compact"/>
              <w:jc w:val="right"/>
            </w:pPr>
            <w:r>
              <w:t xml:space="preserve">1,209</w:t>
            </w:r>
          </w:p>
        </w:tc>
      </w:tr>
    </w:tbl>
    <w:p>
      <w:pPr>
        <w:pStyle w:val="BodyText"/>
      </w:pPr>
      <w:r>
        <w:t xml:space="preserve">Gent loses 617,307 of 799,628 records this way. These are not marginal records; §3.3</w:t>
      </w:r>
      <w:r>
        <w:t xml:space="preserve"> </w:t>
      </w:r>
      <w:r>
        <w:t xml:space="preserve">shows that the single largest record concentration in three of the four cities sits in</w:t>
      </w:r>
      <w:r>
        <w:t xml:space="preserve"> </w:t>
      </w:r>
      <w:r>
        <w:t xml:space="preserve">an excluded cell. The rule is not wrong in principle — a cell with no nearby path</w:t>
      </w:r>
      <w:r>
        <w:t xml:space="preserve"> </w:t>
      </w:r>
      <w:r>
        <w:t xml:space="preserve">genuinely has an unknown search history — but it is being applied to a record set whose</w:t>
      </w:r>
      <w:r>
        <w:t xml:space="preserve"> </w:t>
      </w:r>
      <w:r>
        <w:t xml:space="preserve">positions are, in large part, not where the observer stood (§3.3), and the interaction</w:t>
      </w:r>
      <w:r>
        <w:t xml:space="preserve"> </w:t>
      </w:r>
      <w:r>
        <w:t xml:space="preserve">of the two removes most of the evidence before the model sees it.</w:t>
      </w:r>
    </w:p>
    <w:p>
      <w:pPr>
        <w:pStyle w:val="Heading3"/>
      </w:pPr>
      <w:bookmarkStart w:id="35" w:name="records-pile-up-on-the-coordinate-graticule"/>
      <w:r>
        <w:t xml:space="preserve">3.3 Records pile up on the coordinate graticule</w:t>
      </w:r>
      <w:bookmarkEnd w:id="35"/>
    </w:p>
    <w:p>
      <w:pPr>
        <w:pStyle w:val="FirstParagraph"/>
      </w:pPr>
      <w:r>
        <w:t xml:space="preserve">The artefact screen returns a clean signal in Amsterdam. Five cells — 1,730 m² of a</w:t>
      </w:r>
      <w:r>
        <w:t xml:space="preserve"> </w:t>
      </w:r>
      <w:r>
        <w:t xml:space="preserve">66.5 km² study area — hold</w:t>
      </w:r>
      <w:r>
        <w:t xml:space="preserve"> </w:t>
      </w:r>
      <w:r>
        <w:rPr>
          <w:b/>
        </w:rPr>
        <w:t xml:space="preserve">72.1%</w:t>
      </w:r>
      <w:r>
        <w:t xml:space="preserve"> </w:t>
      </w:r>
      <w:r>
        <w:t xml:space="preserve">of the city’s 789,554 records, and four of them sit</w:t>
      </w:r>
      <w:r>
        <w:t xml:space="preserve"> </w:t>
      </w:r>
      <w:r>
        <w:t xml:space="preserve">within 10 m of an intersection of the 0.05° graticule at latitude 52.35 and longitudes</w:t>
      </w:r>
      <w:r>
        <w:t xml:space="preserve"> </w:t>
      </w:r>
      <w:r>
        <w:t xml:space="preserve">4.85, 4.90, 4.95 and 5.00 (Fig. 3b). Yokohama shows the same signature more weakly:</w:t>
      </w:r>
      <w:r>
        <w:t xml:space="preserve"> </w:t>
      </w:r>
      <w:r>
        <w:t xml:space="preserve">10.1% of records lie within 15 m of a 0.1° node, one of which is exactly (139.600,</w:t>
      </w:r>
      <w:r>
        <w:t xml:space="preserve"> </w:t>
      </w:r>
      <w:r>
        <w:t xml:space="preserve">35.400). Porto and Gent show no coarse-graticule concentration but do show fine-scale</w:t>
      </w:r>
      <w:r>
        <w:t xml:space="preserve"> </w:t>
      </w:r>
      <w:r>
        <w:t xml:space="preserve">rounding: 5.7% and 30.6% of their records respectively fall within 15 m of a 0.001°</w:t>
      </w:r>
      <w:r>
        <w:t xml:space="preserve"> </w:t>
      </w:r>
      <w:r>
        <w:t xml:space="preserve">node.</w:t>
      </w:r>
    </w:p>
    <w:p>
      <w:pPr>
        <w:pStyle w:val="BodyText"/>
      </w:pPr>
      <w:r>
        <w:rPr>
          <w:b/>
        </w:rPr>
        <w:t xml:space="preserve">Table 4. The largest record concentrations and what the pipeline did with them.</w:t>
      </w:r>
    </w:p>
    <w:tbl>
      <w:tblPr>
        <w:tblStyle w:val="Table"/>
        <w:tblW w:type="pct" w:w="5000.0"/>
        <w:tblLook w:firstRow="1"/>
      </w:tblPr>
      <w:tblGrid>
        <w:gridCol w:w="880"/>
        <w:gridCol w:w="880"/>
        <w:gridCol w:w="880"/>
        <w:gridCol w:w="1173"/>
        <w:gridCol w:w="1173"/>
        <w:gridCol w:w="1173"/>
        <w:gridCol w:w="880"/>
        <w:gridCol w:w="880"/>
      </w:tblGrid>
      <w:tr>
        <w:trPr>
          <w:cnfStyle w:firstRow="1"/>
        </w:trPr>
        <w:tc>
          <w:tcPr>
            <w:tcBorders>
              <w:bottom w:val="single"/>
            </w:tcBorders>
            <w:vAlign w:val="bottom"/>
          </w:tcPr>
          <w:p>
            <w:pPr>
              <w:pStyle w:val="Compact"/>
              <w:jc w:val="left"/>
            </w:pPr>
            <w:r>
              <w:t xml:space="preserve">City</w:t>
            </w:r>
          </w:p>
        </w:tc>
        <w:tc>
          <w:tcPr>
            <w:tcBorders>
              <w:bottom w:val="single"/>
            </w:tcBorders>
            <w:vAlign w:val="bottom"/>
          </w:tcPr>
          <w:p>
            <w:pPr>
              <w:pStyle w:val="Compact"/>
              <w:jc w:val="left"/>
            </w:pPr>
            <w:r>
              <w:t xml:space="preserve">Cell</w:t>
            </w:r>
          </w:p>
        </w:tc>
        <w:tc>
          <w:tcPr>
            <w:tcBorders>
              <w:bottom w:val="single"/>
            </w:tcBorders>
            <w:vAlign w:val="bottom"/>
          </w:tcPr>
          <w:p>
            <w:pPr>
              <w:pStyle w:val="Compact"/>
              <w:jc w:val="left"/>
            </w:pPr>
            <w:r>
              <w:t xml:space="preserve">lon, lat</w:t>
            </w:r>
          </w:p>
        </w:tc>
        <w:tc>
          <w:tcPr>
            <w:tcBorders>
              <w:bottom w:val="single"/>
            </w:tcBorders>
            <w:vAlign w:val="bottom"/>
          </w:tcPr>
          <w:p>
            <w:pPr>
              <w:pStyle w:val="Compact"/>
              <w:jc w:val="right"/>
            </w:pPr>
            <w:r>
              <w:t xml:space="preserve">Records</w:t>
            </w:r>
          </w:p>
        </w:tc>
        <w:tc>
          <w:tcPr>
            <w:tcBorders>
              <w:bottom w:val="single"/>
            </w:tcBorders>
            <w:vAlign w:val="bottom"/>
          </w:tcPr>
          <w:p>
            <w:pPr>
              <w:pStyle w:val="Compact"/>
              <w:jc w:val="right"/>
            </w:pPr>
            <w:r>
              <w:t xml:space="preserve">Distinct species</w:t>
            </w:r>
          </w:p>
        </w:tc>
        <w:tc>
          <w:tcPr>
            <w:tcBorders>
              <w:bottom w:val="single"/>
            </w:tcBorders>
            <w:vAlign w:val="bottom"/>
          </w:tcPr>
          <w:p>
            <w:pPr>
              <w:pStyle w:val="Compact"/>
              <w:jc w:val="right"/>
            </w:pPr>
            <w:r>
              <w:t xml:space="preserve">Path (m)</w:t>
            </w:r>
          </w:p>
        </w:tc>
        <w:tc>
          <w:tcPr>
            <w:tcBorders>
              <w:bottom w:val="single"/>
            </w:tcBorders>
            <w:vAlign w:val="bottom"/>
          </w:tcPr>
          <w:p>
            <w:pPr>
              <w:pStyle w:val="Compact"/>
              <w:jc w:val="left"/>
            </w:pPr>
            <w:r>
              <w:t xml:space="preserve">Admitted?</w:t>
            </w:r>
          </w:p>
        </w:tc>
        <w:tc>
          <w:tcPr>
            <w:tcBorders>
              <w:bottom w:val="single"/>
            </w:tcBorders>
            <w:vAlign w:val="bottom"/>
          </w:tcPr>
          <w:p>
            <w:pPr>
              <w:pStyle w:val="Compact"/>
              <w:jc w:val="left"/>
            </w:pPr>
            <w:r>
              <w:t xml:space="preserve">Published value</w:t>
            </w:r>
          </w:p>
        </w:tc>
      </w:tr>
      <w:tr>
        <w:tc>
          <w:p>
            <w:pPr>
              <w:pStyle w:val="Compact"/>
              <w:jc w:val="left"/>
            </w:pPr>
            <w:r>
              <w:t xml:space="preserve">Gent</w:t>
            </w:r>
          </w:p>
        </w:tc>
        <w:tc>
          <w:p>
            <w:pPr>
              <w:pStyle w:val="Compact"/>
              <w:jc w:val="left"/>
            </w:pPr>
            <w:r>
              <w:t xml:space="preserve">gent-226024</w:t>
            </w:r>
          </w:p>
        </w:tc>
        <w:tc>
          <w:p>
            <w:pPr>
              <w:pStyle w:val="Compact"/>
              <w:jc w:val="left"/>
            </w:pPr>
            <w:r>
              <w:t xml:space="preserve">3.67803, 51.06701</w:t>
            </w:r>
          </w:p>
        </w:tc>
        <w:tc>
          <w:p>
            <w:pPr>
              <w:pStyle w:val="Compact"/>
              <w:jc w:val="right"/>
            </w:pPr>
            <w:r>
              <w:t xml:space="preserve">183,567</w:t>
            </w:r>
          </w:p>
        </w:tc>
        <w:tc>
          <w:p>
            <w:pPr>
              <w:pStyle w:val="Compact"/>
              <w:jc w:val="right"/>
            </w:pPr>
            <w:r>
              <w:t xml:space="preserve">0</w:t>
            </w:r>
          </w:p>
        </w:tc>
        <w:tc>
          <w:p>
            <w:pPr>
              <w:pStyle w:val="Compact"/>
              <w:jc w:val="right"/>
            </w:pPr>
            <w:r>
              <w:t xml:space="preserve">0.0</w:t>
            </w:r>
          </w:p>
        </w:tc>
        <w:tc>
          <w:p>
            <w:pPr>
              <w:pStyle w:val="Compact"/>
              <w:jc w:val="left"/>
            </w:pPr>
            <w:r>
              <w:t xml:space="preserve">no</w:t>
            </w:r>
          </w:p>
        </w:tc>
        <w:tc>
          <w:p>
            <w:pPr>
              <w:pStyle w:val="Compact"/>
              <w:jc w:val="left"/>
            </w:pPr>
            <w:r>
              <w:t xml:space="preserve">excluded</w:t>
            </w:r>
          </w:p>
        </w:tc>
      </w:tr>
      <w:tr>
        <w:tc>
          <w:p>
            <w:pPr>
              <w:pStyle w:val="Compact"/>
              <w:jc w:val="left"/>
            </w:pPr>
            <w:r>
              <w:t xml:space="preserve">Amsterdam</w:t>
            </w:r>
          </w:p>
        </w:tc>
        <w:tc>
          <w:p>
            <w:pPr>
              <w:pStyle w:val="Compact"/>
              <w:jc w:val="left"/>
            </w:pPr>
            <w:r>
              <w:t xml:space="preserve">amsterdam-61262</w:t>
            </w:r>
          </w:p>
        </w:tc>
        <w:tc>
          <w:p>
            <w:pPr>
              <w:pStyle w:val="Compact"/>
              <w:jc w:val="left"/>
            </w:pPr>
            <w:r>
              <w:t xml:space="preserve">4.90008, 52.35003</w:t>
            </w:r>
          </w:p>
        </w:tc>
        <w:tc>
          <w:p>
            <w:pPr>
              <w:pStyle w:val="Compact"/>
              <w:jc w:val="right"/>
            </w:pPr>
            <w:r>
              <w:t xml:space="preserve">166,475</w:t>
            </w:r>
          </w:p>
        </w:tc>
        <w:tc>
          <w:p>
            <w:pPr>
              <w:pStyle w:val="Compact"/>
              <w:jc w:val="right"/>
            </w:pPr>
            <w:r>
              <w:t xml:space="preserve">0</w:t>
            </w:r>
          </w:p>
        </w:tc>
        <w:tc>
          <w:p>
            <w:pPr>
              <w:pStyle w:val="Compact"/>
              <w:jc w:val="right"/>
            </w:pPr>
            <w:r>
              <w:t xml:space="preserve">15.3</w:t>
            </w:r>
          </w:p>
        </w:tc>
        <w:tc>
          <w:p>
            <w:pPr>
              <w:pStyle w:val="Compact"/>
              <w:jc w:val="left"/>
            </w:pPr>
            <w:r>
              <w:t xml:space="preserve">no</w:t>
            </w:r>
          </w:p>
        </w:tc>
        <w:tc>
          <w:p>
            <w:pPr>
              <w:pStyle w:val="Compact"/>
              <w:jc w:val="left"/>
            </w:pPr>
            <w:r>
              <w:t xml:space="preserve">excluded</w:t>
            </w:r>
          </w:p>
        </w:tc>
      </w:tr>
      <w:tr>
        <w:tc>
          <w:p>
            <w:pPr>
              <w:pStyle w:val="Compact"/>
              <w:jc w:val="left"/>
            </w:pPr>
            <w:r>
              <w:t xml:space="preserve">Amsterdam</w:t>
            </w:r>
          </w:p>
        </w:tc>
        <w:tc>
          <w:p>
            <w:pPr>
              <w:pStyle w:val="Compact"/>
              <w:jc w:val="left"/>
            </w:pPr>
            <w:r>
              <w:t xml:space="preserve">amsterdam-59934</w:t>
            </w:r>
          </w:p>
        </w:tc>
        <w:tc>
          <w:p>
            <w:pPr>
              <w:pStyle w:val="Compact"/>
              <w:jc w:val="left"/>
            </w:pPr>
            <w:r>
              <w:t xml:space="preserve">5.00003, 52.34994</w:t>
            </w:r>
          </w:p>
        </w:tc>
        <w:tc>
          <w:p>
            <w:pPr>
              <w:pStyle w:val="Compact"/>
              <w:jc w:val="right"/>
            </w:pPr>
            <w:r>
              <w:t xml:space="preserve">149,677</w:t>
            </w:r>
          </w:p>
        </w:tc>
        <w:tc>
          <w:p>
            <w:pPr>
              <w:pStyle w:val="Compact"/>
              <w:jc w:val="right"/>
            </w:pPr>
            <w:r>
              <w:t xml:space="preserve">0</w:t>
            </w:r>
          </w:p>
        </w:tc>
        <w:tc>
          <w:p>
            <w:pPr>
              <w:pStyle w:val="Compact"/>
              <w:jc w:val="right"/>
            </w:pPr>
            <w:r>
              <w:t xml:space="preserve">25.1</w:t>
            </w:r>
          </w:p>
        </w:tc>
        <w:tc>
          <w:p>
            <w:pPr>
              <w:pStyle w:val="Compact"/>
              <w:jc w:val="left"/>
            </w:pPr>
            <w:r>
              <w:t xml:space="preserve">no</w:t>
            </w:r>
          </w:p>
        </w:tc>
        <w:tc>
          <w:p>
            <w:pPr>
              <w:pStyle w:val="Compact"/>
              <w:jc w:val="left"/>
            </w:pPr>
            <w:r>
              <w:t xml:space="preserve">excluded</w:t>
            </w:r>
          </w:p>
        </w:tc>
      </w:tr>
      <w:tr>
        <w:tc>
          <w:p>
            <w:pPr>
              <w:pStyle w:val="Compact"/>
              <w:jc w:val="left"/>
            </w:pPr>
            <w:r>
              <w:t xml:space="preserve">Amsterdam</w:t>
            </w:r>
          </w:p>
        </w:tc>
        <w:tc>
          <w:p>
            <w:pPr>
              <w:pStyle w:val="Compact"/>
              <w:jc w:val="left"/>
            </w:pPr>
            <w:r>
              <w:t xml:space="preserve">amsterdam-60365</w:t>
            </w:r>
          </w:p>
        </w:tc>
        <w:tc>
          <w:p>
            <w:pPr>
              <w:pStyle w:val="Compact"/>
              <w:jc w:val="left"/>
            </w:pPr>
            <w:r>
              <w:t xml:space="preserve">4.94998, 52.34992</w:t>
            </w:r>
          </w:p>
        </w:tc>
        <w:tc>
          <w:p>
            <w:pPr>
              <w:pStyle w:val="Compact"/>
              <w:jc w:val="right"/>
            </w:pPr>
            <w:r>
              <w:t xml:space="preserve">133,933</w:t>
            </w:r>
          </w:p>
        </w:tc>
        <w:tc>
          <w:p>
            <w:pPr>
              <w:pStyle w:val="Compact"/>
              <w:jc w:val="right"/>
            </w:pPr>
            <w:r>
              <w:t xml:space="preserve">3,403</w:t>
            </w:r>
          </w:p>
        </w:tc>
        <w:tc>
          <w:p>
            <w:pPr>
              <w:pStyle w:val="Compact"/>
              <w:jc w:val="right"/>
            </w:pPr>
            <w:r>
              <w:t xml:space="preserve">141.5</w:t>
            </w:r>
          </w:p>
        </w:tc>
        <w:tc>
          <w:p>
            <w:pPr>
              <w:pStyle w:val="Compact"/>
              <w:jc w:val="left"/>
            </w:pPr>
            <w:r>
              <w:rPr>
                <w:b/>
              </w:rPr>
              <w:t xml:space="preserve">yes</w:t>
            </w:r>
          </w:p>
        </w:tc>
        <w:tc>
          <w:p>
            <w:pPr>
              <w:pStyle w:val="Compact"/>
              <w:jc w:val="left"/>
            </w:pPr>
            <w:r>
              <w:t xml:space="preserve">richness 686.2, residual −686.0, score −66.1</w:t>
            </w:r>
          </w:p>
        </w:tc>
      </w:tr>
      <w:tr>
        <w:tc>
          <w:p>
            <w:pPr>
              <w:pStyle w:val="Compact"/>
              <w:jc w:val="left"/>
            </w:pPr>
            <w:r>
              <w:t xml:space="preserve">Amsterdam</w:t>
            </w:r>
          </w:p>
        </w:tc>
        <w:tc>
          <w:p>
            <w:pPr>
              <w:pStyle w:val="Compact"/>
              <w:jc w:val="left"/>
            </w:pPr>
            <w:r>
              <w:t xml:space="preserve">amsterdam-61674</w:t>
            </w:r>
          </w:p>
        </w:tc>
        <w:tc>
          <w:p>
            <w:pPr>
              <w:pStyle w:val="Compact"/>
              <w:jc w:val="left"/>
            </w:pPr>
            <w:r>
              <w:t xml:space="preserve">4.85003, 52.34997</w:t>
            </w:r>
          </w:p>
        </w:tc>
        <w:tc>
          <w:p>
            <w:pPr>
              <w:pStyle w:val="Compact"/>
              <w:jc w:val="right"/>
            </w:pPr>
            <w:r>
              <w:t xml:space="preserve">119,147</w:t>
            </w:r>
          </w:p>
        </w:tc>
        <w:tc>
          <w:p>
            <w:pPr>
              <w:pStyle w:val="Compact"/>
              <w:jc w:val="right"/>
            </w:pPr>
            <w:r>
              <w:t xml:space="preserve">0</w:t>
            </w:r>
          </w:p>
        </w:tc>
        <w:tc>
          <w:p>
            <w:pPr>
              <w:pStyle w:val="Compact"/>
              <w:jc w:val="right"/>
            </w:pPr>
            <w:r>
              <w:t xml:space="preserve">0.0</w:t>
            </w:r>
          </w:p>
        </w:tc>
        <w:tc>
          <w:p>
            <w:pPr>
              <w:pStyle w:val="Compact"/>
              <w:jc w:val="left"/>
            </w:pPr>
            <w:r>
              <w:t xml:space="preserve">no</w:t>
            </w:r>
          </w:p>
        </w:tc>
        <w:tc>
          <w:p>
            <w:pPr>
              <w:pStyle w:val="Compact"/>
              <w:jc w:val="left"/>
            </w:pPr>
            <w:r>
              <w:t xml:space="preserve">excluded</w:t>
            </w:r>
          </w:p>
        </w:tc>
      </w:tr>
      <w:tr>
        <w:tc>
          <w:p>
            <w:pPr>
              <w:pStyle w:val="Compact"/>
              <w:jc w:val="left"/>
            </w:pPr>
            <w:r>
              <w:t xml:space="preserve">Porto</w:t>
            </w:r>
          </w:p>
        </w:tc>
        <w:tc>
          <w:p>
            <w:pPr>
              <w:pStyle w:val="Compact"/>
              <w:jc w:val="left"/>
            </w:pPr>
            <w:r>
              <w:t xml:space="preserve">porto-84470</w:t>
            </w:r>
          </w:p>
        </w:tc>
        <w:tc>
          <w:p>
            <w:pPr>
              <w:pStyle w:val="Compact"/>
              <w:jc w:val="left"/>
            </w:pPr>
            <w:r>
              <w:t xml:space="preserve">−8.67987, 41.16890</w:t>
            </w:r>
          </w:p>
        </w:tc>
        <w:tc>
          <w:p>
            <w:pPr>
              <w:pStyle w:val="Compact"/>
              <w:jc w:val="right"/>
            </w:pPr>
            <w:r>
              <w:t xml:space="preserve">34,107</w:t>
            </w:r>
          </w:p>
        </w:tc>
        <w:tc>
          <w:p>
            <w:pPr>
              <w:pStyle w:val="Compact"/>
              <w:jc w:val="right"/>
            </w:pPr>
            <w:r>
              <w:t xml:space="preserve">159</w:t>
            </w:r>
          </w:p>
        </w:tc>
        <w:tc>
          <w:p>
            <w:pPr>
              <w:pStyle w:val="Compact"/>
              <w:jc w:val="right"/>
            </w:pPr>
            <w:r>
              <w:t xml:space="preserve">205.2</w:t>
            </w:r>
          </w:p>
        </w:tc>
        <w:tc>
          <w:p>
            <w:pPr>
              <w:pStyle w:val="Compact"/>
              <w:jc w:val="left"/>
            </w:pPr>
            <w:r>
              <w:rPr>
                <w:b/>
              </w:rPr>
              <w:t xml:space="preserve">yes</w:t>
            </w:r>
          </w:p>
        </w:tc>
        <w:tc>
          <w:p>
            <w:pPr>
              <w:pStyle w:val="Compact"/>
              <w:jc w:val="left"/>
            </w:pPr>
            <w:r>
              <w:t xml:space="preserve">richness 29.8, residual −29.2, score −100 (floor)</w:t>
            </w:r>
          </w:p>
        </w:tc>
      </w:tr>
      <w:tr>
        <w:tc>
          <w:p>
            <w:pPr>
              <w:pStyle w:val="Compact"/>
              <w:jc w:val="left"/>
            </w:pPr>
            <w:r>
              <w:t xml:space="preserve">Yokohama</w:t>
            </w:r>
          </w:p>
        </w:tc>
        <w:tc>
          <w:p>
            <w:pPr>
              <w:pStyle w:val="Compact"/>
              <w:jc w:val="left"/>
            </w:pPr>
            <w:r>
              <w:t xml:space="preserve">yokohama-124476</w:t>
            </w:r>
          </w:p>
        </w:tc>
        <w:tc>
          <w:p>
            <w:pPr>
              <w:pStyle w:val="Compact"/>
              <w:jc w:val="left"/>
            </w:pPr>
            <w:r>
              <w:t xml:space="preserve">139.60006, 35.40000</w:t>
            </w:r>
          </w:p>
        </w:tc>
        <w:tc>
          <w:p>
            <w:pPr>
              <w:pStyle w:val="Compact"/>
              <w:jc w:val="right"/>
            </w:pPr>
            <w:r>
              <w:t xml:space="preserve">3,449</w:t>
            </w:r>
          </w:p>
        </w:tc>
        <w:tc>
          <w:p>
            <w:pPr>
              <w:pStyle w:val="Compact"/>
              <w:jc w:val="right"/>
            </w:pPr>
            <w:r>
              <w:t xml:space="preserve">0</w:t>
            </w:r>
          </w:p>
        </w:tc>
        <w:tc>
          <w:p>
            <w:pPr>
              <w:pStyle w:val="Compact"/>
              <w:jc w:val="right"/>
            </w:pPr>
            <w:r>
              <w:t xml:space="preserve">2.1</w:t>
            </w:r>
          </w:p>
        </w:tc>
        <w:tc>
          <w:p>
            <w:pPr>
              <w:pStyle w:val="Compact"/>
              <w:jc w:val="left"/>
            </w:pPr>
            <w:r>
              <w:t xml:space="preserve">no</w:t>
            </w:r>
          </w:p>
        </w:tc>
        <w:tc>
          <w:p>
            <w:pPr>
              <w:pStyle w:val="Compact"/>
              <w:jc w:val="left"/>
            </w:pPr>
            <w:r>
              <w:t xml:space="preserve">excluded</w:t>
            </w:r>
          </w:p>
        </w:tc>
      </w:tr>
    </w:tbl>
    <w:p>
      <w:pPr>
        <w:pStyle w:val="BodyText"/>
      </w:pPr>
      <w:r>
        <w:t xml:space="preserve">The exact graticule positions are strong evidence that these are records whose</w:t>
      </w:r>
      <w:r>
        <w:t xml:space="preserve"> </w:t>
      </w:r>
      <w:r>
        <w:t xml:space="preserve">coordinates were rounded or gridded upstream, not 350 m² patches of extraordinary</w:t>
      </w:r>
      <w:r>
        <w:t xml:space="preserve"> </w:t>
      </w:r>
      <w:r>
        <w:t xml:space="preserve">biodiversity. We state that as an inference: the export does not carry per-record</w:t>
      </w:r>
      <w:r>
        <w:t xml:space="preserve"> </w:t>
      </w:r>
      <w:r>
        <w:t xml:space="preserve">provenance, so the specific upstream mechanism — coordinate truncation, atlas-grid</w:t>
      </w:r>
      <w:r>
        <w:t xml:space="preserve"> </w:t>
      </w:r>
      <w:r>
        <w:t xml:space="preserve">aggregation, or a provider-level centroid convention — is not identified here, and a</w:t>
      </w:r>
      <w:r>
        <w:t xml:space="preserve"> </w:t>
      </w:r>
      <w:r>
        <w:t xml:space="preserve">provider-level breakdown is the obvious next step.</w:t>
      </w:r>
    </w:p>
    <w:p>
      <w:pPr>
        <w:pStyle w:val="BodyText"/>
      </w:pPr>
      <w:r>
        <w:t xml:space="preserve">Two properties of the pipeline let these records through. First, the positional-accuracy</w:t>
      </w:r>
      <w:r>
        <w:t xml:space="preserve"> </w:t>
      </w:r>
      <w:r>
        <w:t xml:space="preserve">gate drops records whose</w:t>
      </w:r>
      <w:r>
        <w:t xml:space="preserve"> </w:t>
      </w:r>
      <w:r>
        <w:rPr>
          <w:i/>
        </w:rPr>
        <w:t xml:space="preserve">stated</w:t>
      </w:r>
      <w:r>
        <w:t xml:space="preserve"> </w:t>
      </w:r>
      <w:r>
        <w:t xml:space="preserve">accuracy is worse than 30 m but only halves the weight</w:t>
      </w:r>
      <w:r>
        <w:t xml:space="preserve"> </w:t>
      </w:r>
      <w:r>
        <w:t xml:space="preserve">of records that state no accuracy — and 44.0–95.6% of surviving GBIF records state none.</w:t>
      </w:r>
      <w:r>
        <w:t xml:space="preserve"> </w:t>
      </w:r>
      <w:r>
        <w:t xml:space="preserve">A record rounded to 0.05° carries no accuracy field to fail on. Second, the gate acts on</w:t>
      </w:r>
      <w:r>
        <w:t xml:space="preserve"> </w:t>
      </w:r>
      <w:r>
        <w:t xml:space="preserve">metadata, not geometry: a screen on spatial concentration, which is what identifies</w:t>
      </w:r>
      <w:r>
        <w:t xml:space="preserve"> </w:t>
      </w:r>
      <w:r>
        <w:t xml:space="preserve">these cells, is not part of the pipeline.</w:t>
      </w:r>
    </w:p>
    <w:p>
      <w:pPr>
        <w:pStyle w:val="BodyText"/>
      </w:pPr>
      <w:r>
        <w:t xml:space="preserve">The consequences differ by whether the artefact cell happens to sit near a footpath.</w:t>
      </w:r>
      <w:r>
        <w:t xml:space="preserve"> </w:t>
      </w:r>
      <w:r>
        <w:t xml:space="preserve">Where it does not, the record concentration is silently deleted (four of the seven rows</w:t>
      </w:r>
      <w:r>
        <w:t xml:space="preserve"> </w:t>
      </w:r>
      <w:r>
        <w:t xml:space="preserve">in Table 4). Where it does, it survives into the published product with an extreme</w:t>
      </w:r>
      <w:r>
        <w:t xml:space="preserve"> </w:t>
      </w:r>
      <w:r>
        <w:t xml:space="preserve">value: cell</w:t>
      </w:r>
      <w:r>
        <w:t xml:space="preserve"> </w:t>
      </w:r>
      <w:r>
        <w:rPr>
          <w:rStyle w:val="VerbatimChar"/>
        </w:rPr>
        <w:t xml:space="preserve">amsterdam-60365</w:t>
      </w:r>
      <w:r>
        <w:t xml:space="preserve"> </w:t>
      </w:r>
      <w:r>
        <w:t xml:space="preserve">carries an effort-corrected richness of 686.2 species per</w:t>
      </w:r>
      <w:r>
        <w:t xml:space="preserve"> </w:t>
      </w:r>
      <w:r>
        <w:t xml:space="preserve">effort unit against a city median of 0, and</w:t>
      </w:r>
      <w:r>
        <w:t xml:space="preserve"> </w:t>
      </w:r>
      <w:r>
        <w:rPr>
          <w:rStyle w:val="VerbatimChar"/>
        </w:rPr>
        <w:t xml:space="preserve">porto-84470</w:t>
      </w:r>
      <w:r>
        <w:t xml:space="preserve"> </w:t>
      </w:r>
      <w:r>
        <w:t xml:space="preserve">reaches the Nature Gap score</w:t>
      </w:r>
      <w:r>
        <w:t xml:space="preserve"> </w:t>
      </w:r>
      <w:r>
        <w:t xml:space="preserve">floor of −100. Both are strong influence points in a city-wide fit and in the</w:t>
      </w:r>
      <w:r>
        <w:t xml:space="preserve"> </w:t>
      </w:r>
      <w:r>
        <w:t xml:space="preserve">percentile scaling that sets every other cell’s published score.</w:t>
      </w:r>
    </w:p>
    <w:p>
      <w:pPr>
        <w:pStyle w:val="CaptionedFigure"/>
      </w:pPr>
      <w:r>
        <w:drawing>
          <wp:inline>
            <wp:extent cx="5334000" cy="1965157"/>
            <wp:effectExtent b="0" l="0" r="0" t="0"/>
            <wp:docPr descr="Figure 3. (a) Cumulative share of records against cells ranked by record count, with Gini coefficients. (b) The four largest Amsterdam cells, plotted against the 0.05° graticule." title="" id="1" name="Picture"/>
            <a:graphic>
              <a:graphicData uri="http://schemas.openxmlformats.org/drawingml/2006/picture">
                <pic:pic>
                  <pic:nvPicPr>
                    <pic:cNvPr descr="figures/fig3_concentration.png" id="0" name="Picture"/>
                    <pic:cNvPicPr>
                      <a:picLocks noChangeArrowheads="1" noChangeAspect="1"/>
                    </pic:cNvPicPr>
                  </pic:nvPicPr>
                  <pic:blipFill>
                    <a:blip r:embed="rId36"/>
                    <a:stretch>
                      <a:fillRect/>
                    </a:stretch>
                  </pic:blipFill>
                  <pic:spPr bwMode="auto">
                    <a:xfrm>
                      <a:off x="0" y="0"/>
                      <a:ext cx="5334000" cy="1965157"/>
                    </a:xfrm>
                    <a:prstGeom prst="rect">
                      <a:avLst/>
                    </a:prstGeom>
                    <a:noFill/>
                    <a:ln w="9525">
                      <a:noFill/>
                      <a:headEnd/>
                      <a:tailEnd/>
                    </a:ln>
                  </pic:spPr>
                </pic:pic>
              </a:graphicData>
            </a:graphic>
          </wp:inline>
        </w:drawing>
      </w:r>
    </w:p>
    <w:p>
      <w:pPr>
        <w:pStyle w:val="ImageCaption"/>
      </w:pPr>
      <w:r>
        <w:t xml:space="preserve">Figure 3. (a) Cumulative share of records against cells ranked by record count, with Gini coefficients. (b) The four largest Amsterdam cells, plotted against the 0.05° graticule.</w:t>
      </w:r>
    </w:p>
    <w:p>
      <w:pPr>
        <w:pStyle w:val="Heading3"/>
      </w:pPr>
      <w:bookmarkStart w:id="37" w:name="model-fit-in-and-out-of-sample"/>
      <w:r>
        <w:t xml:space="preserve">3.4 Model fit, in and out of sample</w:t>
      </w:r>
      <w:bookmarkEnd w:id="37"/>
    </w:p>
    <w:p>
      <w:pPr>
        <w:pStyle w:val="FirstParagraph"/>
      </w:pPr>
      <w:r>
        <w:t xml:space="preserve">The refit reproduces the published model exactly (Table 5, columns 3–4), so the</w:t>
      </w:r>
      <w:r>
        <w:t xml:space="preserve"> </w:t>
      </w:r>
      <w:r>
        <w:t xml:space="preserve">cross-validation is a statement about the deployed model.</w:t>
      </w:r>
    </w:p>
    <w:p>
      <w:pPr>
        <w:pStyle w:val="BodyText"/>
      </w:pPr>
      <w:r>
        <w:rPr>
          <w:b/>
        </w:rPr>
        <w:t xml:space="preserve">Table 5. Expected-richness model: published fit, refit, and spatially blocked</w:t>
      </w:r>
      <w:r>
        <w:rPr>
          <w:b/>
        </w:rPr>
        <w:t xml:space="preserve"> </w:t>
      </w:r>
      <w:r>
        <w:rPr>
          <w:b/>
        </w:rPr>
        <w:t xml:space="preserve">5-fold cross-validation.</w:t>
      </w:r>
      <w:r>
        <w:t xml:space="preserve"> </w:t>
      </w:r>
      <w:r>
        <w:t xml:space="preserve">Coefficients are habitat / connectivity / accessibility.</w:t>
      </w:r>
    </w:p>
    <w:tbl>
      <w:tblPr>
        <w:tblStyle w:val="Table"/>
        <w:tblW w:type="pct" w:w="5000.0"/>
        <w:tblLook w:firstRow="1"/>
      </w:tblPr>
      <w:tblGrid>
        <w:gridCol w:w="819"/>
        <w:gridCol w:w="1092"/>
        <w:gridCol w:w="1092"/>
        <w:gridCol w:w="1092"/>
        <w:gridCol w:w="1092"/>
        <w:gridCol w:w="819"/>
        <w:gridCol w:w="1092"/>
        <w:gridCol w:w="819"/>
      </w:tblGrid>
      <w:tr>
        <w:trPr>
          <w:cnfStyle w:firstRow="1"/>
        </w:trPr>
        <w:tc>
          <w:tcPr>
            <w:tcBorders>
              <w:bottom w:val="single"/>
            </w:tcBorders>
            <w:vAlign w:val="bottom"/>
          </w:tcPr>
          <w:p>
            <w:pPr>
              <w:pStyle w:val="Compact"/>
              <w:jc w:val="left"/>
            </w:pPr>
            <w:r>
              <w:t xml:space="preserve">City</w:t>
            </w:r>
          </w:p>
        </w:tc>
        <w:tc>
          <w:tcPr>
            <w:tcBorders>
              <w:bottom w:val="single"/>
            </w:tcBorders>
            <w:vAlign w:val="bottom"/>
          </w:tcPr>
          <w:p>
            <w:pPr>
              <w:pStyle w:val="Compact"/>
              <w:jc w:val="right"/>
            </w:pPr>
            <w:r>
              <w:t xml:space="preserve">n</w:t>
            </w:r>
          </w:p>
        </w:tc>
        <w:tc>
          <w:tcPr>
            <w:tcBorders>
              <w:bottom w:val="single"/>
            </w:tcBorders>
            <w:vAlign w:val="bottom"/>
          </w:tcPr>
          <w:p>
            <w:pPr>
              <w:pStyle w:val="Compact"/>
              <w:jc w:val="right"/>
            </w:pPr>
            <w:r>
              <w:t xml:space="preserve">D² published</w:t>
            </w:r>
          </w:p>
        </w:tc>
        <w:tc>
          <w:tcPr>
            <w:tcBorders>
              <w:bottom w:val="single"/>
            </w:tcBorders>
            <w:vAlign w:val="bottom"/>
          </w:tcPr>
          <w:p>
            <w:pPr>
              <w:pStyle w:val="Compact"/>
              <w:jc w:val="right"/>
            </w:pPr>
            <w:r>
              <w:t xml:space="preserve">D² refit</w:t>
            </w:r>
          </w:p>
        </w:tc>
        <w:tc>
          <w:tcPr>
            <w:tcBorders>
              <w:bottom w:val="single"/>
            </w:tcBorders>
            <w:vAlign w:val="bottom"/>
          </w:tcPr>
          <w:p>
            <w:pPr>
              <w:pStyle w:val="Compact"/>
              <w:jc w:val="right"/>
            </w:pPr>
            <w:r>
              <w:t xml:space="preserve">CV D² (mean)</w:t>
            </w:r>
          </w:p>
        </w:tc>
        <w:tc>
          <w:tcPr>
            <w:tcBorders>
              <w:bottom w:val="single"/>
            </w:tcBorders>
            <w:vAlign w:val="bottom"/>
          </w:tcPr>
          <w:p>
            <w:pPr>
              <w:pStyle w:val="Compact"/>
              <w:jc w:val="left"/>
            </w:pPr>
            <w:r>
              <w:t xml:space="preserve">CV fold range</w:t>
            </w:r>
          </w:p>
        </w:tc>
        <w:tc>
          <w:tcPr>
            <w:tcBorders>
              <w:bottom w:val="single"/>
            </w:tcBorders>
            <w:vAlign w:val="bottom"/>
          </w:tcPr>
          <w:p>
            <w:pPr>
              <w:pStyle w:val="Compact"/>
              <w:jc w:val="right"/>
            </w:pPr>
            <w:r>
              <w:t xml:space="preserve">Dispersion</w:t>
            </w:r>
          </w:p>
        </w:tc>
        <w:tc>
          <w:tcPr>
            <w:tcBorders>
              <w:bottom w:val="single"/>
            </w:tcBorders>
            <w:vAlign w:val="bottom"/>
          </w:tcPr>
          <w:p>
            <w:pPr>
              <w:pStyle w:val="Compact"/>
              <w:jc w:val="left"/>
            </w:pPr>
            <w:r>
              <w:t xml:space="preserve">Coefficients</w:t>
            </w:r>
          </w:p>
        </w:tc>
      </w:tr>
      <w:tr>
        <w:tc>
          <w:p>
            <w:pPr>
              <w:pStyle w:val="Compact"/>
              <w:jc w:val="left"/>
            </w:pPr>
            <w:r>
              <w:t xml:space="preserve">Porto</w:t>
            </w:r>
          </w:p>
        </w:tc>
        <w:tc>
          <w:p>
            <w:pPr>
              <w:pStyle w:val="Compact"/>
              <w:jc w:val="right"/>
            </w:pPr>
            <w:r>
              <w:t xml:space="preserve">30,947</w:t>
            </w:r>
          </w:p>
        </w:tc>
        <w:tc>
          <w:p>
            <w:pPr>
              <w:pStyle w:val="Compact"/>
              <w:jc w:val="right"/>
            </w:pPr>
            <w:r>
              <w:t xml:space="preserve">0.1405</w:t>
            </w:r>
          </w:p>
        </w:tc>
        <w:tc>
          <w:p>
            <w:pPr>
              <w:pStyle w:val="Compact"/>
              <w:jc w:val="right"/>
            </w:pPr>
            <w:r>
              <w:t xml:space="preserve">0.1405</w:t>
            </w:r>
          </w:p>
        </w:tc>
        <w:tc>
          <w:p>
            <w:pPr>
              <w:pStyle w:val="Compact"/>
              <w:jc w:val="right"/>
            </w:pPr>
            <w:r>
              <w:rPr>
                <w:b/>
              </w:rPr>
              <w:t xml:space="preserve">0.1204</w:t>
            </w:r>
          </w:p>
        </w:tc>
        <w:tc>
          <w:p>
            <w:pPr>
              <w:pStyle w:val="Compact"/>
              <w:jc w:val="left"/>
            </w:pPr>
            <w:r>
              <w:t xml:space="preserve">0.057 – 0.213</w:t>
            </w:r>
          </w:p>
        </w:tc>
        <w:tc>
          <w:p>
            <w:pPr>
              <w:pStyle w:val="Compact"/>
              <w:jc w:val="right"/>
            </w:pPr>
            <w:r>
              <w:t xml:space="preserve">16.7</w:t>
            </w:r>
          </w:p>
        </w:tc>
        <w:tc>
          <w:p>
            <w:pPr>
              <w:pStyle w:val="Compact"/>
              <w:jc w:val="left"/>
            </w:pPr>
            <w:r>
              <w:t xml:space="preserve">+3.543 / +0.023 / +6.268</w:t>
            </w:r>
          </w:p>
        </w:tc>
      </w:tr>
      <w:tr>
        <w:tc>
          <w:p>
            <w:pPr>
              <w:pStyle w:val="Compact"/>
              <w:jc w:val="left"/>
            </w:pPr>
            <w:r>
              <w:t xml:space="preserve">Amsterdam</w:t>
            </w:r>
          </w:p>
        </w:tc>
        <w:tc>
          <w:p>
            <w:pPr>
              <w:pStyle w:val="Compact"/>
              <w:jc w:val="right"/>
            </w:pPr>
            <w:r>
              <w:t xml:space="preserve">67,147</w:t>
            </w:r>
          </w:p>
        </w:tc>
        <w:tc>
          <w:p>
            <w:pPr>
              <w:pStyle w:val="Compact"/>
              <w:jc w:val="right"/>
            </w:pPr>
            <w:r>
              <w:t xml:space="preserve">0.0298</w:t>
            </w:r>
          </w:p>
        </w:tc>
        <w:tc>
          <w:p>
            <w:pPr>
              <w:pStyle w:val="Compact"/>
              <w:jc w:val="right"/>
            </w:pPr>
            <w:r>
              <w:t xml:space="preserve">0.0298</w:t>
            </w:r>
          </w:p>
        </w:tc>
        <w:tc>
          <w:p>
            <w:pPr>
              <w:pStyle w:val="Compact"/>
              <w:jc w:val="right"/>
            </w:pPr>
            <w:r>
              <w:rPr>
                <w:b/>
              </w:rPr>
              <w:t xml:space="preserve">0.0266</w:t>
            </w:r>
          </w:p>
        </w:tc>
        <w:tc>
          <w:p>
            <w:pPr>
              <w:pStyle w:val="Compact"/>
              <w:jc w:val="left"/>
            </w:pPr>
            <w:r>
              <w:t xml:space="preserve">−0.030 – 0.072</w:t>
            </w:r>
          </w:p>
        </w:tc>
        <w:tc>
          <w:p>
            <w:pPr>
              <w:pStyle w:val="Compact"/>
              <w:jc w:val="right"/>
            </w:pPr>
            <w:r>
              <w:t xml:space="preserve">246.3</w:t>
            </w:r>
          </w:p>
        </w:tc>
        <w:tc>
          <w:p>
            <w:pPr>
              <w:pStyle w:val="Compact"/>
              <w:jc w:val="left"/>
            </w:pPr>
            <w:r>
              <w:t xml:space="preserve">+0.662 / +0.580 / +3.143</w:t>
            </w:r>
          </w:p>
        </w:tc>
      </w:tr>
      <w:tr>
        <w:tc>
          <w:p>
            <w:pPr>
              <w:pStyle w:val="Compact"/>
              <w:jc w:val="left"/>
            </w:pPr>
            <w:r>
              <w:t xml:space="preserve">Yokohama</w:t>
            </w:r>
          </w:p>
        </w:tc>
        <w:tc>
          <w:p>
            <w:pPr>
              <w:pStyle w:val="Compact"/>
              <w:jc w:val="right"/>
            </w:pPr>
            <w:r>
              <w:t xml:space="preserve">52,014</w:t>
            </w:r>
          </w:p>
        </w:tc>
        <w:tc>
          <w:p>
            <w:pPr>
              <w:pStyle w:val="Compact"/>
              <w:jc w:val="right"/>
            </w:pPr>
            <w:r>
              <w:t xml:space="preserve">0.0211</w:t>
            </w:r>
          </w:p>
        </w:tc>
        <w:tc>
          <w:p>
            <w:pPr>
              <w:pStyle w:val="Compact"/>
              <w:jc w:val="right"/>
            </w:pPr>
            <w:r>
              <w:t xml:space="preserve">0.0211</w:t>
            </w:r>
          </w:p>
        </w:tc>
        <w:tc>
          <w:p>
            <w:pPr>
              <w:pStyle w:val="Compact"/>
              <w:jc w:val="right"/>
            </w:pPr>
            <w:r>
              <w:rPr>
                <w:b/>
              </w:rPr>
              <w:t xml:space="preserve">0.0083</w:t>
            </w:r>
          </w:p>
        </w:tc>
        <w:tc>
          <w:p>
            <w:pPr>
              <w:pStyle w:val="Compact"/>
              <w:jc w:val="left"/>
            </w:pPr>
            <w:r>
              <w:t xml:space="preserve">−0.095 – 0.078</w:t>
            </w:r>
          </w:p>
        </w:tc>
        <w:tc>
          <w:p>
            <w:pPr>
              <w:pStyle w:val="Compact"/>
              <w:jc w:val="right"/>
            </w:pPr>
            <w:r>
              <w:t xml:space="preserve">301.6</w:t>
            </w:r>
          </w:p>
        </w:tc>
        <w:tc>
          <w:p>
            <w:pPr>
              <w:pStyle w:val="Compact"/>
              <w:jc w:val="left"/>
            </w:pPr>
            <w:r>
              <w:t xml:space="preserve">+0.759 / +1.313 / +0.138</w:t>
            </w:r>
          </w:p>
        </w:tc>
      </w:tr>
      <w:tr>
        <w:tc>
          <w:p>
            <w:pPr>
              <w:pStyle w:val="Compact"/>
              <w:jc w:val="left"/>
            </w:pPr>
            <w:r>
              <w:t xml:space="preserve">Gent</w:t>
            </w:r>
          </w:p>
        </w:tc>
        <w:tc>
          <w:p>
            <w:pPr>
              <w:pStyle w:val="Compact"/>
              <w:jc w:val="right"/>
            </w:pPr>
            <w:r>
              <w:t xml:space="preserve">64,875</w:t>
            </w:r>
          </w:p>
        </w:tc>
        <w:tc>
          <w:p>
            <w:pPr>
              <w:pStyle w:val="Compact"/>
              <w:jc w:val="right"/>
            </w:pPr>
            <w:r>
              <w:t xml:space="preserve">0.0088</w:t>
            </w:r>
          </w:p>
        </w:tc>
        <w:tc>
          <w:p>
            <w:pPr>
              <w:pStyle w:val="Compact"/>
              <w:jc w:val="right"/>
            </w:pPr>
            <w:r>
              <w:t xml:space="preserve">0.0088</w:t>
            </w:r>
          </w:p>
        </w:tc>
        <w:tc>
          <w:p>
            <w:pPr>
              <w:pStyle w:val="Compact"/>
              <w:jc w:val="right"/>
            </w:pPr>
            <w:r>
              <w:rPr>
                <w:b/>
              </w:rPr>
              <w:t xml:space="preserve">0.0009</w:t>
            </w:r>
          </w:p>
        </w:tc>
        <w:tc>
          <w:p>
            <w:pPr>
              <w:pStyle w:val="Compact"/>
              <w:jc w:val="left"/>
            </w:pPr>
            <w:r>
              <w:t xml:space="preserve">−0.013 – 0.012</w:t>
            </w:r>
          </w:p>
        </w:tc>
        <w:tc>
          <w:p>
            <w:pPr>
              <w:pStyle w:val="Compact"/>
              <w:jc w:val="right"/>
            </w:pPr>
            <w:r>
              <w:t xml:space="preserve">102.7</w:t>
            </w:r>
          </w:p>
        </w:tc>
        <w:tc>
          <w:p>
            <w:pPr>
              <w:pStyle w:val="Compact"/>
              <w:jc w:val="left"/>
            </w:pPr>
            <w:r>
              <w:rPr>
                <w:b/>
              </w:rPr>
              <w:t xml:space="preserve">−0.152</w:t>
            </w:r>
            <w:r>
              <w:t xml:space="preserve"> </w:t>
            </w:r>
            <w:r>
              <w:t xml:space="preserve">/ +0.282 / +2.520</w:t>
            </w:r>
          </w:p>
        </w:tc>
      </w:tr>
    </w:tbl>
    <w:p>
      <w:pPr>
        <w:pStyle w:val="BodyText"/>
      </w:pPr>
      <w:r>
        <w:t xml:space="preserve">Three results (Fig. 4).</w:t>
      </w:r>
      <w:r>
        <w:t xml:space="preserve"> </w:t>
      </w:r>
      <w:r>
        <w:rPr>
          <w:b/>
        </w:rPr>
        <w:t xml:space="preserve">(i)</w:t>
      </w:r>
      <w:r>
        <w:t xml:space="preserve"> </w:t>
      </w:r>
      <w:r>
        <w:t xml:space="preserve">Only Porto survives held-out evaluation with a</w:t>
      </w:r>
      <w:r>
        <w:t xml:space="preserve"> </w:t>
      </w:r>
      <w:r>
        <w:t xml:space="preserve">meaningful fit, and even there D² = 0.12 leaves 88% of deviance unexplained.</w:t>
      </w:r>
      <w:r>
        <w:t xml:space="preserve"> </w:t>
      </w:r>
      <w:r>
        <w:rPr>
          <w:b/>
        </w:rPr>
        <w:t xml:space="preserve">(ii)</w:t>
      </w:r>
      <w:r>
        <w:t xml:space="preserve"> </w:t>
      </w:r>
      <w:r>
        <w:t xml:space="preserve">In Amsterdam, Yokohama and Gent at least one fold performs</w:t>
      </w:r>
      <w:r>
        <w:t xml:space="preserve"> </w:t>
      </w:r>
      <w:r>
        <w:rPr>
          <w:i/>
        </w:rPr>
        <w:t xml:space="preserve">worse than a constant rate</w:t>
      </w:r>
      <w:r>
        <w:t xml:space="preserve"> </w:t>
      </w:r>
      <w:r>
        <w:t xml:space="preserve">— in Yokohama, −0.095. A model that loses to an intercept on held-out ground is not</w:t>
      </w:r>
      <w:r>
        <w:t xml:space="preserve"> </w:t>
      </w:r>
      <w:r>
        <w:t xml:space="preserve">estimating a spatial pattern.</w:t>
      </w:r>
      <w:r>
        <w:t xml:space="preserve"> </w:t>
      </w:r>
      <w:r>
        <w:rPr>
          <w:b/>
        </w:rPr>
        <w:t xml:space="preserve">(iii)</w:t>
      </w:r>
      <w:r>
        <w:t xml:space="preserve"> </w:t>
      </w:r>
      <w:r>
        <w:t xml:space="preserve">Gent’s mean CV D² of 0.0009 is not</w:t>
      </w:r>
      <w:r>
        <w:t xml:space="preserve"> </w:t>
      </w:r>
      <w:r>
        <w:t xml:space="preserve">distinguishable from zero, and its habitat coefficient is negative: better habitat</w:t>
      </w:r>
      <w:r>
        <w:t xml:space="preserve"> </w:t>
      </w:r>
      <w:r>
        <w:t xml:space="preserve">predicts fewer species. That is not an ecological finding; it means the term is not</w:t>
      </w:r>
      <w:r>
        <w:t xml:space="preserve"> </w:t>
      </w:r>
      <w:r>
        <w:t xml:space="preserve">identifying habitat.</w:t>
      </w:r>
    </w:p>
    <w:p>
      <w:pPr>
        <w:pStyle w:val="BodyText"/>
      </w:pPr>
      <w:r>
        <w:t xml:space="preserve">Dispersion of 103–302 is not merely overdispersion. At that level the quasi-Poisson</w:t>
      </w:r>
      <w:r>
        <w:t xml:space="preserve"> </w:t>
      </w:r>
      <w:r>
        <w:t xml:space="preserve">variance assumption is itself misspecified, in every city, at this grain.</w:t>
      </w:r>
    </w:p>
    <w:p>
      <w:pPr>
        <w:pStyle w:val="CaptionedFigure"/>
      </w:pPr>
      <w:r>
        <w:drawing>
          <wp:inline>
            <wp:extent cx="4351441" cy="2352627"/>
            <wp:effectExtent b="0" l="0" r="0" t="0"/>
            <wp:docPr descr="Figure 4. In-sample versus spatially blocked 5-fold cross-validated explained deviance; dots are individual folds." title="" id="1" name="Picture"/>
            <a:graphic>
              <a:graphicData uri="http://schemas.openxmlformats.org/drawingml/2006/picture">
                <pic:pic>
                  <pic:nvPicPr>
                    <pic:cNvPr descr="figures/fig4_crossval.png" id="0" name="Picture"/>
                    <pic:cNvPicPr>
                      <a:picLocks noChangeArrowheads="1" noChangeAspect="1"/>
                    </pic:cNvPicPr>
                  </pic:nvPicPr>
                  <pic:blipFill>
                    <a:blip r:embed="rId38"/>
                    <a:stretch>
                      <a:fillRect/>
                    </a:stretch>
                  </pic:blipFill>
                  <pic:spPr bwMode="auto">
                    <a:xfrm>
                      <a:off x="0" y="0"/>
                      <a:ext cx="4351441" cy="2352627"/>
                    </a:xfrm>
                    <a:prstGeom prst="rect">
                      <a:avLst/>
                    </a:prstGeom>
                    <a:noFill/>
                    <a:ln w="9525">
                      <a:noFill/>
                      <a:headEnd/>
                      <a:tailEnd/>
                    </a:ln>
                  </pic:spPr>
                </pic:pic>
              </a:graphicData>
            </a:graphic>
          </wp:inline>
        </w:drawing>
      </w:r>
    </w:p>
    <w:p>
      <w:pPr>
        <w:pStyle w:val="ImageCaption"/>
      </w:pPr>
      <w:r>
        <w:t xml:space="preserve">Figure 4. In-sample versus spatially blocked 5-fold cross-validated explained deviance; dots are individual folds.</w:t>
      </w:r>
    </w:p>
    <w:p>
      <w:pPr>
        <w:pStyle w:val="Heading3"/>
      </w:pPr>
      <w:bookmarkStart w:id="39" w:name="λ-and-what-the-residual-is-actually-made-of"/>
      <w:r>
        <w:t xml:space="preserve">3.5 λ, and what the residual is actually made of</w:t>
      </w:r>
      <w:bookmarkEnd w:id="39"/>
    </w:p>
    <w:p>
      <w:pPr>
        <w:pStyle w:val="FirstParagraph"/>
      </w:pPr>
      <w:r>
        <w:rPr>
          <w:b/>
        </w:rPr>
        <w:t xml:space="preserve">Table 6. The variance decomposition of the published residual, hex scale, admitted</w:t>
      </w:r>
      <w:r>
        <w:rPr>
          <w:b/>
        </w:rPr>
        <w:t xml:space="preserve"> </w:t>
      </w:r>
      <w:r>
        <w:rPr>
          <w:b/>
        </w:rPr>
        <w:t xml:space="preserve">cells.</w:t>
      </w:r>
      <w:r>
        <w:t xml:space="preserve"> </w:t>
      </w:r>
      <w:r>
        <w:t xml:space="preserve">Predicted values from equation (1).</w:t>
      </w:r>
    </w:p>
    <w:tbl>
      <w:tblPr>
        <w:tblStyle w:val="Table"/>
        <w:tblW w:type="pct" w:w="0.0"/>
        <w:tblLook w:firstRow="1"/>
      </w:tblPr>
      <w:tblGrid/>
      <w:tr>
        <w:trPr>
          <w:cnfStyle w:firstRow="1"/>
        </w:trPr>
        <w:tc>
          <w:tcPr>
            <w:tcBorders>
              <w:bottom w:val="single"/>
            </w:tcBorders>
            <w:vAlign w:val="bottom"/>
          </w:tcPr>
          <w:p>
            <w:pPr>
              <w:pStyle w:val="Compact"/>
              <w:jc w:val="left"/>
            </w:pPr>
            <w:r>
              <w:t xml:space="preserve">City</w:t>
            </w:r>
          </w:p>
        </w:tc>
        <w:tc>
          <w:tcPr>
            <w:tcBorders>
              <w:bottom w:val="single"/>
            </w:tcBorders>
            <w:vAlign w:val="bottom"/>
          </w:tcPr>
          <w:p>
            <w:pPr>
              <w:pStyle w:val="Compact"/>
              <w:jc w:val="right"/>
            </w:pPr>
            <w:r>
              <w:t xml:space="preserve">Var(Ŷ)</w:t>
            </w:r>
          </w:p>
        </w:tc>
        <w:tc>
          <w:tcPr>
            <w:tcBorders>
              <w:bottom w:val="single"/>
            </w:tcBorders>
            <w:vAlign w:val="bottom"/>
          </w:tcPr>
          <w:p>
            <w:pPr>
              <w:pStyle w:val="Compact"/>
              <w:jc w:val="right"/>
            </w:pPr>
            <w:r>
              <w:t xml:space="preserve">Var(Y)</w:t>
            </w:r>
          </w:p>
        </w:tc>
        <w:tc>
          <w:tcPr>
            <w:tcBorders>
              <w:bottom w:val="single"/>
            </w:tcBorders>
            <w:vAlign w:val="bottom"/>
          </w:tcPr>
          <w:p>
            <w:pPr>
              <w:pStyle w:val="Compact"/>
              <w:jc w:val="right"/>
            </w:pPr>
            <w:r>
              <w:rPr>
                <w:b/>
              </w:rPr>
              <w:t xml:space="preserve">λ</w:t>
            </w:r>
          </w:p>
        </w:tc>
        <w:tc>
          <w:tcPr>
            <w:tcBorders>
              <w:bottom w:val="single"/>
            </w:tcBorders>
            <w:vAlign w:val="bottom"/>
          </w:tcPr>
          <w:p>
            <w:pPr>
              <w:pStyle w:val="Compact"/>
              <w:jc w:val="right"/>
            </w:pPr>
            <w:r>
              <w:t xml:space="preserve">ρ(Ŷ, Y)</w:t>
            </w:r>
          </w:p>
        </w:tc>
        <w:tc>
          <w:tcPr>
            <w:tcBorders>
              <w:bottom w:val="single"/>
            </w:tcBorders>
            <w:vAlign w:val="bottom"/>
          </w:tcPr>
          <w:p>
            <w:pPr>
              <w:pStyle w:val="Compact"/>
              <w:jc w:val="right"/>
            </w:pPr>
            <w:r>
              <w:t xml:space="preserve">corr(R, −Y) predicted</w:t>
            </w:r>
          </w:p>
        </w:tc>
        <w:tc>
          <w:tcPr>
            <w:tcBorders>
              <w:bottom w:val="single"/>
            </w:tcBorders>
            <w:vAlign w:val="bottom"/>
          </w:tcPr>
          <w:p>
            <w:pPr>
              <w:pStyle w:val="Compact"/>
              <w:jc w:val="right"/>
            </w:pPr>
            <w:r>
              <w:t xml:space="preserve">measured</w:t>
            </w:r>
          </w:p>
        </w:tc>
        <w:tc>
          <w:tcPr>
            <w:tcBorders>
              <w:bottom w:val="single"/>
            </w:tcBorders>
            <w:vAlign w:val="bottom"/>
          </w:tcPr>
          <w:p>
            <w:pPr>
              <w:pStyle w:val="Compact"/>
              <w:jc w:val="right"/>
            </w:pPr>
            <w:r>
              <w:t xml:space="preserve">R²(R ~ Y)</w:t>
            </w:r>
          </w:p>
        </w:tc>
        <w:tc>
          <w:tcPr>
            <w:tcBorders>
              <w:bottom w:val="single"/>
            </w:tcBorders>
            <w:vAlign w:val="bottom"/>
          </w:tcPr>
          <w:p>
            <w:pPr>
              <w:pStyle w:val="Compact"/>
              <w:jc w:val="right"/>
            </w:pPr>
            <w:r>
              <w:t xml:space="preserve">R²(R ~ Ŷ)</w:t>
            </w:r>
          </w:p>
        </w:tc>
      </w:tr>
      <w:tr>
        <w:tc>
          <w:p>
            <w:pPr>
              <w:pStyle w:val="Compact"/>
              <w:jc w:val="left"/>
            </w:pPr>
            <w:r>
              <w:t xml:space="preserve">Porto</w:t>
            </w:r>
          </w:p>
        </w:tc>
        <w:tc>
          <w:p>
            <w:pPr>
              <w:pStyle w:val="Compact"/>
              <w:jc w:val="right"/>
            </w:pPr>
            <w:r>
              <w:t xml:space="preserve">0.0231</w:t>
            </w:r>
          </w:p>
        </w:tc>
        <w:tc>
          <w:p>
            <w:pPr>
              <w:pStyle w:val="Compact"/>
              <w:jc w:val="right"/>
            </w:pPr>
            <w:r>
              <w:t xml:space="preserve">0.824</w:t>
            </w:r>
          </w:p>
        </w:tc>
        <w:tc>
          <w:p>
            <w:pPr>
              <w:pStyle w:val="Compact"/>
              <w:jc w:val="right"/>
            </w:pPr>
            <w:r>
              <w:rPr>
                <w:b/>
              </w:rPr>
              <w:t xml:space="preserve">0.0280</w:t>
            </w:r>
          </w:p>
        </w:tc>
        <w:tc>
          <w:p>
            <w:pPr>
              <w:pStyle w:val="Compact"/>
              <w:jc w:val="right"/>
            </w:pPr>
            <w:r>
              <w:t xml:space="preserve">0.177</w:t>
            </w:r>
          </w:p>
        </w:tc>
        <w:tc>
          <w:p>
            <w:pPr>
              <w:pStyle w:val="Compact"/>
              <w:jc w:val="right"/>
            </w:pPr>
            <w:r>
              <w:t xml:space="preserve">0.9859</w:t>
            </w:r>
          </w:p>
        </w:tc>
        <w:tc>
          <w:p>
            <w:pPr>
              <w:pStyle w:val="Compact"/>
              <w:jc w:val="right"/>
            </w:pPr>
            <w:r>
              <w:t xml:space="preserve">0.9859</w:t>
            </w:r>
          </w:p>
        </w:tc>
        <w:tc>
          <w:p>
            <w:pPr>
              <w:pStyle w:val="Compact"/>
              <w:jc w:val="right"/>
            </w:pPr>
            <w:r>
              <w:t xml:space="preserve">0.971</w:t>
            </w:r>
          </w:p>
        </w:tc>
        <w:tc>
          <w:p>
            <w:pPr>
              <w:pStyle w:val="Compact"/>
              <w:jc w:val="right"/>
            </w:pPr>
            <w:r>
              <w:t xml:space="preserve">0.0001</w:t>
            </w:r>
          </w:p>
        </w:tc>
      </w:tr>
      <w:tr>
        <w:tc>
          <w:p>
            <w:pPr>
              <w:pStyle w:val="Compact"/>
              <w:jc w:val="left"/>
            </w:pPr>
            <w:r>
              <w:t xml:space="preserve">Amsterdam</w:t>
            </w:r>
          </w:p>
        </w:tc>
        <w:tc>
          <w:p>
            <w:pPr>
              <w:pStyle w:val="Compact"/>
              <w:jc w:val="right"/>
            </w:pPr>
            <w:r>
              <w:t xml:space="preserve">0.00462</w:t>
            </w:r>
          </w:p>
        </w:tc>
        <w:tc>
          <w:p>
            <w:pPr>
              <w:pStyle w:val="Compact"/>
              <w:jc w:val="right"/>
            </w:pPr>
            <w:r>
              <w:t xml:space="preserve">8.372</w:t>
            </w:r>
          </w:p>
        </w:tc>
        <w:tc>
          <w:p>
            <w:pPr>
              <w:pStyle w:val="Compact"/>
              <w:jc w:val="right"/>
            </w:pPr>
            <w:r>
              <w:rPr>
                <w:b/>
              </w:rPr>
              <w:t xml:space="preserve">0.00055</w:t>
            </w:r>
          </w:p>
        </w:tc>
        <w:tc>
          <w:p>
            <w:pPr>
              <w:pStyle w:val="Compact"/>
              <w:jc w:val="right"/>
            </w:pPr>
            <w:r>
              <w:t xml:space="preserve">0.023</w:t>
            </w:r>
          </w:p>
        </w:tc>
        <w:tc>
          <w:p>
            <w:pPr>
              <w:pStyle w:val="Compact"/>
              <w:jc w:val="right"/>
            </w:pPr>
            <w:r>
              <w:t xml:space="preserve">0.9997</w:t>
            </w:r>
          </w:p>
        </w:tc>
        <w:tc>
          <w:p>
            <w:pPr>
              <w:pStyle w:val="Compact"/>
              <w:jc w:val="right"/>
            </w:pPr>
            <w:r>
              <w:t xml:space="preserve">0.9997</w:t>
            </w:r>
          </w:p>
        </w:tc>
        <w:tc>
          <w:p>
            <w:pPr>
              <w:pStyle w:val="Compact"/>
              <w:jc w:val="right"/>
            </w:pPr>
            <w:r>
              <w:t xml:space="preserve">0.9994</w:t>
            </w:r>
          </w:p>
        </w:tc>
        <w:tc>
          <w:p>
            <w:pPr>
              <w:pStyle w:val="Compact"/>
              <w:jc w:val="right"/>
            </w:pPr>
            <w:r>
              <w:t xml:space="preserve">0.0000</w:t>
            </w:r>
          </w:p>
        </w:tc>
      </w:tr>
      <w:tr>
        <w:tc>
          <w:p>
            <w:pPr>
              <w:pStyle w:val="Compact"/>
              <w:jc w:val="left"/>
            </w:pPr>
            <w:r>
              <w:t xml:space="preserve">Gent</w:t>
            </w:r>
          </w:p>
        </w:tc>
        <w:tc>
          <w:p>
            <w:pPr>
              <w:pStyle w:val="Compact"/>
              <w:jc w:val="right"/>
            </w:pPr>
            <w:r>
              <w:t xml:space="preserve">0.00270</w:t>
            </w:r>
          </w:p>
        </w:tc>
        <w:tc>
          <w:p>
            <w:pPr>
              <w:pStyle w:val="Compact"/>
              <w:jc w:val="right"/>
            </w:pPr>
            <w:r>
              <w:t xml:space="preserve">5.436</w:t>
            </w:r>
          </w:p>
        </w:tc>
        <w:tc>
          <w:p>
            <w:pPr>
              <w:pStyle w:val="Compact"/>
              <w:jc w:val="right"/>
            </w:pPr>
            <w:r>
              <w:rPr>
                <w:b/>
              </w:rPr>
              <w:t xml:space="preserve">0.00050</w:t>
            </w:r>
          </w:p>
        </w:tc>
        <w:tc>
          <w:p>
            <w:pPr>
              <w:pStyle w:val="Compact"/>
              <w:jc w:val="right"/>
            </w:pPr>
            <w:r>
              <w:t xml:space="preserve">0.023</w:t>
            </w:r>
          </w:p>
        </w:tc>
        <w:tc>
          <w:p>
            <w:pPr>
              <w:pStyle w:val="Compact"/>
              <w:jc w:val="right"/>
            </w:pPr>
            <w:r>
              <w:t xml:space="preserve">0.9998</w:t>
            </w:r>
          </w:p>
        </w:tc>
        <w:tc>
          <w:p>
            <w:pPr>
              <w:pStyle w:val="Compact"/>
              <w:jc w:val="right"/>
            </w:pPr>
            <w:r>
              <w:t xml:space="preserve">0.9998</w:t>
            </w:r>
          </w:p>
        </w:tc>
        <w:tc>
          <w:p>
            <w:pPr>
              <w:pStyle w:val="Compact"/>
              <w:jc w:val="right"/>
            </w:pPr>
            <w:r>
              <w:t xml:space="preserve">0.9994</w:t>
            </w:r>
          </w:p>
        </w:tc>
        <w:tc>
          <w:p>
            <w:pPr>
              <w:pStyle w:val="Compact"/>
              <w:jc w:val="right"/>
            </w:pPr>
            <w:r>
              <w:t xml:space="preserve">0.0000</w:t>
            </w:r>
          </w:p>
        </w:tc>
      </w:tr>
      <w:tr>
        <w:tc>
          <w:p>
            <w:pPr>
              <w:pStyle w:val="Compact"/>
              <w:jc w:val="left"/>
            </w:pPr>
            <w:r>
              <w:t xml:space="preserve">Yokohama</w:t>
            </w:r>
          </w:p>
        </w:tc>
        <w:tc>
          <w:p>
            <w:pPr>
              <w:pStyle w:val="Compact"/>
              <w:jc w:val="right"/>
            </w:pPr>
            <w:r>
              <w:t xml:space="preserve">0.000328</w:t>
            </w:r>
          </w:p>
        </w:tc>
        <w:tc>
          <w:p>
            <w:pPr>
              <w:pStyle w:val="Compact"/>
              <w:jc w:val="right"/>
            </w:pPr>
            <w:r>
              <w:t xml:space="preserve">1.858</w:t>
            </w:r>
          </w:p>
        </w:tc>
        <w:tc>
          <w:p>
            <w:pPr>
              <w:pStyle w:val="Compact"/>
              <w:jc w:val="right"/>
            </w:pPr>
            <w:r>
              <w:rPr>
                <w:b/>
              </w:rPr>
              <w:t xml:space="preserve">0.00018</w:t>
            </w:r>
          </w:p>
        </w:tc>
        <w:tc>
          <w:p>
            <w:pPr>
              <w:pStyle w:val="Compact"/>
              <w:jc w:val="right"/>
            </w:pPr>
            <w:r>
              <w:t xml:space="preserve">0.013</w:t>
            </w:r>
          </w:p>
        </w:tc>
        <w:tc>
          <w:p>
            <w:pPr>
              <w:pStyle w:val="Compact"/>
              <w:jc w:val="right"/>
            </w:pPr>
            <w:r>
              <w:t xml:space="preserve">0.9999</w:t>
            </w:r>
          </w:p>
        </w:tc>
        <w:tc>
          <w:p>
            <w:pPr>
              <w:pStyle w:val="Compact"/>
              <w:jc w:val="right"/>
            </w:pPr>
            <w:r>
              <w:t xml:space="preserve">0.9999</w:t>
            </w:r>
          </w:p>
        </w:tc>
        <w:tc>
          <w:p>
            <w:pPr>
              <w:pStyle w:val="Compact"/>
              <w:jc w:val="right"/>
            </w:pPr>
            <w:r>
              <w:t xml:space="preserve">0.9998</w:t>
            </w:r>
          </w:p>
        </w:tc>
        <w:tc>
          <w:p>
            <w:pPr>
              <w:pStyle w:val="Compact"/>
              <w:jc w:val="right"/>
            </w:pPr>
            <w:r>
              <w:t xml:space="preserve">0.0000</w:t>
            </w:r>
          </w:p>
        </w:tc>
      </w:tr>
    </w:tbl>
    <w:p>
      <w:pPr>
        <w:pStyle w:val="BodyText"/>
      </w:pPr>
      <w:r>
        <w:t xml:space="preserve">Equation (1) predicts the measured correlation to four decimal places in every city.</w:t>
      </w:r>
      <w:r>
        <w:t xml:space="preserve"> </w:t>
      </w:r>
      <w:r>
        <w:t xml:space="preserve">λ is 0.00018–0.028, that is 9× to 1,400× below the lower edge of the residual window</w:t>
      </w:r>
      <w:r>
        <w:t xml:space="preserve"> </w:t>
      </w:r>
      <w:r>
        <w:t xml:space="preserve">and 35× to 5,500× below λ = 1.</w:t>
      </w:r>
    </w:p>
    <w:p>
      <w:pPr>
        <w:pStyle w:val="BodyText"/>
      </w:pPr>
      <w:r>
        <w:t xml:space="preserve">The interpretation is direct.</w:t>
      </w:r>
      <w:r>
        <w:t xml:space="preserve"> </w:t>
      </w:r>
      <w:r>
        <w:rPr>
          <w:b/>
        </w:rPr>
        <w:t xml:space="preserve">The published ecological residual shares 97.1–99.98% of</w:t>
      </w:r>
      <w:r>
        <w:rPr>
          <w:b/>
        </w:rPr>
        <w:t xml:space="preserve"> </w:t>
      </w:r>
      <w:r>
        <w:rPr>
          <w:b/>
        </w:rPr>
        <w:t xml:space="preserve">its variance with the observation and essentially none with the fitted expectation.</w:t>
      </w:r>
      <w:r>
        <w:t xml:space="preserve"> </w:t>
      </w:r>
      <w:r>
        <w:t xml:space="preserve">Regressing the residual on the observation returns R² = 0.971–0.9998; regressing it on</w:t>
      </w:r>
      <w:r>
        <w:t xml:space="preserve"> </w:t>
      </w:r>
      <w:r>
        <w:t xml:space="preserve">the expectation returns R² ≤ 0.0001. The</w:t>
      </w:r>
      <w:r>
        <w:t xml:space="preserve"> </w:t>
      </w:r>
      <w:r>
        <w:t xml:space="preserve">“</w:t>
      </w:r>
      <w:r>
        <w:t xml:space="preserve">gap between expected and observed nature</w:t>
      </w:r>
      <w:r>
        <w:t xml:space="preserve">”</w:t>
      </w:r>
      <w:r>
        <w:t xml:space="preserve"> </w:t>
      </w:r>
      <w:r>
        <w:t xml:space="preserve">is</w:t>
      </w:r>
      <w:r>
        <w:t xml:space="preserve"> </w:t>
      </w:r>
      <w:r>
        <w:t xml:space="preserve">the observation, negated, plus a rounding error.</w:t>
      </w:r>
    </w:p>
    <w:p>
      <w:pPr>
        <w:pStyle w:val="BodyText"/>
      </w:pPr>
      <w:r>
        <w:t xml:space="preserve">The same holds out of sample: on held-out folds, λ = 0.0014–0.042 and corr(R, −Y) =</w:t>
      </w:r>
      <w:r>
        <w:t xml:space="preserve"> </w:t>
      </w:r>
      <w:r>
        <w:t xml:space="preserve">0.979–0.9993, so this is not an in-sample artefact of the fit.</w:t>
      </w:r>
    </w:p>
    <w:p>
      <w:pPr>
        <w:pStyle w:val="BodyText"/>
      </w:pPr>
      <w:r>
        <w:rPr>
          <w:b/>
        </w:rPr>
        <w:t xml:space="preserve">It also holds after aggregation to parks</w:t>
      </w:r>
      <w:r>
        <w:t xml:space="preserve">, which is the standard remedy. Pooling</w:t>
      </w:r>
      <w:r>
        <w:t xml:space="preserve"> </w:t>
      </w:r>
      <w:r>
        <w:t xml:space="preserve">records and effort over each green space and refitting with an area term gives a better</w:t>
      </w:r>
      <w:r>
        <w:t xml:space="preserve"> </w:t>
      </w:r>
      <w:r>
        <w:t xml:space="preserve">model — the pipeline reports explained deviance of 0.277 at patch scale in Porto against</w:t>
      </w:r>
      <w:r>
        <w:t xml:space="preserve"> </w:t>
      </w:r>
      <w:r>
        <w:t xml:space="preserve">0.140 at hex scale — but leaves λ almost unchanged: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Patch scale</w:t>
            </w:r>
          </w:p>
        </w:tc>
        <w:tc>
          <w:tcPr>
            <w:tcBorders>
              <w:bottom w:val="single"/>
            </w:tcBorders>
            <w:vAlign w:val="bottom"/>
          </w:tcPr>
          <w:p>
            <w:pPr>
              <w:pStyle w:val="Compact"/>
              <w:jc w:val="right"/>
            </w:pPr>
            <w:r>
              <w:t xml:space="preserve">Porto</w:t>
            </w:r>
          </w:p>
        </w:tc>
        <w:tc>
          <w:tcPr>
            <w:tcBorders>
              <w:bottom w:val="single"/>
            </w:tcBorders>
            <w:vAlign w:val="bottom"/>
          </w:tcPr>
          <w:p>
            <w:pPr>
              <w:pStyle w:val="Compact"/>
              <w:jc w:val="right"/>
            </w:pPr>
            <w:r>
              <w:t xml:space="preserve">Amsterdam</w:t>
            </w:r>
          </w:p>
        </w:tc>
        <w:tc>
          <w:tcPr>
            <w:tcBorders>
              <w:bottom w:val="single"/>
            </w:tcBorders>
            <w:vAlign w:val="bottom"/>
          </w:tcPr>
          <w:p>
            <w:pPr>
              <w:pStyle w:val="Compact"/>
              <w:jc w:val="right"/>
            </w:pPr>
            <w:r>
              <w:t xml:space="preserve">Gent</w:t>
            </w:r>
          </w:p>
        </w:tc>
        <w:tc>
          <w:tcPr>
            <w:tcBorders>
              <w:bottom w:val="single"/>
            </w:tcBorders>
            <w:vAlign w:val="bottom"/>
          </w:tcPr>
          <w:p>
            <w:pPr>
              <w:pStyle w:val="Compact"/>
              <w:jc w:val="right"/>
            </w:pPr>
            <w:r>
              <w:t xml:space="preserve">Yokohama</w:t>
            </w:r>
          </w:p>
        </w:tc>
      </w:tr>
      <w:tr>
        <w:tc>
          <w:p>
            <w:pPr>
              <w:pStyle w:val="Compact"/>
              <w:jc w:val="left"/>
            </w:pPr>
            <w:r>
              <w:t xml:space="preserve">Parks scored</w:t>
            </w:r>
          </w:p>
        </w:tc>
        <w:tc>
          <w:p>
            <w:pPr>
              <w:pStyle w:val="Compact"/>
              <w:jc w:val="right"/>
            </w:pPr>
            <w:r>
              <w:t xml:space="preserve">1,814</w:t>
            </w:r>
          </w:p>
        </w:tc>
        <w:tc>
          <w:p>
            <w:pPr>
              <w:pStyle w:val="Compact"/>
              <w:jc w:val="right"/>
            </w:pPr>
            <w:r>
              <w:t xml:space="preserve">445</w:t>
            </w:r>
          </w:p>
        </w:tc>
        <w:tc>
          <w:p>
            <w:pPr>
              <w:pStyle w:val="Compact"/>
              <w:jc w:val="right"/>
            </w:pPr>
            <w:r>
              <w:t xml:space="preserve">968</w:t>
            </w:r>
          </w:p>
        </w:tc>
        <w:tc>
          <w:p>
            <w:pPr>
              <w:pStyle w:val="Compact"/>
              <w:jc w:val="right"/>
            </w:pPr>
            <w:r>
              <w:t xml:space="preserve">344</w:t>
            </w:r>
          </w:p>
        </w:tc>
      </w:tr>
      <w:tr>
        <w:tc>
          <w:p>
            <w:pPr>
              <w:pStyle w:val="Compact"/>
              <w:jc w:val="left"/>
            </w:pPr>
            <w:r>
              <w:t xml:space="preserve">Parks with ≥ 1 species (%)</w:t>
            </w:r>
          </w:p>
        </w:tc>
        <w:tc>
          <w:p>
            <w:pPr>
              <w:pStyle w:val="Compact"/>
              <w:jc w:val="right"/>
            </w:pPr>
            <w:r>
              <w:t xml:space="preserve">31.3</w:t>
            </w:r>
          </w:p>
        </w:tc>
        <w:tc>
          <w:p>
            <w:pPr>
              <w:pStyle w:val="Compact"/>
              <w:jc w:val="right"/>
            </w:pPr>
            <w:r>
              <w:t xml:space="preserve">45.6</w:t>
            </w:r>
          </w:p>
        </w:tc>
        <w:tc>
          <w:p>
            <w:pPr>
              <w:pStyle w:val="Compact"/>
              <w:jc w:val="right"/>
            </w:pPr>
            <w:r>
              <w:t xml:space="preserve">56.2</w:t>
            </w:r>
          </w:p>
        </w:tc>
        <w:tc>
          <w:p>
            <w:pPr>
              <w:pStyle w:val="Compact"/>
              <w:jc w:val="right"/>
            </w:pPr>
            <w:r>
              <w:t xml:space="preserve">29.7</w:t>
            </w:r>
          </w:p>
        </w:tc>
      </w:tr>
      <w:tr>
        <w:tc>
          <w:p>
            <w:pPr>
              <w:pStyle w:val="Compact"/>
              <w:jc w:val="left"/>
            </w:pPr>
            <w:r>
              <w:rPr>
                <w:b/>
              </w:rPr>
              <w:t xml:space="preserve">λ</w:t>
            </w:r>
          </w:p>
        </w:tc>
        <w:tc>
          <w:p>
            <w:pPr>
              <w:pStyle w:val="Compact"/>
              <w:jc w:val="right"/>
            </w:pPr>
            <w:r>
              <w:t xml:space="preserve">0.015</w:t>
            </w:r>
          </w:p>
        </w:tc>
        <w:tc>
          <w:p>
            <w:pPr>
              <w:pStyle w:val="Compact"/>
              <w:jc w:val="right"/>
            </w:pPr>
            <w:r>
              <w:t xml:space="preserve">0.025</w:t>
            </w:r>
          </w:p>
        </w:tc>
        <w:tc>
          <w:p>
            <w:pPr>
              <w:pStyle w:val="Compact"/>
              <w:jc w:val="right"/>
            </w:pPr>
            <w:r>
              <w:t xml:space="preserve">0.0004</w:t>
            </w:r>
          </w:p>
        </w:tc>
        <w:tc>
          <w:p>
            <w:pPr>
              <w:pStyle w:val="Compact"/>
              <w:jc w:val="right"/>
            </w:pPr>
            <w:r>
              <w:t xml:space="preserve">0.047</w:t>
            </w:r>
          </w:p>
        </w:tc>
      </w:tr>
      <w:tr>
        <w:tc>
          <w:p>
            <w:pPr>
              <w:pStyle w:val="Compact"/>
              <w:jc w:val="left"/>
            </w:pPr>
            <w:r>
              <w:t xml:space="preserve">R²(R ~ Y)</w:t>
            </w:r>
          </w:p>
        </w:tc>
        <w:tc>
          <w:p>
            <w:pPr>
              <w:pStyle w:val="Compact"/>
              <w:jc w:val="right"/>
            </w:pPr>
            <w:r>
              <w:t xml:space="preserve">0.985</w:t>
            </w:r>
          </w:p>
        </w:tc>
        <w:tc>
          <w:p>
            <w:pPr>
              <w:pStyle w:val="Compact"/>
              <w:jc w:val="right"/>
            </w:pPr>
            <w:r>
              <w:t xml:space="preserve">0.974</w:t>
            </w:r>
          </w:p>
        </w:tc>
        <w:tc>
          <w:p>
            <w:pPr>
              <w:pStyle w:val="Compact"/>
              <w:jc w:val="right"/>
            </w:pPr>
            <w:r>
              <w:t xml:space="preserve">0.9997</w:t>
            </w:r>
          </w:p>
        </w:tc>
        <w:tc>
          <w:p>
            <w:pPr>
              <w:pStyle w:val="Compact"/>
              <w:jc w:val="right"/>
            </w:pPr>
            <w:r>
              <w:t xml:space="preserve">0.961</w:t>
            </w:r>
          </w:p>
        </w:tc>
      </w:tr>
    </w:tbl>
    <w:p>
      <w:pPr>
        <w:pStyle w:val="BodyText"/>
      </w:pPr>
      <w:r>
        <w:t xml:space="preserve">A doubling of explained deviance moved λ from 0.028 to 0.015 — in the wrong direction. Fit and λ are not the same lever.</w:t>
      </w:r>
    </w:p>
    <w:p>
      <w:pPr>
        <w:pStyle w:val="BodyText"/>
      </w:pPr>
      <w:r>
        <w:rPr>
          <w:b/>
        </w:rPr>
        <w:t xml:space="preserve">The opposite failure, in the same codebase.</w:t>
      </w:r>
      <w:r>
        <w:t xml:space="preserve"> </w:t>
      </w:r>
      <w:r>
        <w:t xml:space="preserve">The release of this pipeline dated</w:t>
      </w:r>
      <w:r>
        <w:t xml:space="preserve"> </w:t>
      </w:r>
      <w:r>
        <w:t xml:space="preserve">2026-08-19 used a different construction of expected richness — a species–area power law</w:t>
      </w:r>
      <w:r>
        <w:t xml:space="preserve"> </w:t>
      </w:r>
      <w:r>
        <w:t xml:space="preserve">with expert weights — whose scale was three orders of magnitude larger than the</w:t>
      </w:r>
      <w:r>
        <w:t xml:space="preserve"> </w:t>
      </w:r>
      <w:r>
        <w:t xml:space="preserve">observation it was subtracted from. Its documented diagnostics were the mirror image of</w:t>
      </w:r>
      <w:r>
        <w:t xml:space="preserve"> </w:t>
      </w:r>
      <w:r>
        <w:t xml:space="preserve">Table 6: correlation between residual and</w:t>
      </w:r>
      <w:r>
        <w:t xml:space="preserve"> </w:t>
      </w:r>
      <w:r>
        <w:rPr>
          <w:i/>
        </w:rPr>
        <w:t xml:space="preserve">expected</w:t>
      </w:r>
      <w:r>
        <w:t xml:space="preserve"> </w:t>
      </w:r>
      <w:r>
        <w:t xml:space="preserve">richness of 0.9987 (Porto), 0.9996</w:t>
      </w:r>
      <w:r>
        <w:t xml:space="preserve"> </w:t>
      </w:r>
      <w:r>
        <w:t xml:space="preserve">(Amsterdam) and 0.9990 (Yokohama), with the observation contributing 0.08–0.26% of the</w:t>
      </w:r>
      <w:r>
        <w:t xml:space="preserve"> </w:t>
      </w:r>
      <w:r>
        <w:t xml:space="preserve">residual’s variance, and 99.99% of cells positive. That is λ ≫ 1. Six months and one</w:t>
      </w:r>
      <w:r>
        <w:t xml:space="preserve"> </w:t>
      </w:r>
      <w:r>
        <w:t xml:space="preserve">respecification later, the same subtraction sits at λ ≪ 1. Both maps looked plausible;</w:t>
      </w:r>
      <w:r>
        <w:t xml:space="preserve"> </w:t>
      </w:r>
      <w:r>
        <w:t xml:space="preserve">both were re-renderings of one input (Fig. 1).</w:t>
      </w:r>
    </w:p>
    <w:p>
      <w:pPr>
        <w:pStyle w:val="Heading3"/>
      </w:pPr>
      <w:bookmarkStart w:id="40" w:name="the-expectation-is-largely-a-map-of-footpaths"/>
      <w:r>
        <w:t xml:space="preserve">3.6 The expectation is largely a map of footpaths</w:t>
      </w:r>
      <w:bookmarkEnd w:id="40"/>
    </w:p>
    <w:p>
      <w:pPr>
        <w:pStyle w:val="FirstParagraph"/>
      </w:pPr>
      <w:r>
        <w:t xml:space="preserve">Effort enters the expected-richness model twice — as the fixed offset log(effort), and</w:t>
      </w:r>
      <w:r>
        <w:t xml:space="preserve"> </w:t>
      </w:r>
      <w:r>
        <w:t xml:space="preserve">again as</w:t>
      </w:r>
      <w:r>
        <w:t xml:space="preserve"> </w:t>
      </w:r>
      <w:r>
        <w:rPr>
          <w:rStyle w:val="VerbatimChar"/>
        </w:rPr>
        <w:t xml:space="preserve">accessibility_component</w:t>
      </w:r>
      <w:r>
        <w:t xml:space="preserve">, which is the same path length rescaled by a constant</w:t>
      </w:r>
      <w:r>
        <w:t xml:space="preserve"> </w:t>
      </w:r>
      <w:r>
        <w:t xml:space="preserve">and fitted as a free covariate. The model can therefore re-estimate the effort</w:t>
      </w:r>
      <w:r>
        <w:t xml:space="preserve"> </w:t>
      </w:r>
      <w:r>
        <w:t xml:space="preserve">adjustment it was supposed to hold fixed, and it does: accessibility is the largest</w:t>
      </w:r>
      <w:r>
        <w:t xml:space="preserve"> </w:t>
      </w:r>
      <w:r>
        <w:t xml:space="preserve">coefficient in three of four cities.</w:t>
      </w:r>
    </w:p>
    <w:p>
      <w:pPr>
        <w:pStyle w:val="BodyText"/>
      </w:pPr>
      <w:r>
        <w:rPr>
          <w:b/>
        </w:rPr>
        <w:t xml:space="preserve">Table 7. Spearman correlation with log(1 + path_local_m), admitted cells.</w:t>
      </w:r>
    </w:p>
    <w:tbl>
      <w:tblPr>
        <w:tblStyle w:val="Table"/>
        <w:tblW w:type="pct" w:w="0.0"/>
        <w:tblLook w:firstRow="1"/>
      </w:tblPr>
      <w:tblGrid/>
      <w:tr>
        <w:trPr>
          <w:cnfStyle w:firstRow="1"/>
        </w:trPr>
        <w:tc>
          <w:tcPr>
            <w:tcBorders>
              <w:bottom w:val="single"/>
            </w:tcBorders>
            <w:vAlign w:val="bottom"/>
          </w:tcPr>
          <w:p>
            <w:pPr>
              <w:pStyle w:val="Compact"/>
            </w:pPr>
          </w:p>
        </w:tc>
        <w:tc>
          <w:tcPr>
            <w:tcBorders>
              <w:bottom w:val="single"/>
            </w:tcBorders>
            <w:vAlign w:val="bottom"/>
          </w:tcPr>
          <w:p>
            <w:pPr>
              <w:pStyle w:val="Compact"/>
              <w:jc w:val="right"/>
            </w:pPr>
            <w:r>
              <w:t xml:space="preserve">Porto</w:t>
            </w:r>
          </w:p>
        </w:tc>
        <w:tc>
          <w:tcPr>
            <w:tcBorders>
              <w:bottom w:val="single"/>
            </w:tcBorders>
            <w:vAlign w:val="bottom"/>
          </w:tcPr>
          <w:p>
            <w:pPr>
              <w:pStyle w:val="Compact"/>
              <w:jc w:val="right"/>
            </w:pPr>
            <w:r>
              <w:t xml:space="preserve">Amsterdam</w:t>
            </w:r>
          </w:p>
        </w:tc>
        <w:tc>
          <w:tcPr>
            <w:tcBorders>
              <w:bottom w:val="single"/>
            </w:tcBorders>
            <w:vAlign w:val="bottom"/>
          </w:tcPr>
          <w:p>
            <w:pPr>
              <w:pStyle w:val="Compact"/>
              <w:jc w:val="right"/>
            </w:pPr>
            <w:r>
              <w:t xml:space="preserve">Gent</w:t>
            </w:r>
          </w:p>
        </w:tc>
        <w:tc>
          <w:tcPr>
            <w:tcBorders>
              <w:bottom w:val="single"/>
            </w:tcBorders>
            <w:vAlign w:val="bottom"/>
          </w:tcPr>
          <w:p>
            <w:pPr>
              <w:pStyle w:val="Compact"/>
              <w:jc w:val="right"/>
            </w:pPr>
            <w:r>
              <w:t xml:space="preserve">Yokohama</w:t>
            </w:r>
          </w:p>
        </w:tc>
      </w:tr>
      <w:tr>
        <w:tc>
          <w:p>
            <w:pPr>
              <w:pStyle w:val="Compact"/>
              <w:jc w:val="left"/>
            </w:pPr>
            <w:r>
              <w:t xml:space="preserve">Expected richness</w:t>
            </w:r>
          </w:p>
        </w:tc>
        <w:tc>
          <w:p>
            <w:pPr>
              <w:pStyle w:val="Compact"/>
              <w:jc w:val="right"/>
            </w:pPr>
            <w:r>
              <w:rPr>
                <w:b/>
              </w:rPr>
              <w:t xml:space="preserve">0.646</w:t>
            </w:r>
          </w:p>
        </w:tc>
        <w:tc>
          <w:p>
            <w:pPr>
              <w:pStyle w:val="Compact"/>
              <w:jc w:val="right"/>
            </w:pPr>
            <w:r>
              <w:rPr>
                <w:b/>
              </w:rPr>
              <w:t xml:space="preserve">0.757</w:t>
            </w:r>
          </w:p>
        </w:tc>
        <w:tc>
          <w:p>
            <w:pPr>
              <w:pStyle w:val="Compact"/>
              <w:jc w:val="right"/>
            </w:pPr>
            <w:r>
              <w:rPr>
                <w:b/>
              </w:rPr>
              <w:t xml:space="preserve">0.891</w:t>
            </w:r>
          </w:p>
        </w:tc>
        <w:tc>
          <w:p>
            <w:pPr>
              <w:pStyle w:val="Compact"/>
              <w:jc w:val="right"/>
            </w:pPr>
            <w:r>
              <w:t xml:space="preserve">0.001</w:t>
            </w:r>
          </w:p>
        </w:tc>
      </w:tr>
      <w:tr>
        <w:tc>
          <w:p>
            <w:pPr>
              <w:pStyle w:val="Compact"/>
              <w:jc w:val="left"/>
            </w:pPr>
            <w:r>
              <w:t xml:space="preserve">Observed (effort-corrected) richness</w:t>
            </w:r>
          </w:p>
        </w:tc>
        <w:tc>
          <w:p>
            <w:pPr>
              <w:pStyle w:val="Compact"/>
              <w:jc w:val="right"/>
            </w:pPr>
            <w:r>
              <w:t xml:space="preserve">0.220</w:t>
            </w:r>
          </w:p>
        </w:tc>
        <w:tc>
          <w:p>
            <w:pPr>
              <w:pStyle w:val="Compact"/>
              <w:jc w:val="right"/>
            </w:pPr>
            <w:r>
              <w:t xml:space="preserve">0.162</w:t>
            </w:r>
          </w:p>
        </w:tc>
        <w:tc>
          <w:p>
            <w:pPr>
              <w:pStyle w:val="Compact"/>
              <w:jc w:val="right"/>
            </w:pPr>
            <w:r>
              <w:t xml:space="preserve">0.179</w:t>
            </w:r>
          </w:p>
        </w:tc>
        <w:tc>
          <w:p>
            <w:pPr>
              <w:pStyle w:val="Compact"/>
              <w:jc w:val="right"/>
            </w:pPr>
            <w:r>
              <w:t xml:space="preserve">0.104</w:t>
            </w:r>
          </w:p>
        </w:tc>
      </w:tr>
      <w:tr>
        <w:tc>
          <w:p>
            <w:pPr>
              <w:pStyle w:val="Compact"/>
              <w:jc w:val="left"/>
            </w:pPr>
            <w:r>
              <w:t xml:space="preserve">Raw species richness</w:t>
            </w:r>
          </w:p>
        </w:tc>
        <w:tc>
          <w:p>
            <w:pPr>
              <w:pStyle w:val="Compact"/>
              <w:jc w:val="right"/>
            </w:pPr>
            <w:r>
              <w:t xml:space="preserve">0.226</w:t>
            </w:r>
          </w:p>
        </w:tc>
        <w:tc>
          <w:p>
            <w:pPr>
              <w:pStyle w:val="Compact"/>
              <w:jc w:val="right"/>
            </w:pPr>
            <w:r>
              <w:t xml:space="preserve">0.166</w:t>
            </w:r>
          </w:p>
        </w:tc>
        <w:tc>
          <w:p>
            <w:pPr>
              <w:pStyle w:val="Compact"/>
              <w:jc w:val="right"/>
            </w:pPr>
            <w:r>
              <w:t xml:space="preserve">0.192</w:t>
            </w:r>
          </w:p>
        </w:tc>
        <w:tc>
          <w:p>
            <w:pPr>
              <w:pStyle w:val="Compact"/>
              <w:jc w:val="right"/>
            </w:pPr>
            <w:r>
              <w:t xml:space="preserve">0.105</w:t>
            </w:r>
          </w:p>
        </w:tc>
      </w:tr>
      <w:tr>
        <w:tc>
          <w:p>
            <w:pPr>
              <w:pStyle w:val="Compact"/>
              <w:jc w:val="left"/>
            </w:pPr>
            <w:r>
              <w:t xml:space="preserve">Ecological residual</w:t>
            </w:r>
          </w:p>
        </w:tc>
        <w:tc>
          <w:p>
            <w:pPr>
              <w:pStyle w:val="Compact"/>
              <w:jc w:val="right"/>
            </w:pPr>
            <w:r>
              <w:t xml:space="preserve">0.329</w:t>
            </w:r>
          </w:p>
        </w:tc>
        <w:tc>
          <w:p>
            <w:pPr>
              <w:pStyle w:val="Compact"/>
              <w:jc w:val="right"/>
            </w:pPr>
            <w:r>
              <w:t xml:space="preserve">0.409</w:t>
            </w:r>
          </w:p>
        </w:tc>
        <w:tc>
          <w:p>
            <w:pPr>
              <w:pStyle w:val="Compact"/>
              <w:jc w:val="right"/>
            </w:pPr>
            <w:r>
              <w:t xml:space="preserve">0.261</w:t>
            </w:r>
          </w:p>
        </w:tc>
        <w:tc>
          <w:p>
            <w:pPr>
              <w:pStyle w:val="Compact"/>
              <w:jc w:val="right"/>
            </w:pPr>
            <w:r>
              <w:t xml:space="preserve">−0.048</w:t>
            </w:r>
          </w:p>
        </w:tc>
      </w:tr>
      <w:tr>
        <w:tc>
          <w:p>
            <w:pPr>
              <w:pStyle w:val="Compact"/>
              <w:jc w:val="left"/>
            </w:pPr>
            <w:r>
              <w:t xml:space="preserve">Nature Gap score</w:t>
            </w:r>
          </w:p>
        </w:tc>
        <w:tc>
          <w:p>
            <w:pPr>
              <w:pStyle w:val="Compact"/>
              <w:jc w:val="right"/>
            </w:pPr>
            <w:r>
              <w:t xml:space="preserve">0.353</w:t>
            </w:r>
          </w:p>
        </w:tc>
        <w:tc>
          <w:p>
            <w:pPr>
              <w:pStyle w:val="Compact"/>
              <w:jc w:val="right"/>
            </w:pPr>
            <w:r>
              <w:t xml:space="preserve">0.088</w:t>
            </w:r>
          </w:p>
        </w:tc>
        <w:tc>
          <w:p>
            <w:pPr>
              <w:pStyle w:val="Compact"/>
              <w:jc w:val="right"/>
            </w:pPr>
            <w:r>
              <w:t xml:space="preserve">0.063</w:t>
            </w:r>
          </w:p>
        </w:tc>
        <w:tc>
          <w:p>
            <w:pPr>
              <w:pStyle w:val="Compact"/>
              <w:jc w:val="right"/>
            </w:pPr>
            <w:r>
              <w:t xml:space="preserve">0.182</w:t>
            </w:r>
          </w:p>
        </w:tc>
      </w:tr>
    </w:tbl>
    <w:p>
      <w:pPr>
        <w:pStyle w:val="BodyText"/>
      </w:pPr>
      <w:r>
        <w:t xml:space="preserve">In Gent, expected richness and pedestrian path density share 79% of their rank variance.</w:t>
      </w:r>
      <w:r>
        <w:t xml:space="preserve"> </w:t>
      </w:r>
      <w:r>
        <w:t xml:space="preserve">Yokohama is the exception (ρ = 0.001) precisely because its fitted accessibility</w:t>
      </w:r>
      <w:r>
        <w:t xml:space="preserve"> </w:t>
      </w:r>
      <w:r>
        <w:t xml:space="preserve">coefficient is near zero (+0.138) — it is the one city where the term failed to take</w:t>
      </w:r>
      <w:r>
        <w:t xml:space="preserve"> </w:t>
      </w:r>
      <w:r>
        <w:t xml:space="preserve">over, and it is also the city with the fewest records.</w:t>
      </w:r>
    </w:p>
    <w:p>
      <w:pPr>
        <w:pStyle w:val="BodyText"/>
      </w:pPr>
      <w:r>
        <w:t xml:space="preserve">So both sides of the subtraction carry the same confounder: the observation is divided</w:t>
      </w:r>
      <w:r>
        <w:t xml:space="preserve"> </w:t>
      </w:r>
      <w:r>
        <w:t xml:space="preserve">by path length, and the expectation is largely predicted by it. Part of what the</w:t>
      </w:r>
      <w:r>
        <w:t xml:space="preserve"> </w:t>
      </w:r>
      <w:r>
        <w:t xml:space="preserve">published Nature Gap maps is where people walk.</w:t>
      </w:r>
    </w:p>
    <w:p>
      <w:pPr>
        <w:pStyle w:val="Heading3"/>
      </w:pPr>
      <w:bookmarkStart w:id="41" w:name="what-the-ranking-actually-selects"/>
      <w:r>
        <w:t xml:space="preserve">3.7 What the ranking actually selects</w:t>
      </w:r>
      <w:bookmarkEnd w:id="41"/>
    </w:p>
    <w:p>
      <w:pPr>
        <w:pStyle w:val="FirstParagraph"/>
      </w:pPr>
      <w:r>
        <w:t xml:space="preserve">Given §3.5, the top of the residual distribution is the set of cells with the fewest</w:t>
      </w:r>
      <w:r>
        <w:t xml:space="preserve"> </w:t>
      </w:r>
      <w:r>
        <w:t xml:space="preserve">records, and that is what it is (Fig. 5a):</w:t>
      </w:r>
    </w:p>
    <w:tbl>
      <w:tblPr>
        <w:tblStyle w:val="Table"/>
        <w:tblW w:type="pct" w:w="0.0"/>
        <w:tblLook w:firstRow="1"/>
      </w:tblPr>
      <w:tblGrid/>
      <w:tr>
        <w:trPr>
          <w:cnfStyle w:firstRow="1"/>
        </w:trPr>
        <w:tc>
          <w:tcPr>
            <w:tcBorders>
              <w:bottom w:val="single"/>
            </w:tcBorders>
            <w:vAlign w:val="bottom"/>
          </w:tcPr>
          <w:p>
            <w:pPr>
              <w:pStyle w:val="Compact"/>
            </w:pPr>
          </w:p>
        </w:tc>
        <w:tc>
          <w:tcPr>
            <w:tcBorders>
              <w:bottom w:val="single"/>
            </w:tcBorders>
            <w:vAlign w:val="bottom"/>
          </w:tcPr>
          <w:p>
            <w:pPr>
              <w:pStyle w:val="Compact"/>
              <w:jc w:val="right"/>
            </w:pPr>
            <w:r>
              <w:t xml:space="preserve">Porto</w:t>
            </w:r>
          </w:p>
        </w:tc>
        <w:tc>
          <w:tcPr>
            <w:tcBorders>
              <w:bottom w:val="single"/>
            </w:tcBorders>
            <w:vAlign w:val="bottom"/>
          </w:tcPr>
          <w:p>
            <w:pPr>
              <w:pStyle w:val="Compact"/>
              <w:jc w:val="right"/>
            </w:pPr>
            <w:r>
              <w:t xml:space="preserve">Amsterdam</w:t>
            </w:r>
          </w:p>
        </w:tc>
        <w:tc>
          <w:tcPr>
            <w:tcBorders>
              <w:bottom w:val="single"/>
            </w:tcBorders>
            <w:vAlign w:val="bottom"/>
          </w:tcPr>
          <w:p>
            <w:pPr>
              <w:pStyle w:val="Compact"/>
              <w:jc w:val="right"/>
            </w:pPr>
            <w:r>
              <w:t xml:space="preserve">Gent</w:t>
            </w:r>
          </w:p>
        </w:tc>
        <w:tc>
          <w:tcPr>
            <w:tcBorders>
              <w:bottom w:val="single"/>
            </w:tcBorders>
            <w:vAlign w:val="bottom"/>
          </w:tcPr>
          <w:p>
            <w:pPr>
              <w:pStyle w:val="Compact"/>
              <w:jc w:val="right"/>
            </w:pPr>
            <w:r>
              <w:t xml:space="preserve">Yokohama</w:t>
            </w:r>
          </w:p>
        </w:tc>
      </w:tr>
      <w:tr>
        <w:tc>
          <w:p>
            <w:pPr>
              <w:pStyle w:val="Compact"/>
              <w:jc w:val="left"/>
            </w:pPr>
            <w:r>
              <w:t xml:space="preserve">Top 1% of residual cells with</w:t>
            </w:r>
            <w:r>
              <w:t xml:space="preserve"> </w:t>
            </w:r>
            <w:r>
              <w:rPr>
                <w:b/>
              </w:rPr>
              <w:t xml:space="preserve">zero</w:t>
            </w:r>
            <w:r>
              <w:t xml:space="preserve"> </w:t>
            </w:r>
            <w:r>
              <w:t xml:space="preserve">species recorded (%)</w:t>
            </w:r>
          </w:p>
        </w:tc>
        <w:tc>
          <w:p>
            <w:pPr>
              <w:pStyle w:val="Compact"/>
              <w:jc w:val="right"/>
            </w:pPr>
            <w:r>
              <w:t xml:space="preserve">80.3</w:t>
            </w:r>
          </w:p>
        </w:tc>
        <w:tc>
          <w:p>
            <w:pPr>
              <w:pStyle w:val="Compact"/>
              <w:jc w:val="right"/>
            </w:pPr>
            <w:r>
              <w:t xml:space="preserve">99.7</w:t>
            </w:r>
          </w:p>
        </w:tc>
        <w:tc>
          <w:p>
            <w:pPr>
              <w:pStyle w:val="Compact"/>
              <w:jc w:val="right"/>
            </w:pPr>
            <w:r>
              <w:t xml:space="preserve">98.6</w:t>
            </w:r>
          </w:p>
        </w:tc>
        <w:tc>
          <w:p>
            <w:pPr>
              <w:pStyle w:val="Compact"/>
              <w:jc w:val="right"/>
            </w:pPr>
            <w:r>
              <w:t xml:space="preserve">100.0</w:t>
            </w:r>
          </w:p>
        </w:tc>
      </w:tr>
      <w:tr>
        <w:tc>
          <w:p>
            <w:pPr>
              <w:pStyle w:val="Compact"/>
              <w:jc w:val="left"/>
            </w:pPr>
            <w:r>
              <w:t xml:space="preserve">Mean habitat quality of those cells</w:t>
            </w:r>
          </w:p>
        </w:tc>
        <w:tc>
          <w:p>
            <w:pPr>
              <w:pStyle w:val="Compact"/>
              <w:jc w:val="right"/>
            </w:pPr>
            <w:r>
              <w:t xml:space="preserve">0.775</w:t>
            </w:r>
          </w:p>
        </w:tc>
        <w:tc>
          <w:p>
            <w:pPr>
              <w:pStyle w:val="Compact"/>
              <w:jc w:val="right"/>
            </w:pPr>
            <w:r>
              <w:t xml:space="preserve">0.776</w:t>
            </w:r>
          </w:p>
        </w:tc>
        <w:tc>
          <w:p>
            <w:pPr>
              <w:pStyle w:val="Compact"/>
              <w:jc w:val="right"/>
            </w:pPr>
            <w:r>
              <w:t xml:space="preserve">0.718</w:t>
            </w:r>
          </w:p>
        </w:tc>
        <w:tc>
          <w:p>
            <w:pPr>
              <w:pStyle w:val="Compact"/>
              <w:jc w:val="right"/>
            </w:pPr>
            <w:r>
              <w:t xml:space="preserve">0.765</w:t>
            </w:r>
          </w:p>
        </w:tc>
      </w:tr>
      <w:tr>
        <w:tc>
          <w:p>
            <w:pPr>
              <w:pStyle w:val="Compact"/>
              <w:jc w:val="left"/>
            </w:pPr>
            <w:r>
              <w:t xml:space="preserve">Cells with a positive intervention score</w:t>
            </w:r>
          </w:p>
        </w:tc>
        <w:tc>
          <w:p>
            <w:pPr>
              <w:pStyle w:val="Compact"/>
              <w:jc w:val="right"/>
            </w:pPr>
            <w:r>
              <w:t xml:space="preserve">5,142</w:t>
            </w:r>
          </w:p>
        </w:tc>
        <w:tc>
          <w:p>
            <w:pPr>
              <w:pStyle w:val="Compact"/>
              <w:jc w:val="right"/>
            </w:pPr>
            <w:r>
              <w:t xml:space="preserve">16,461</w:t>
            </w:r>
          </w:p>
        </w:tc>
        <w:tc>
          <w:p>
            <w:pPr>
              <w:pStyle w:val="Compact"/>
              <w:jc w:val="right"/>
            </w:pPr>
            <w:r>
              <w:t xml:space="preserve">15,697</w:t>
            </w:r>
          </w:p>
        </w:tc>
        <w:tc>
          <w:p>
            <w:pPr>
              <w:pStyle w:val="Compact"/>
              <w:jc w:val="right"/>
            </w:pPr>
            <w:r>
              <w:t xml:space="preserve">7,314</w:t>
            </w:r>
          </w:p>
        </w:tc>
      </w:tr>
      <w:tr>
        <w:tc>
          <w:p>
            <w:pPr>
              <w:pStyle w:val="Compact"/>
              <w:jc w:val="left"/>
            </w:pPr>
            <w:r>
              <w:t xml:space="preserve">Mean species richness of the exported top-20</w:t>
            </w:r>
          </w:p>
        </w:tc>
        <w:tc>
          <w:p>
            <w:pPr>
              <w:pStyle w:val="Compact"/>
              <w:jc w:val="right"/>
            </w:pPr>
            <w:r>
              <w:t xml:space="preserve">0.40</w:t>
            </w:r>
          </w:p>
        </w:tc>
        <w:tc>
          <w:p>
            <w:pPr>
              <w:pStyle w:val="Compact"/>
              <w:jc w:val="right"/>
            </w:pPr>
            <w:r>
              <w:t xml:space="preserve">0.00</w:t>
            </w:r>
          </w:p>
        </w:tc>
        <w:tc>
          <w:p>
            <w:pPr>
              <w:pStyle w:val="Compact"/>
              <w:jc w:val="right"/>
            </w:pPr>
            <w:r>
              <w:t xml:space="preserve">0.00</w:t>
            </w:r>
          </w:p>
        </w:tc>
        <w:tc>
          <w:p>
            <w:pPr>
              <w:pStyle w:val="Compact"/>
              <w:jc w:val="right"/>
            </w:pPr>
            <w:r>
              <w:t xml:space="preserve">0.00</w:t>
            </w:r>
          </w:p>
        </w:tc>
      </w:tr>
      <w:tr>
        <w:tc>
          <w:p>
            <w:pPr>
              <w:pStyle w:val="Compact"/>
              <w:jc w:val="left"/>
            </w:pPr>
            <w:r>
              <w:t xml:space="preserve">Mean habitat quality of the exported top-20</w:t>
            </w:r>
          </w:p>
        </w:tc>
        <w:tc>
          <w:p>
            <w:pPr>
              <w:pStyle w:val="Compact"/>
              <w:jc w:val="right"/>
            </w:pPr>
            <w:r>
              <w:t xml:space="preserve">0.852</w:t>
            </w:r>
          </w:p>
        </w:tc>
        <w:tc>
          <w:p>
            <w:pPr>
              <w:pStyle w:val="Compact"/>
              <w:jc w:val="right"/>
            </w:pPr>
            <w:r>
              <w:t xml:space="preserve">0.809</w:t>
            </w:r>
          </w:p>
        </w:tc>
        <w:tc>
          <w:p>
            <w:pPr>
              <w:pStyle w:val="Compact"/>
              <w:jc w:val="right"/>
            </w:pPr>
            <w:r>
              <w:t xml:space="preserve">0.843</w:t>
            </w:r>
          </w:p>
        </w:tc>
        <w:tc>
          <w:p>
            <w:pPr>
              <w:pStyle w:val="Compact"/>
              <w:jc w:val="right"/>
            </w:pPr>
            <w:r>
              <w:t xml:space="preserve">0.792</w:t>
            </w:r>
          </w:p>
        </w:tc>
      </w:tr>
    </w:tbl>
    <w:p>
      <w:pPr>
        <w:pStyle w:val="BodyText"/>
      </w:pPr>
      <w:r>
        <w:t xml:space="preserve">The 20 cells exported for action in Amsterdam, Gent and Yokohama contain, between them,</w:t>
      </w:r>
      <w:r>
        <w:t xml:space="preserve"> </w:t>
      </w:r>
      <w:r>
        <w:t xml:space="preserve">zero recorded species. Their habitat quality (0.79–0.85) sits far above the city medians</w:t>
      </w:r>
      <w:r>
        <w:t xml:space="preserve"> </w:t>
      </w:r>
      <w:r>
        <w:t xml:space="preserve">(0.45–0.64). The ranking is selecting well-vegetated cells that nobody has surveyed —</w:t>
      </w:r>
      <w:r>
        <w:t xml:space="preserve"> </w:t>
      </w:r>
      <w:r>
        <w:t xml:space="preserve">which is a defensible list of</w:t>
      </w:r>
      <w:r>
        <w:t xml:space="preserve"> </w:t>
      </w:r>
      <w:r>
        <w:rPr>
          <w:i/>
        </w:rPr>
        <w:t xml:space="preserve">places to go and look</w:t>
      </w:r>
      <w:r>
        <w:t xml:space="preserve">, and is being published as a list</w:t>
      </w:r>
      <w:r>
        <w:t xml:space="preserve"> </w:t>
      </w:r>
      <w:r>
        <w:t xml:space="preserve">of</w:t>
      </w:r>
      <w:r>
        <w:t xml:space="preserve"> </w:t>
      </w:r>
      <w:r>
        <w:rPr>
          <w:i/>
        </w:rPr>
        <w:t xml:space="preserve">places where nature is missing</w:t>
      </w:r>
      <w:r>
        <w:t xml:space="preserve">.</w:t>
      </w:r>
    </w:p>
    <w:p>
      <w:pPr>
        <w:pStyle w:val="BodyText"/>
      </w:pPr>
      <w:r>
        <w:rPr>
          <w:b/>
        </w:rPr>
        <w:t xml:space="preserve">Stability.</w:t>
      </w:r>
      <w:r>
        <w:t xml:space="preserve"> </w:t>
      </w:r>
      <w:r>
        <w:t xml:space="preserve">Recomputing the whole chain across the six values of the uncalibrated</w:t>
      </w:r>
      <w:r>
        <w:t xml:space="preserve"> </w:t>
      </w:r>
      <w:r>
        <w:t xml:space="preserve">dispersal-cost ceiling, the share of each city’s baseline top-20 that survives every</w:t>
      </w:r>
      <w:r>
        <w:t xml:space="preserve"> </w:t>
      </w:r>
      <w:r>
        <w:t xml:space="preserve">value is 10/20 (Porto), 12/20 (Yokohama), 4/20 (Amsterdam) and</w:t>
      </w:r>
      <w:r>
        <w:t xml:space="preserve"> </w:t>
      </w:r>
      <w:r>
        <w:rPr>
          <w:b/>
        </w:rPr>
        <w:t xml:space="preserve">0/20 (Gent)</w:t>
      </w:r>
      <w:r>
        <w:t xml:space="preserve"> </w:t>
      </w:r>
      <w:r>
        <w:t xml:space="preserve">(Fig. 5b). Not one cell on Gent’s published action list is robust to a parameter for</w:t>
      </w:r>
      <w:r>
        <w:t xml:space="preserve"> </w:t>
      </w:r>
      <w:r>
        <w:t xml:space="preserve">which no calibrated value exists.</w:t>
      </w:r>
    </w:p>
    <w:p>
      <w:pPr>
        <w:pStyle w:val="BodyText"/>
      </w:pPr>
      <w:r>
        <w:rPr>
          <w:b/>
        </w:rPr>
        <w:t xml:space="preserve">How this reaches users.</w:t>
      </w:r>
      <w:r>
        <w:t xml:space="preserve"> </w:t>
      </w:r>
      <w:r>
        <w:t xml:space="preserve">The five-band Nature Gap scale partitions the four cities</w:t>
      </w:r>
      <w:r>
        <w:t xml:space="preserve"> </w:t>
      </w:r>
      <w:r>
        <w:t xml:space="preserve">completely differently despite fixed thresholds — Yokohama places 77.2% of cells in</w:t>
      </w:r>
      <w:r>
        <w:t xml:space="preserve"> </w:t>
      </w:r>
      <w:r>
        <w:rPr>
          <w:rStyle w:val="VerbatimChar"/>
        </w:rPr>
        <w:t xml:space="preserve">as-expected</w:t>
      </w:r>
      <w:r>
        <w:t xml:space="preserve"> </w:t>
      </w:r>
      <w:r>
        <w:t xml:space="preserve">against Gent’s 17.1% — so the bands are not comparable between cities even</w:t>
      </w:r>
      <w:r>
        <w:t xml:space="preserve"> </w:t>
      </w:r>
      <w:r>
        <w:t xml:space="preserve">though they are drawn with the same colours on the same legend. More consequentially, at</w:t>
      </w:r>
      <w:r>
        <w:t xml:space="preserve"> </w:t>
      </w:r>
      <w:r>
        <w:t xml:space="preserve">park level</w:t>
      </w:r>
      <w:r>
        <w:t xml:space="preserve"> </w:t>
      </w:r>
      <w:r>
        <w:rPr>
          <w:b/>
        </w:rPr>
        <w:t xml:space="preserve">every unscored park is published as</w:t>
      </w:r>
      <w:r>
        <w:rPr>
          <w:b/>
        </w:rPr>
        <w:t xml:space="preserve"> </w:t>
      </w:r>
      <w:r>
        <w:rPr>
          <w:rStyle w:val="VerbatimChar"/>
          <w:b/>
        </w:rPr>
        <w:t xml:space="preserve">as-expected</w:t>
      </w:r>
      <w:r>
        <w:t xml:space="preserve">: 3,440 of Porto’s 5,254</w:t>
      </w:r>
      <w:r>
        <w:t xml:space="preserve"> </w:t>
      </w:r>
      <w:r>
        <w:t xml:space="preserve">parks (65.5%), 4,680 of Gent’s 5,648 (82.9%), 322 of Amsterdam’s 767 (42.0%) and 264 of</w:t>
      </w:r>
      <w:r>
        <w:t xml:space="preserve"> </w:t>
      </w:r>
      <w:r>
        <w:t xml:space="preserve">Yokohama’s 608 (43.4%). Absence of data is rendered to the public as absence of a</w:t>
      </w:r>
      <w:r>
        <w:t xml:space="preserve"> </w:t>
      </w:r>
      <w:r>
        <w:t xml:space="preserve">problem, in the same colour as a park that was measured and found typical.</w:t>
      </w:r>
    </w:p>
    <w:p>
      <w:pPr>
        <w:pStyle w:val="CaptionedFigure"/>
      </w:pPr>
      <w:r>
        <w:drawing>
          <wp:inline>
            <wp:extent cx="5334000" cy="2081560"/>
            <wp:effectExtent b="0" l="0" r="0" t="0"/>
            <wp:docPr descr="Figure 5. (a) Share of the top 1% of residual cells with zero recorded species. (b) Number of each city’s baseline top-20 intervention cells that remain in the top 20 at all six values of the dispersal-cost ceiling." title="" id="1" name="Picture"/>
            <a:graphic>
              <a:graphicData uri="http://schemas.openxmlformats.org/drawingml/2006/picture">
                <pic:pic>
                  <pic:nvPicPr>
                    <pic:cNvPr descr="figures/fig5_ranking.png" id="0" name="Picture"/>
                    <pic:cNvPicPr>
                      <a:picLocks noChangeArrowheads="1" noChangeAspect="1"/>
                    </pic:cNvPicPr>
                  </pic:nvPicPr>
                  <pic:blipFill>
                    <a:blip r:embed="rId42"/>
                    <a:stretch>
                      <a:fillRect/>
                    </a:stretch>
                  </pic:blipFill>
                  <pic:spPr bwMode="auto">
                    <a:xfrm>
                      <a:off x="0" y="0"/>
                      <a:ext cx="5334000" cy="2081560"/>
                    </a:xfrm>
                    <a:prstGeom prst="rect">
                      <a:avLst/>
                    </a:prstGeom>
                    <a:noFill/>
                    <a:ln w="9525">
                      <a:noFill/>
                      <a:headEnd/>
                      <a:tailEnd/>
                    </a:ln>
                  </pic:spPr>
                </pic:pic>
              </a:graphicData>
            </a:graphic>
          </wp:inline>
        </w:drawing>
      </w:r>
    </w:p>
    <w:p>
      <w:pPr>
        <w:pStyle w:val="ImageCaption"/>
      </w:pPr>
      <w:r>
        <w:t xml:space="preserve">Figure 5. (a) Share of the top 1% of residual cells with zero recorded species. (b) Number of each city’s baseline top-20 intervention cells that remain in the top 20 at all six values of the dispersal-cost ceiling.</w:t>
      </w:r>
    </w:p>
    <w:p>
      <w:pPr>
        <w:pStyle w:val="Heading3"/>
      </w:pPr>
      <w:bookmarkStart w:id="43" w:name="grain"/>
      <w:r>
        <w:t xml:space="preserve">3.8 Grain</w:t>
      </w:r>
      <w:bookmarkEnd w:id="43"/>
    </w:p>
    <w:p>
      <w:pPr>
        <w:pStyle w:val="FirstParagraph"/>
      </w:pPr>
      <w:r>
        <w:t xml:space="preserve">The pipeline’s own grain sweep refits the specification on square blocks from 20 m to</w:t>
      </w:r>
      <w:r>
        <w:t xml:space="preserve"> </w:t>
      </w:r>
      <w:r>
        <w:t xml:space="preserve">1,000 m, recomputing richness from the observation points at each grain. Explained</w:t>
      </w:r>
      <w:r>
        <w:t xml:space="preserve"> </w:t>
      </w:r>
      <w:r>
        <w:t xml:space="preserve">deviance rises with aggregation, but the habitat coefficient — the diagnostic that</w:t>
      </w:r>
      <w:r>
        <w:t xml:space="preserve"> </w:t>
      </w:r>
      <w:r>
        <w:t xml:space="preserve">matters — does not become interpretable everywhere:</w:t>
      </w:r>
    </w:p>
    <w:p>
      <w:pPr>
        <w:pStyle w:val="BodyText"/>
      </w:pPr>
      <w:r>
        <w:rPr>
          <w:b/>
        </w:rPr>
        <w:t xml:space="preserve">Table 8. Explained deviance / habitat coefficient by grain</w:t>
      </w:r>
      <w:r>
        <w:t xml:space="preserve"> </w:t>
      </w:r>
      <w:r>
        <w:t xml:space="preserve">(source: pipeline</w:t>
      </w:r>
      <w:r>
        <w:t xml:space="preserve"> </w:t>
      </w:r>
      <w:r>
        <w:t xml:space="preserve">sensitivity run,</w:t>
      </w:r>
      <w:r>
        <w:t xml:space="preserve"> </w:t>
      </w:r>
      <w:r>
        <w:rPr>
          <w:rStyle w:val="VerbatimChar"/>
        </w:rPr>
        <w:t xml:space="preserve">sweep_grain_scale.R</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Grain</w:t>
            </w:r>
          </w:p>
        </w:tc>
        <w:tc>
          <w:tcPr>
            <w:tcBorders>
              <w:bottom w:val="single"/>
            </w:tcBorders>
            <w:vAlign w:val="bottom"/>
          </w:tcPr>
          <w:p>
            <w:pPr>
              <w:pStyle w:val="Compact"/>
              <w:jc w:val="left"/>
            </w:pPr>
            <w:r>
              <w:t xml:space="preserve">Porto</w:t>
            </w:r>
          </w:p>
        </w:tc>
        <w:tc>
          <w:tcPr>
            <w:tcBorders>
              <w:bottom w:val="single"/>
            </w:tcBorders>
            <w:vAlign w:val="bottom"/>
          </w:tcPr>
          <w:p>
            <w:pPr>
              <w:pStyle w:val="Compact"/>
              <w:jc w:val="left"/>
            </w:pPr>
            <w:r>
              <w:t xml:space="preserve">Amsterdam</w:t>
            </w:r>
          </w:p>
        </w:tc>
        <w:tc>
          <w:tcPr>
            <w:tcBorders>
              <w:bottom w:val="single"/>
            </w:tcBorders>
            <w:vAlign w:val="bottom"/>
          </w:tcPr>
          <w:p>
            <w:pPr>
              <w:pStyle w:val="Compact"/>
              <w:jc w:val="left"/>
            </w:pPr>
            <w:r>
              <w:t xml:space="preserve">Gent</w:t>
            </w:r>
          </w:p>
        </w:tc>
        <w:tc>
          <w:tcPr>
            <w:tcBorders>
              <w:bottom w:val="single"/>
            </w:tcBorders>
            <w:vAlign w:val="bottom"/>
          </w:tcPr>
          <w:p>
            <w:pPr>
              <w:pStyle w:val="Compact"/>
              <w:jc w:val="left"/>
            </w:pPr>
            <w:r>
              <w:t xml:space="preserve">Yokohama</w:t>
            </w:r>
          </w:p>
        </w:tc>
      </w:tr>
      <w:tr>
        <w:tc>
          <w:p>
            <w:pPr>
              <w:pStyle w:val="Compact"/>
              <w:jc w:val="left"/>
            </w:pPr>
            <w:r>
              <w:t xml:space="preserve">20 m</w:t>
            </w:r>
          </w:p>
        </w:tc>
        <w:tc>
          <w:p>
            <w:pPr>
              <w:pStyle w:val="Compact"/>
              <w:jc w:val="left"/>
            </w:pPr>
            <w:r>
              <w:t xml:space="preserve">0.069 / +2.85</w:t>
            </w:r>
          </w:p>
        </w:tc>
        <w:tc>
          <w:p>
            <w:pPr>
              <w:pStyle w:val="Compact"/>
              <w:jc w:val="left"/>
            </w:pPr>
            <w:r>
              <w:t xml:space="preserve">0.029 / +1.31</w:t>
            </w:r>
          </w:p>
        </w:tc>
        <w:tc>
          <w:p>
            <w:pPr>
              <w:pStyle w:val="Compact"/>
              <w:jc w:val="left"/>
            </w:pPr>
            <w:r>
              <w:t xml:space="preserve">0.008 / −0.15</w:t>
            </w:r>
          </w:p>
        </w:tc>
        <w:tc>
          <w:p>
            <w:pPr>
              <w:pStyle w:val="Compact"/>
              <w:jc w:val="left"/>
            </w:pPr>
            <w:r>
              <w:t xml:space="preserve">0.079 / +3.88</w:t>
            </w:r>
          </w:p>
        </w:tc>
      </w:tr>
      <w:tr>
        <w:tc>
          <w:p>
            <w:pPr>
              <w:pStyle w:val="Compact"/>
              <w:jc w:val="left"/>
            </w:pPr>
            <w:r>
              <w:t xml:space="preserve">100 m</w:t>
            </w:r>
          </w:p>
        </w:tc>
        <w:tc>
          <w:p>
            <w:pPr>
              <w:pStyle w:val="Compact"/>
              <w:jc w:val="left"/>
            </w:pPr>
            <w:r>
              <w:t xml:space="preserve">0.219 / +2.70</w:t>
            </w:r>
          </w:p>
        </w:tc>
        <w:tc>
          <w:p>
            <w:pPr>
              <w:pStyle w:val="Compact"/>
              <w:jc w:val="left"/>
            </w:pPr>
            <w:r>
              <w:t xml:space="preserve">0.043 / +0.23</w:t>
            </w:r>
          </w:p>
        </w:tc>
        <w:tc>
          <w:p>
            <w:pPr>
              <w:pStyle w:val="Compact"/>
              <w:jc w:val="left"/>
            </w:pPr>
            <w:r>
              <w:t xml:space="preserve">0.020 / −1.86</w:t>
            </w:r>
          </w:p>
        </w:tc>
        <w:tc>
          <w:p>
            <w:pPr>
              <w:pStyle w:val="Compact"/>
              <w:jc w:val="left"/>
            </w:pPr>
            <w:r>
              <w:t xml:space="preserve">0.082 / +4.59</w:t>
            </w:r>
          </w:p>
        </w:tc>
      </w:tr>
      <w:tr>
        <w:tc>
          <w:p>
            <w:pPr>
              <w:pStyle w:val="Compact"/>
              <w:jc w:val="left"/>
            </w:pPr>
            <w:r>
              <w:t xml:space="preserve">200 m</w:t>
            </w:r>
          </w:p>
        </w:tc>
        <w:tc>
          <w:p>
            <w:pPr>
              <w:pStyle w:val="Compact"/>
              <w:jc w:val="left"/>
            </w:pPr>
            <w:r>
              <w:t xml:space="preserve">0.244 / +2.03</w:t>
            </w:r>
          </w:p>
        </w:tc>
        <w:tc>
          <w:p>
            <w:pPr>
              <w:pStyle w:val="Compact"/>
              <w:jc w:val="left"/>
            </w:pPr>
            <w:r>
              <w:t xml:space="preserve">0.013 / +1.33</w:t>
            </w:r>
          </w:p>
        </w:tc>
        <w:tc>
          <w:p>
            <w:pPr>
              <w:pStyle w:val="Compact"/>
              <w:jc w:val="left"/>
            </w:pPr>
            <w:r>
              <w:t xml:space="preserve">0.045 / −2.73</w:t>
            </w:r>
          </w:p>
        </w:tc>
        <w:tc>
          <w:p>
            <w:pPr>
              <w:pStyle w:val="Compact"/>
              <w:jc w:val="left"/>
            </w:pPr>
            <w:r>
              <w:t xml:space="preserve">0.128 / +4.09</w:t>
            </w:r>
          </w:p>
        </w:tc>
      </w:tr>
      <w:tr>
        <w:tc>
          <w:p>
            <w:pPr>
              <w:pStyle w:val="Compact"/>
              <w:jc w:val="left"/>
            </w:pPr>
            <w:r>
              <w:t xml:space="preserve">500 m</w:t>
            </w:r>
          </w:p>
        </w:tc>
        <w:tc>
          <w:p>
            <w:pPr>
              <w:pStyle w:val="Compact"/>
              <w:jc w:val="left"/>
            </w:pPr>
            <w:r>
              <w:t xml:space="preserve">0.244 / +1.50</w:t>
            </w:r>
          </w:p>
        </w:tc>
        <w:tc>
          <w:p>
            <w:pPr>
              <w:pStyle w:val="Compact"/>
              <w:jc w:val="left"/>
            </w:pPr>
            <w:r>
              <w:t xml:space="preserve">0.008 / +0.27</w:t>
            </w:r>
          </w:p>
        </w:tc>
        <w:tc>
          <w:p>
            <w:pPr>
              <w:pStyle w:val="Compact"/>
              <w:jc w:val="left"/>
            </w:pPr>
            <w:r>
              <w:t xml:space="preserve">0.077 / −2.50</w:t>
            </w:r>
          </w:p>
        </w:tc>
        <w:tc>
          <w:p>
            <w:pPr>
              <w:pStyle w:val="Compact"/>
              <w:jc w:val="left"/>
            </w:pPr>
            <w:r>
              <w:t xml:space="preserve">0.203 / +3.26</w:t>
            </w:r>
          </w:p>
        </w:tc>
      </w:tr>
      <w:tr>
        <w:tc>
          <w:p>
            <w:pPr>
              <w:pStyle w:val="Compact"/>
              <w:jc w:val="left"/>
            </w:pPr>
            <w:r>
              <w:t xml:space="preserve">1000 m</w:t>
            </w:r>
          </w:p>
        </w:tc>
        <w:tc>
          <w:p>
            <w:pPr>
              <w:pStyle w:val="Compact"/>
              <w:jc w:val="left"/>
            </w:pPr>
            <w:r>
              <w:t xml:space="preserve">0.321 / +1.60</w:t>
            </w:r>
          </w:p>
        </w:tc>
        <w:tc>
          <w:p>
            <w:pPr>
              <w:pStyle w:val="Compact"/>
              <w:jc w:val="left"/>
            </w:pPr>
            <w:r>
              <w:t xml:space="preserve">0.054 / −0.06</w:t>
            </w:r>
          </w:p>
        </w:tc>
        <w:tc>
          <w:p>
            <w:pPr>
              <w:pStyle w:val="Compact"/>
              <w:jc w:val="left"/>
            </w:pPr>
            <w:r>
              <w:t xml:space="preserve">0.198 / −2.59</w:t>
            </w:r>
          </w:p>
        </w:tc>
        <w:tc>
          <w:p>
            <w:pPr>
              <w:pStyle w:val="Compact"/>
              <w:jc w:val="left"/>
            </w:pPr>
            <w:r>
              <w:t xml:space="preserve">0.482 / +4.74</w:t>
            </w:r>
          </w:p>
        </w:tc>
      </w:tr>
    </w:tbl>
    <w:p>
      <w:pPr>
        <w:pStyle w:val="BodyText"/>
      </w:pPr>
      <w:r>
        <w:t xml:space="preserve">Aggregation removes the zero-inflation (from 54–94% of units at 20 m to near zero by</w:t>
      </w:r>
      <w:r>
        <w:t xml:space="preserve"> </w:t>
      </w:r>
      <w:r>
        <w:t xml:space="preserve">500 m) and, in Porto and Yokohama, recovers a stable positive habitat effect. In Gent it</w:t>
      </w:r>
      <w:r>
        <w:t xml:space="preserve"> </w:t>
      </w:r>
      <w:r>
        <w:t xml:space="preserve">buys a better fit to a model whose habitat term runs backwards at every grain, and in</w:t>
      </w:r>
      <w:r>
        <w:t xml:space="preserve"> </w:t>
      </w:r>
      <w:r>
        <w:t xml:space="preserve">Amsterdam the sign changes four times. Dispersion does not improve with grain in any</w:t>
      </w:r>
      <w:r>
        <w:t xml:space="preserve"> </w:t>
      </w:r>
      <w:r>
        <w:t xml:space="preserve">city. Coarser reporting is therefore defensible in Porto, provisional in Yokohama, and</w:t>
      </w:r>
      <w:r>
        <w:t xml:space="preserve"> </w:t>
      </w:r>
      <w:r>
        <w:t xml:space="preserve">not defensible in Gent or Amsterdam at any grain tested — the validity of the metric is</w:t>
      </w:r>
      <w:r>
        <w:t xml:space="preserve"> </w:t>
      </w:r>
      <w:r>
        <w:t xml:space="preserve">city-dependent, and cannot be claimed as one uniform methodology across four cities.</w:t>
      </w:r>
    </w:p>
    <w:p>
      <w:r>
        <w:pict>
          <v:rect style="width:0;height:1.5pt" o:hralign="center" o:hrstd="t" o:hr="t"/>
        </w:pict>
      </w:r>
    </w:p>
    <w:p>
      <w:pPr>
        <w:pStyle w:val="Heading2"/>
      </w:pPr>
      <w:bookmarkStart w:id="44" w:name="discussion"/>
      <w:r>
        <w:t xml:space="preserve">4. Discussion</w:t>
      </w:r>
      <w:bookmarkEnd w:id="44"/>
    </w:p>
    <w:p>
      <w:pPr>
        <w:pStyle w:val="Heading3"/>
      </w:pPr>
      <w:bookmarkStart w:id="45" w:name="the-variance-condition-and-why-fit-statistics-miss-it"/>
      <w:r>
        <w:t xml:space="preserve">4.1 The variance condition, and why fit statistics miss it</w:t>
      </w:r>
      <w:bookmarkEnd w:id="45"/>
    </w:p>
    <w:p>
      <w:pPr>
        <w:pStyle w:val="FirstParagraph"/>
      </w:pPr>
      <w:r>
        <w:t xml:space="preserve">The result in §2.7 is elementary and that is the point. Any difference between a fitted</w:t>
      </w:r>
      <w:r>
        <w:t xml:space="preserve"> </w:t>
      </w:r>
      <w:r>
        <w:t xml:space="preserve">value and an observation is governed by equation (1), and equation (1) has no</w:t>
      </w:r>
      <w:r>
        <w:t xml:space="preserve"> </w:t>
      </w:r>
      <w:r>
        <w:t xml:space="preserve">informative regime except λ ≈ 1. The two failure modes are worth naming because they</w:t>
      </w:r>
      <w:r>
        <w:t xml:space="preserve"> </w:t>
      </w:r>
      <w:r>
        <w:t xml:space="preserve">present so differently to a reader:</w:t>
      </w:r>
    </w:p>
    <w:p>
      <w:pPr>
        <w:pStyle w:val="Compact"/>
        <w:numPr>
          <w:numId w:val="1003"/>
          <w:ilvl w:val="0"/>
        </w:numPr>
      </w:pPr>
      <w:r>
        <w:rPr>
          <w:b/>
        </w:rPr>
        <w:t xml:space="preserve">λ ≫ 1 — the map reproduces the model.</w:t>
      </w:r>
      <w:r>
        <w:t xml:space="preserve"> </w:t>
      </w:r>
      <w:r>
        <w:t xml:space="preserve">Every high-quality cell shows a large gap;</w:t>
      </w:r>
      <w:r>
        <w:t xml:space="preserve"> </w:t>
      </w:r>
      <w:r>
        <w:t xml:space="preserve">the map looks ecologically sensible, because it</w:t>
      </w:r>
      <w:r>
        <w:t xml:space="preserve"> </w:t>
      </w:r>
      <w:r>
        <w:rPr>
          <w:i/>
        </w:rPr>
        <w:t xml:space="preserve">is</w:t>
      </w:r>
      <w:r>
        <w:t xml:space="preserve"> </w:t>
      </w:r>
      <w:r>
        <w:t xml:space="preserve">the habitat model. The published</w:t>
      </w:r>
      <w:r>
        <w:t xml:space="preserve"> </w:t>
      </w:r>
      <w:r>
        <w:t xml:space="preserve">ranking selects the best habitat and calls it the biggest shortfall. This is what the</w:t>
      </w:r>
      <w:r>
        <w:t xml:space="preserve"> </w:t>
      </w:r>
      <w:r>
        <w:t xml:space="preserve">2026-08-19 release did, with residual–expectation correlations of 0.9987–0.9996.</w:t>
      </w:r>
    </w:p>
    <w:p>
      <w:pPr>
        <w:pStyle w:val="Compact"/>
        <w:numPr>
          <w:numId w:val="1003"/>
          <w:ilvl w:val="0"/>
        </w:numPr>
      </w:pPr>
      <w:r>
        <w:rPr>
          <w:b/>
        </w:rPr>
        <w:t xml:space="preserve">λ ≪ 1 — the map reproduces the data.</w:t>
      </w:r>
      <w:r>
        <w:t xml:space="preserve"> </w:t>
      </w:r>
      <w:r>
        <w:t xml:space="preserve">Every unrecorded cell shows a large gap; the</w:t>
      </w:r>
      <w:r>
        <w:t xml:space="preserve"> </w:t>
      </w:r>
      <w:r>
        <w:t xml:space="preserve">map looks like a plausible patchwork of pressure, because it</w:t>
      </w:r>
      <w:r>
        <w:t xml:space="preserve"> </w:t>
      </w:r>
      <w:r>
        <w:rPr>
          <w:i/>
        </w:rPr>
        <w:t xml:space="preserve">is</w:t>
      </w:r>
      <w:r>
        <w:t xml:space="preserve"> </w:t>
      </w:r>
      <w:r>
        <w:t xml:space="preserve">the inverse sampling</w:t>
      </w:r>
      <w:r>
        <w:t xml:space="preserve"> </w:t>
      </w:r>
      <w:r>
        <w:t xml:space="preserve">map. This is what the current release does, at λ = 0.00018–0.028.</w:t>
      </w:r>
    </w:p>
    <w:p>
      <w:pPr>
        <w:pStyle w:val="FirstParagraph"/>
      </w:pPr>
      <w:r>
        <w:t xml:space="preserve">Neither is detectable from a fit statistic. Porto’s model explains 14.05% of deviance in</w:t>
      </w:r>
      <w:r>
        <w:t xml:space="preserve"> </w:t>
      </w:r>
      <w:r>
        <w:t xml:space="preserve">sample and 12.04% out of sample — an unremarkable but real fit, the kind that appears in</w:t>
      </w:r>
      <w:r>
        <w:t xml:space="preserve"> </w:t>
      </w:r>
      <w:r>
        <w:t xml:space="preserve">published maps without comment — and its residual still shares 97.1% of its variance with</w:t>
      </w:r>
      <w:r>
        <w:t xml:space="preserve"> </w:t>
      </w:r>
      <w:r>
        <w:t xml:space="preserve">the observation. Reporting D² alone tells the reader how well Ŷ tracks Y; λ tells them</w:t>
      </w:r>
      <w:r>
        <w:t xml:space="preserve"> </w:t>
      </w:r>
      <w:r>
        <w:t xml:space="preserve">what Ŷ − Y is made of. They are different questions and the second is the one a map</w:t>
      </w:r>
      <w:r>
        <w:t xml:space="preserve"> </w:t>
      </w:r>
      <w:r>
        <w:t xml:space="preserve">answers.</w:t>
      </w:r>
    </w:p>
    <w:p>
      <w:pPr>
        <w:pStyle w:val="BodyText"/>
      </w:pPr>
      <w:r>
        <w:t xml:space="preserve">Practically:</w:t>
      </w:r>
      <w:r>
        <w:t xml:space="preserve"> </w:t>
      </w:r>
      <w:r>
        <w:rPr>
          <w:b/>
        </w:rPr>
        <w:t xml:space="preserve">compute λ, report it, and if λ &lt; 0.25 do not publish the difference.</w:t>
      </w:r>
      <w:r>
        <w:t xml:space="preserve"> </w:t>
      </w:r>
      <w:r>
        <w:t xml:space="preserve">Publish the observation and the model separately, which is what the difference contains</w:t>
      </w:r>
      <w:r>
        <w:t xml:space="preserve"> </w:t>
      </w:r>
      <w:r>
        <w:t xml:space="preserve">anyway, and say so.</w:t>
      </w:r>
    </w:p>
    <w:p>
      <w:pPr>
        <w:pStyle w:val="Heading3"/>
      </w:pPr>
      <w:bookmarkStart w:id="46" w:name="why-fine-grain-makes-λ-1-almost-inevitable"/>
      <w:r>
        <w:t xml:space="preserve">4.2 Why fine grain makes λ ≪ 1 almost inevitable</w:t>
      </w:r>
      <w:bookmarkEnd w:id="46"/>
    </w:p>
    <w:p>
      <w:pPr>
        <w:pStyle w:val="FirstParagraph"/>
      </w:pPr>
      <w:r>
        <w:t xml:space="preserve">The mechanism is a chain, and each link is measured above. At 20 m, cells are small</w:t>
      </w:r>
      <w:r>
        <w:t xml:space="preserve"> </w:t>
      </w:r>
      <w:r>
        <w:t xml:space="preserve">enough that 64.6–96.1% of admitted cells hold no species at all (§3.1). A response that</w:t>
      </w:r>
      <w:r>
        <w:t xml:space="preserve"> </w:t>
      </w:r>
      <w:r>
        <w:t xml:space="preserve">is mostly zero cannot be fitted: dispersion reaches 103–302 and out-of-sample deviance</w:t>
      </w:r>
      <w:r>
        <w:t xml:space="preserve"> </w:t>
      </w:r>
      <w:r>
        <w:t xml:space="preserve">falls to 0.0009–0.12 (§3.4). A model that explains little produces fitted values that</w:t>
      </w:r>
      <w:r>
        <w:t xml:space="preserve"> </w:t>
      </w:r>
      <w:r>
        <w:t xml:space="preserve">shrink hard toward the mean, so Var(Ŷ) collapses relative to Var(Y) — in Amsterdam by a</w:t>
      </w:r>
      <w:r>
        <w:t xml:space="preserve"> </w:t>
      </w:r>
      <w:r>
        <w:t xml:space="preserve">factor of 1,800 — and λ → 0. Equation (1) then forces the residual onto the observation.</w:t>
      </w:r>
      <w:r>
        <w:t xml:space="preserve"> </w:t>
      </w:r>
      <w:r>
        <w:t xml:space="preserve">The chain runs from grain to zero-inflation to shrinkage to λ, and none of its links is</w:t>
      </w:r>
      <w:r>
        <w:t xml:space="preserve"> </w:t>
      </w:r>
      <w:r>
        <w:t xml:space="preserve">specific to this pipeline.</w:t>
      </w:r>
    </w:p>
    <w:p>
      <w:pPr>
        <w:pStyle w:val="BodyText"/>
      </w:pPr>
      <w:r>
        <w:t xml:space="preserve">The consequence for practice is uncomfortable:</w:t>
      </w:r>
      <w:r>
        <w:t xml:space="preserve"> </w:t>
      </w:r>
      <w:r>
        <w:rPr>
          <w:b/>
        </w:rPr>
        <w:t xml:space="preserve">the resolution at which citizen-science</w:t>
      </w:r>
      <w:r>
        <w:rPr>
          <w:b/>
        </w:rPr>
        <w:t xml:space="preserve"> </w:t>
      </w:r>
      <w:r>
        <w:rPr>
          <w:b/>
        </w:rPr>
        <w:t xml:space="preserve">biodiversity data is most attractive to map is the resolution at which the difference</w:t>
      </w:r>
      <w:r>
        <w:rPr>
          <w:b/>
        </w:rPr>
        <w:t xml:space="preserve"> </w:t>
      </w:r>
      <w:r>
        <w:rPr>
          <w:b/>
        </w:rPr>
        <w:t xml:space="preserve">map is guaranteed to be uninformative.</w:t>
      </w:r>
      <w:r>
        <w:t xml:space="preserve"> </w:t>
      </w:r>
      <w:r>
        <w:t xml:space="preserve">A 20 m hexagon is exactly the unit a resident</w:t>
      </w:r>
      <w:r>
        <w:t xml:space="preserve"> </w:t>
      </w:r>
      <w:r>
        <w:t xml:space="preserve">can act on — this verge, this courtyard, this row of trees — and it is exactly the unit</w:t>
      </w:r>
      <w:r>
        <w:t xml:space="preserve"> </w:t>
      </w:r>
      <w:r>
        <w:t xml:space="preserve">at which the underlying counts cannot support an expectation.</w:t>
      </w:r>
    </w:p>
    <w:p>
      <w:pPr>
        <w:pStyle w:val="BodyText"/>
      </w:pPr>
      <w:r>
        <w:t xml:space="preserve">Aggregation is the obvious remedy and is only a partial one. It fixes the zero-inflation</w:t>
      </w:r>
      <w:r>
        <w:t xml:space="preserve"> </w:t>
      </w:r>
      <w:r>
        <w:t xml:space="preserve">and, in two of our four cities, recovers a coherent habitat effect (§3.8) — but it did</w:t>
      </w:r>
      <w:r>
        <w:t xml:space="preserve"> </w:t>
      </w:r>
      <w:r>
        <w:t xml:space="preserve">not restore λ at park scale (§3.5), because a better-fitting model on a more variable</w:t>
      </w:r>
      <w:r>
        <w:t xml:space="preserve"> </w:t>
      </w:r>
      <w:r>
        <w:t xml:space="preserve">response can still have a fitted variance far below the response’s. Aggregation is</w:t>
      </w:r>
      <w:r>
        <w:t xml:space="preserve"> </w:t>
      </w:r>
      <w:r>
        <w:t xml:space="preserve">necessary, not sufficient. The sufficient test is λ itself.</w:t>
      </w:r>
    </w:p>
    <w:p>
      <w:pPr>
        <w:pStyle w:val="Heading3"/>
      </w:pPr>
      <w:bookmarkStart w:id="47" w:name="effort-correction-is-not-neutral"/>
      <w:r>
        <w:t xml:space="preserve">4.3 Effort correction is not neutral</w:t>
      </w:r>
      <w:bookmarkEnd w:id="47"/>
    </w:p>
    <w:p>
      <w:pPr>
        <w:pStyle w:val="FirstParagraph"/>
      </w:pPr>
      <w:r>
        <w:t xml:space="preserve">Two findings here generalise beyond this pipeline.</w:t>
      </w:r>
    </w:p>
    <w:p>
      <w:pPr>
        <w:pStyle w:val="BodyText"/>
      </w:pPr>
      <w:r>
        <w:t xml:space="preserve">First,</w:t>
      </w:r>
      <w:r>
        <w:t xml:space="preserve"> </w:t>
      </w:r>
      <w:r>
        <w:rPr>
          <w:b/>
        </w:rPr>
        <w:t xml:space="preserve">an effort correction that gates on a covariate deletes data at a rate that</w:t>
      </w:r>
      <w:r>
        <w:rPr>
          <w:b/>
        </w:rPr>
        <w:t xml:space="preserve"> </w:t>
      </w:r>
      <w:r>
        <w:rPr>
          <w:b/>
        </w:rPr>
        <w:t xml:space="preserve">should be reported.</w:t>
      </w:r>
      <w:r>
        <w:t xml:space="preserve"> </w:t>
      </w:r>
      <w:r>
        <w:t xml:space="preserve">The 50 m path rule discards 46–77% of all records (§3.2), and the</w:t>
      </w:r>
      <w:r>
        <w:t xml:space="preserve"> </w:t>
      </w:r>
      <w:r>
        <w:t xml:space="preserve">pipeline’s documentation — thorough on the rule’s ecological rationale — does not state</w:t>
      </w:r>
      <w:r>
        <w:t xml:space="preserve"> </w:t>
      </w:r>
      <w:r>
        <w:t xml:space="preserve">the fraction. Any admission rule of this form (minimum effort, minimum visits, minimum</w:t>
      </w:r>
      <w:r>
        <w:t xml:space="preserve"> </w:t>
      </w:r>
      <w:r>
        <w:t xml:space="preserve">list length) has such a fraction, and it belongs in the methods section next to the rule.</w:t>
      </w:r>
    </w:p>
    <w:p>
      <w:pPr>
        <w:pStyle w:val="BodyText"/>
      </w:pPr>
      <w:r>
        <w:t xml:space="preserve">Second,</w:t>
      </w:r>
      <w:r>
        <w:t xml:space="preserve"> </w:t>
      </w:r>
      <w:r>
        <w:rPr>
          <w:b/>
        </w:rPr>
        <w:t xml:space="preserve">dividing the observation by an effort proxy while also predicting the</w:t>
      </w:r>
      <w:r>
        <w:rPr>
          <w:b/>
        </w:rPr>
        <w:t xml:space="preserve"> </w:t>
      </w:r>
      <w:r>
        <w:rPr>
          <w:b/>
        </w:rPr>
        <w:t xml:space="preserve">expectation from that proxy re-imports the confounder on both sides.</w:t>
      </w:r>
      <w:r>
        <w:t xml:space="preserve"> </w:t>
      </w:r>
      <w:r>
        <w:t xml:space="preserve">Here the offset</w:t>
      </w:r>
      <w:r>
        <w:t xml:space="preserve"> </w:t>
      </w:r>
      <w:r>
        <w:t xml:space="preserve">and the free accessibility covariate are the same path length, and the free term</w:t>
      </w:r>
      <w:r>
        <w:t xml:space="preserve"> </w:t>
      </w:r>
      <w:r>
        <w:t xml:space="preserve">dominates in three cities (§3.6), leaving expected richness correlated with path density</w:t>
      </w:r>
      <w:r>
        <w:t xml:space="preserve"> </w:t>
      </w:r>
      <w:r>
        <w:t xml:space="preserve">at ρ up to 0.891. The residual then differences two effort-laden quantities and retains</w:t>
      </w:r>
      <w:r>
        <w:t xml:space="preserve"> </w:t>
      </w:r>
      <w:r>
        <w:t xml:space="preserve">effort. Occupancy-detection models, list-length methods and effort-as-offset approaches</w:t>
      </w:r>
      <w:r>
        <w:t xml:space="preserve"> </w:t>
      </w:r>
      <w:r>
        <w:t xml:space="preserve">without a duplicate free term all avoid this specific error; the general rule is that an</w:t>
      </w:r>
      <w:r>
        <w:t xml:space="preserve"> </w:t>
      </w:r>
      <w:r>
        <w:t xml:space="preserve">effort variable should appear in the model once, with a fixed role.</w:t>
      </w:r>
    </w:p>
    <w:p>
      <w:pPr>
        <w:pStyle w:val="Heading3"/>
      </w:pPr>
      <w:bookmarkStart w:id="48" w:name="consequences-for-decision-support-products"/>
      <w:r>
        <w:t xml:space="preserve">4.4 Consequences for decision-support products</w:t>
      </w:r>
      <w:bookmarkEnd w:id="48"/>
    </w:p>
    <w:p>
      <w:pPr>
        <w:pStyle w:val="FirstParagraph"/>
      </w:pPr>
      <w:r>
        <w:t xml:space="preserve">The failure does not stay in the model. It arrives in a public interface as a colour, a</w:t>
      </w:r>
      <w:r>
        <w:t xml:space="preserve"> </w:t>
      </w:r>
      <w:r>
        <w:t xml:space="preserve">band and a ranked list, and at that point it is indistinguishable from a result.</w:t>
      </w:r>
    </w:p>
    <w:p>
      <w:pPr>
        <w:pStyle w:val="Compact"/>
        <w:numPr>
          <w:numId w:val="1004"/>
          <w:ilvl w:val="0"/>
        </w:numPr>
      </w:pPr>
      <w:r>
        <w:t xml:space="preserve">The exported action list contains cells with</w:t>
      </w:r>
      <w:r>
        <w:t xml:space="preserve"> </w:t>
      </w:r>
      <w:r>
        <w:rPr>
          <w:b/>
        </w:rPr>
        <w:t xml:space="preserve">zero recorded species</w:t>
      </w:r>
      <w:r>
        <w:t xml:space="preserve"> </w:t>
      </w:r>
      <w:r>
        <w:t xml:space="preserve">and</w:t>
      </w:r>
      <w:r>
        <w:t xml:space="preserve"> </w:t>
      </w:r>
      <w:r>
        <w:t xml:space="preserve">above-average habitat (§3.7). Read as</w:t>
      </w:r>
      <w:r>
        <w:t xml:space="preserve"> </w:t>
      </w:r>
      <w:r>
        <w:t xml:space="preserve">“</w:t>
      </w:r>
      <w:r>
        <w:t xml:space="preserve">go and survey here</w:t>
      </w:r>
      <w:r>
        <w:t xml:space="preserve">”</w:t>
      </w:r>
      <w:r>
        <w:t xml:space="preserve"> </w:t>
      </w:r>
      <w:r>
        <w:t xml:space="preserve">it is useful. Read as</w:t>
      </w:r>
      <w:r>
        <w:t xml:space="preserve"> </w:t>
      </w:r>
      <w:r>
        <w:t xml:space="preserve">“</w:t>
      </w:r>
      <w:r>
        <w:t xml:space="preserve">restore here</w:t>
      </w:r>
      <w:r>
        <w:t xml:space="preserve">”</w:t>
      </w:r>
      <w:r>
        <w:t xml:space="preserve">, which is how it is labelled, it directs effort by data absence.</w:t>
      </w:r>
    </w:p>
    <w:p>
      <w:pPr>
        <w:pStyle w:val="Compact"/>
        <w:numPr>
          <w:numId w:val="1004"/>
          <w:ilvl w:val="0"/>
        </w:numPr>
      </w:pPr>
      <w:r>
        <w:t xml:space="preserve">Between 42.0% and 82.9% of parks per city are shown as</w:t>
      </w:r>
      <w:r>
        <w:t xml:space="preserve"> </w:t>
      </w:r>
      <w:r>
        <w:rPr>
          <w:rStyle w:val="VerbatimChar"/>
          <w:b/>
        </w:rPr>
        <w:t xml:space="preserve">as-expected</w:t>
      </w:r>
      <w:r>
        <w:t xml:space="preserve"> </w:t>
      </w:r>
      <w:r>
        <w:t xml:space="preserve">because they</w:t>
      </w:r>
      <w:r>
        <w:t xml:space="preserve"> </w:t>
      </w:r>
      <w:r>
        <w:t xml:space="preserve">have no data, in the same band as parks that were measured (§3.7). This is the single</w:t>
      </w:r>
      <w:r>
        <w:t xml:space="preserve"> </w:t>
      </w:r>
      <w:r>
        <w:t xml:space="preserve">most consequential presentation choice in the system: it converts ignorance into</w:t>
      </w:r>
      <w:r>
        <w:t xml:space="preserve"> </w:t>
      </w:r>
      <w:r>
        <w:t xml:space="preserve">reassurance. A distinct</w:t>
      </w:r>
      <w:r>
        <w:t xml:space="preserve"> </w:t>
      </w:r>
      <w:r>
        <w:t xml:space="preserve">“</w:t>
      </w:r>
      <w:r>
        <w:t xml:space="preserve">not assessed</w:t>
      </w:r>
      <w:r>
        <w:t xml:space="preserve">”</w:t>
      </w:r>
      <w:r>
        <w:t xml:space="preserve"> </w:t>
      </w:r>
      <w:r>
        <w:t xml:space="preserve">state is a one-line fix and is the first thing</w:t>
      </w:r>
      <w:r>
        <w:t xml:space="preserve"> </w:t>
      </w:r>
      <w:r>
        <w:t xml:space="preserve">we would change.</w:t>
      </w:r>
    </w:p>
    <w:p>
      <w:pPr>
        <w:pStyle w:val="Compact"/>
        <w:numPr>
          <w:numId w:val="1004"/>
          <w:ilvl w:val="0"/>
        </w:numPr>
      </w:pPr>
      <w:r>
        <w:t xml:space="preserve">The five-band scale is</w:t>
      </w:r>
      <w:r>
        <w:t xml:space="preserve"> </w:t>
      </w:r>
      <w:r>
        <w:rPr>
          <w:b/>
        </w:rPr>
        <w:t xml:space="preserve">not comparable between cities</w:t>
      </w:r>
      <w:r>
        <w:t xml:space="preserve"> </w:t>
      </w:r>
      <w:r>
        <w:t xml:space="preserve">(77.2% vs 17.1% in the middle</w:t>
      </w:r>
      <w:r>
        <w:t xml:space="preserve"> </w:t>
      </w:r>
      <w:r>
        <w:t xml:space="preserve">band), nor between dataset versions of the same city, because the centring parameters</w:t>
      </w:r>
      <w:r>
        <w:t xml:space="preserve"> </w:t>
      </w:r>
      <w:r>
        <w:t xml:space="preserve">are recomputed per run. A cell whose own data did not change can change band because</w:t>
      </w:r>
      <w:r>
        <w:t xml:space="preserve"> </w:t>
      </w:r>
      <w:r>
        <w:t xml:space="preserve">its neighbours’ did.</w:t>
      </w:r>
    </w:p>
    <w:p>
      <w:pPr>
        <w:pStyle w:val="Compact"/>
        <w:numPr>
          <w:numId w:val="1004"/>
          <w:ilvl w:val="0"/>
        </w:numPr>
      </w:pPr>
      <w:r>
        <w:t xml:space="preserve">The published ranking is</w:t>
      </w:r>
      <w:r>
        <w:t xml:space="preserve"> </w:t>
      </w:r>
      <w:r>
        <w:rPr>
          <w:b/>
        </w:rPr>
        <w:t xml:space="preserve">not robust</w:t>
      </w:r>
      <w:r>
        <w:t xml:space="preserve"> </w:t>
      </w:r>
      <w:r>
        <w:t xml:space="preserve">to an uncalibrated parameter: 0/20 of Gent’s</w:t>
      </w:r>
      <w:r>
        <w:t xml:space="preserve"> </w:t>
      </w:r>
      <w:r>
        <w:t xml:space="preserve">top-20 survives the dispersal-cost ensemble (§3.7).</w:t>
      </w:r>
    </w:p>
    <w:p>
      <w:pPr>
        <w:pStyle w:val="FirstParagraph"/>
      </w:pPr>
      <w:r>
        <w:t xml:space="preserve">None of these are exotic failures. They are what happens when a difference map with</w:t>
      </w:r>
      <w:r>
        <w:t xml:space="preserve"> </w:t>
      </w:r>
      <w:r>
        <w:t xml:space="preserve">λ ≪ 1 is given a legend.</w:t>
      </w:r>
    </w:p>
    <w:p>
      <w:pPr>
        <w:pStyle w:val="Heading3"/>
      </w:pPr>
      <w:bookmarkStart w:id="49" w:name="recommendations"/>
      <w:r>
        <w:t xml:space="preserve">4.5 Recommendations</w:t>
      </w:r>
      <w:bookmarkEnd w:id="49"/>
    </w:p>
    <w:p>
      <w:pPr>
        <w:pStyle w:val="FirstParagraph"/>
      </w:pPr>
      <w:r>
        <w:rPr>
          <w:b/>
        </w:rPr>
        <w:t xml:space="preserve">R1 — Report λ.</w:t>
      </w:r>
      <w:r>
        <w:t xml:space="preserve"> </w:t>
      </w:r>
      <w:r>
        <w:t xml:space="preserve">One line of code, alongside every expected-minus-observed map. If</w:t>
      </w:r>
      <w:r>
        <w:t xml:space="preserve"> </w:t>
      </w:r>
      <w:r>
        <w:t xml:space="preserve">λ &lt; 0.25, publish the two inputs separately instead.</w:t>
      </w:r>
    </w:p>
    <w:p>
      <w:pPr>
        <w:pStyle w:val="BodyText"/>
      </w:pPr>
      <w:r>
        <w:rPr>
          <w:b/>
        </w:rPr>
        <w:t xml:space="preserve">R2 — Report out-of-sample fit, spatially blocked.</w:t>
      </w:r>
      <w:r>
        <w:t xml:space="preserve"> </w:t>
      </w:r>
      <w:r>
        <w:t xml:space="preserve">In-sample deviance overstated</w:t>
      </w:r>
      <w:r>
        <w:t xml:space="preserve"> </w:t>
      </w:r>
      <w:r>
        <w:t xml:space="preserve">held-out performance by 11% (Amsterdam) to 90% (Gent) here, and hid the fact that individual</w:t>
      </w:r>
      <w:r>
        <w:t xml:space="preserve"> </w:t>
      </w:r>
      <w:r>
        <w:t xml:space="preserve">held-out folds lose to a constant.</w:t>
      </w:r>
    </w:p>
    <w:p>
      <w:pPr>
        <w:pStyle w:val="BodyText"/>
      </w:pPr>
      <w:r>
        <w:rPr>
          <w:b/>
        </w:rPr>
        <w:t xml:space="preserve">R3 — Report the coverage triple.</w:t>
      </w:r>
      <w:r>
        <w:t xml:space="preserve"> </w:t>
      </w:r>
      <w:r>
        <w:t xml:space="preserve">Cells admitted / cells with data / records</w:t>
      </w:r>
      <w:r>
        <w:t xml:space="preserve"> </w:t>
      </w:r>
      <w:r>
        <w:t xml:space="preserve">discarded by the admission rule. All three, as percentages, in the methods.</w:t>
      </w:r>
    </w:p>
    <w:p>
      <w:pPr>
        <w:pStyle w:val="BodyText"/>
      </w:pPr>
      <w:r>
        <w:rPr>
          <w:b/>
        </w:rPr>
        <w:t xml:space="preserve">R4 — Screen for coordinate artefacts geometrically.</w:t>
      </w:r>
      <w:r>
        <w:t xml:space="preserve"> </w:t>
      </w:r>
      <w:r>
        <w:t xml:space="preserve">Metadata gates cannot catch</w:t>
      </w:r>
      <w:r>
        <w:t xml:space="preserve"> </w:t>
      </w:r>
      <w:r>
        <w:t xml:space="preserve">records that carry no accuracy field. A concentration screen — records per unit area</w:t>
      </w:r>
      <w:r>
        <w:t xml:space="preserve"> </w:t>
      </w:r>
      <w:r>
        <w:t xml:space="preserve">against a graticule at 0.1°, 0.05°, 0.01°, 0.001° — takes minutes and would have flagged</w:t>
      </w:r>
      <w:r>
        <w:t xml:space="preserve"> </w:t>
      </w:r>
      <w:r>
        <w:t xml:space="preserve">72% of Amsterdam’s stream.</w:t>
      </w:r>
    </w:p>
    <w:p>
      <w:pPr>
        <w:pStyle w:val="BodyText"/>
      </w:pPr>
      <w:r>
        <w:rPr>
          <w:b/>
        </w:rPr>
        <w:t xml:space="preserve">R5 — Choose grain from the response, not the interface.</w:t>
      </w:r>
      <w:r>
        <w:t xml:space="preserve"> </w:t>
      </w:r>
      <w:r>
        <w:t xml:space="preserve">Report at the coarsest grain</w:t>
      </w:r>
      <w:r>
        <w:t xml:space="preserve"> </w:t>
      </w:r>
      <w:r>
        <w:t xml:space="preserve">the decision tolerates and the finest grain at which zero-inflation is below, say, 50%,</w:t>
      </w:r>
      <w:r>
        <w:t xml:space="preserve"> </w:t>
      </w:r>
      <w:r>
        <w:t xml:space="preserve">and if those two do not overlap, say so rather than splitting the difference.</w:t>
      </w:r>
    </w:p>
    <w:p>
      <w:pPr>
        <w:pStyle w:val="BodyText"/>
      </w:pPr>
      <w:r>
        <w:rPr>
          <w:b/>
        </w:rPr>
        <w:t xml:space="preserve">R6 — Let an effort variable appear once.</w:t>
      </w:r>
      <w:r>
        <w:t xml:space="preserve"> </w:t>
      </w:r>
      <w:r>
        <w:t xml:space="preserve">Offset or covariate, not both.</w:t>
      </w:r>
    </w:p>
    <w:p>
      <w:pPr>
        <w:pStyle w:val="BodyText"/>
      </w:pPr>
      <w:r>
        <w:rPr>
          <w:b/>
        </w:rPr>
        <w:t xml:space="preserve">R7 — Distinguish</w:t>
      </w:r>
      <w:r>
        <w:rPr>
          <w:b/>
        </w:rPr>
        <w:t xml:space="preserve"> </w:t>
      </w:r>
      <w:r>
        <w:rPr>
          <w:b/>
        </w:rPr>
        <w:t xml:space="preserve">“</w:t>
      </w:r>
      <w:r>
        <w:rPr>
          <w:b/>
        </w:rPr>
        <w:t xml:space="preserve">no data</w:t>
      </w:r>
      <w:r>
        <w:rPr>
          <w:b/>
        </w:rPr>
        <w:t xml:space="preserve">”</w:t>
      </w:r>
      <w:r>
        <w:rPr>
          <w:b/>
        </w:rPr>
        <w:t xml:space="preserve"> </w:t>
      </w:r>
      <w:r>
        <w:rPr>
          <w:b/>
        </w:rPr>
        <w:t xml:space="preserve">from</w:t>
      </w:r>
      <w:r>
        <w:rPr>
          <w:b/>
        </w:rPr>
        <w:t xml:space="preserve"> </w:t>
      </w:r>
      <w:r>
        <w:rPr>
          <w:b/>
        </w:rPr>
        <w:t xml:space="preserve">“</w:t>
      </w:r>
      <w:r>
        <w:rPr>
          <w:b/>
        </w:rPr>
        <w:t xml:space="preserve">no problem</w:t>
      </w:r>
      <w:r>
        <w:rPr>
          <w:b/>
        </w:rPr>
        <w:t xml:space="preserve">”</w:t>
      </w:r>
      <w:r>
        <w:rPr>
          <w:b/>
        </w:rPr>
        <w:t xml:space="preserve"> </w:t>
      </w:r>
      <w:r>
        <w:rPr>
          <w:b/>
        </w:rPr>
        <w:t xml:space="preserve">in every user-facing surface.</w:t>
      </w:r>
      <w:r>
        <w:t xml:space="preserve"> </w:t>
      </w:r>
      <w:r>
        <w:t xml:space="preserve">A</w:t>
      </w:r>
      <w:r>
        <w:t xml:space="preserve"> </w:t>
      </w:r>
      <w:r>
        <w:t xml:space="preserve">separate state, a separate colour, a separate count in the legend.</w:t>
      </w:r>
    </w:p>
    <w:p>
      <w:pPr>
        <w:pStyle w:val="Heading3"/>
      </w:pPr>
      <w:bookmarkStart w:id="50" w:name="a-reporting-standard"/>
      <w:r>
        <w:t xml:space="preserve">4.6 A reporting standard</w:t>
      </w:r>
      <w:bookmarkEnd w:id="50"/>
    </w:p>
    <w:p>
      <w:pPr>
        <w:pStyle w:val="FirstParagraph"/>
      </w:pPr>
      <w:r>
        <w:t xml:space="preserve">We propose that any published expected-minus-observed ecological map carry five numbers,</w:t>
      </w:r>
      <w:r>
        <w:t xml:space="preserve"> </w:t>
      </w:r>
      <w:r>
        <w:t xml:space="preserve">in the methods or a standard table: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Number</w:t>
            </w:r>
          </w:p>
        </w:tc>
        <w:tc>
          <w:tcPr>
            <w:tcBorders>
              <w:bottom w:val="single"/>
            </w:tcBorders>
            <w:vAlign w:val="bottom"/>
          </w:tcPr>
          <w:p>
            <w:pPr>
              <w:pStyle w:val="Compact"/>
              <w:jc w:val="left"/>
            </w:pPr>
            <w:r>
              <w:t xml:space="preserve">Why</w:t>
            </w:r>
          </w:p>
        </w:tc>
      </w:tr>
      <w:tr>
        <w:tc>
          <w:p>
            <w:pPr>
              <w:pStyle w:val="Compact"/>
              <w:jc w:val="left"/>
            </w:pPr>
            <w:r>
              <w:t xml:space="preserve">1</w:t>
            </w:r>
          </w:p>
        </w:tc>
        <w:tc>
          <w:p>
            <w:pPr>
              <w:pStyle w:val="Compact"/>
              <w:jc w:val="left"/>
            </w:pPr>
            <w:r>
              <w:t xml:space="preserve">λ = Var(Ŷ)/Var(Y) on the mapped cells</w:t>
            </w:r>
          </w:p>
        </w:tc>
        <w:tc>
          <w:p>
            <w:pPr>
              <w:pStyle w:val="Compact"/>
              <w:jc w:val="left"/>
            </w:pPr>
            <w:r>
              <w:t xml:space="preserve">Says what the map is made of</w:t>
            </w:r>
          </w:p>
        </w:tc>
      </w:tr>
      <w:tr>
        <w:tc>
          <w:p>
            <w:pPr>
              <w:pStyle w:val="Compact"/>
              <w:jc w:val="left"/>
            </w:pPr>
            <w:r>
              <w:t xml:space="preserve">2</w:t>
            </w:r>
          </w:p>
        </w:tc>
        <w:tc>
          <w:p>
            <w:pPr>
              <w:pStyle w:val="Compact"/>
              <w:jc w:val="left"/>
            </w:pPr>
            <w:r>
              <w:t xml:space="preserve">Out-of-sample explained deviance/R², spatially blocked, with fold range</w:t>
            </w:r>
          </w:p>
        </w:tc>
        <w:tc>
          <w:p>
            <w:pPr>
              <w:pStyle w:val="Compact"/>
              <w:jc w:val="left"/>
            </w:pPr>
            <w:r>
              <w:t xml:space="preserve">Says whether the expectation generalises</w:t>
            </w:r>
          </w:p>
        </w:tc>
      </w:tr>
      <w:tr>
        <w:tc>
          <w:p>
            <w:pPr>
              <w:pStyle w:val="Compact"/>
              <w:jc w:val="left"/>
            </w:pPr>
            <w:r>
              <w:t xml:space="preserve">3</w:t>
            </w:r>
          </w:p>
        </w:tc>
        <w:tc>
          <w:p>
            <w:pPr>
              <w:pStyle w:val="Compact"/>
              <w:jc w:val="left"/>
            </w:pPr>
            <w:r>
              <w:t xml:space="preserve">Coverage triple: % units admitted, % with data, % records discarded</w:t>
            </w:r>
          </w:p>
        </w:tc>
        <w:tc>
          <w:p>
            <w:pPr>
              <w:pStyle w:val="Compact"/>
              <w:jc w:val="left"/>
            </w:pPr>
            <w:r>
              <w:t xml:space="preserve">Says how much of the study area and the data the map speaks for</w:t>
            </w:r>
          </w:p>
        </w:tc>
      </w:tr>
      <w:tr>
        <w:tc>
          <w:p>
            <w:pPr>
              <w:pStyle w:val="Compact"/>
              <w:jc w:val="left"/>
            </w:pPr>
            <w:r>
              <w:t xml:space="preserve">4</w:t>
            </w:r>
          </w:p>
        </w:tc>
        <w:tc>
          <w:p>
            <w:pPr>
              <w:pStyle w:val="Compact"/>
              <w:jc w:val="left"/>
            </w:pPr>
            <w:r>
              <w:t xml:space="preserve">Concentration: Gini of records over units, and share in the 10 largest</w:t>
            </w:r>
          </w:p>
        </w:tc>
        <w:tc>
          <w:p>
            <w:pPr>
              <w:pStyle w:val="Compact"/>
              <w:jc w:val="left"/>
            </w:pPr>
            <w:r>
              <w:t xml:space="preserve">Flags artefacts before they become findings</w:t>
            </w:r>
          </w:p>
        </w:tc>
      </w:tr>
      <w:tr>
        <w:tc>
          <w:p>
            <w:pPr>
              <w:pStyle w:val="Compact"/>
              <w:jc w:val="left"/>
            </w:pPr>
            <w:r>
              <w:t xml:space="preserve">5</w:t>
            </w:r>
          </w:p>
        </w:tc>
        <w:tc>
          <w:p>
            <w:pPr>
              <w:pStyle w:val="Compact"/>
              <w:jc w:val="left"/>
            </w:pPr>
            <w:r>
              <w:t xml:space="preserve">Rank stability of the published ranking under uncalibrated parameters</w:t>
            </w:r>
          </w:p>
        </w:tc>
        <w:tc>
          <w:p>
            <w:pPr>
              <w:pStyle w:val="Compact"/>
              <w:jc w:val="left"/>
            </w:pPr>
            <w:r>
              <w:t xml:space="preserve">Says whether the action list is a result or a parameter choice</w:t>
            </w:r>
          </w:p>
        </w:tc>
      </w:tr>
    </w:tbl>
    <w:p>
      <w:pPr>
        <w:pStyle w:val="BodyText"/>
      </w:pPr>
      <w:r>
        <w:t xml:space="preserve">We report all five for four cities in §3 and would not have found any of the pathologies</w:t>
      </w:r>
      <w:r>
        <w:t xml:space="preserve"> </w:t>
      </w:r>
      <w:r>
        <w:t xml:space="preserve">without them. None requires new data.</w:t>
      </w:r>
    </w:p>
    <w:p>
      <w:r>
        <w:pict>
          <v:rect style="width:0;height:1.5pt" o:hralign="center" o:hrstd="t" o:hr="t"/>
        </w:pict>
      </w:r>
    </w:p>
    <w:p>
      <w:pPr>
        <w:pStyle w:val="Heading2"/>
      </w:pPr>
      <w:bookmarkStart w:id="51" w:name="limitations"/>
      <w:r>
        <w:t xml:space="preserve">5. Limitations</w:t>
      </w:r>
      <w:bookmarkEnd w:id="51"/>
    </w:p>
    <w:p>
      <w:pPr>
        <w:pStyle w:val="Compact"/>
        <w:numPr>
          <w:numId w:val="1005"/>
          <w:ilvl w:val="0"/>
        </w:numPr>
      </w:pPr>
      <w:r>
        <w:rPr>
          <w:b/>
        </w:rPr>
        <w:t xml:space="preserve">One pipeline.</w:t>
      </w:r>
      <w:r>
        <w:t xml:space="preserve"> </w:t>
      </w:r>
      <w:r>
        <w:t xml:space="preserve">All four cities share a codebase, so shared implementation choices</w:t>
      </w:r>
      <w:r>
        <w:t xml:space="preserve"> </w:t>
      </w:r>
      <w:r>
        <w:t xml:space="preserve">cannot be separated from general properties of the method. The λ criterion is</w:t>
      </w:r>
      <w:r>
        <w:t xml:space="preserve"> </w:t>
      </w:r>
      <w:r>
        <w:t xml:space="preserve">analytic and does not depend on the pipeline; the empirical magnitudes do.</w:t>
      </w:r>
    </w:p>
    <w:p>
      <w:pPr>
        <w:pStyle w:val="Compact"/>
        <w:numPr>
          <w:numId w:val="1005"/>
          <w:ilvl w:val="0"/>
        </w:numPr>
      </w:pPr>
      <w:r>
        <w:rPr>
          <w:b/>
        </w:rPr>
        <w:t xml:space="preserve">No independent ground truth.</w:t>
      </w:r>
      <w:r>
        <w:t xml:space="preserve"> </w:t>
      </w:r>
      <w:r>
        <w:t xml:space="preserve">No systematic field survey exists for these AOIs, so</w:t>
      </w:r>
      <w:r>
        <w:t xml:space="preserve"> </w:t>
      </w:r>
      <w:r>
        <w:t xml:space="preserve">we cannot say what the true richness surface is — only what the published one is made</w:t>
      </w:r>
      <w:r>
        <w:t xml:space="preserve"> </w:t>
      </w:r>
      <w:r>
        <w:t xml:space="preserve">of. Validation against structured surveys is the most valuable next step and is</w:t>
      </w:r>
      <w:r>
        <w:t xml:space="preserve"> </w:t>
      </w:r>
      <w:r>
        <w:t xml:space="preserve">currently impossible for want of data, not method.</w:t>
      </w:r>
    </w:p>
    <w:p>
      <w:pPr>
        <w:pStyle w:val="Compact"/>
        <w:numPr>
          <w:numId w:val="1005"/>
          <w:ilvl w:val="0"/>
        </w:numPr>
      </w:pPr>
      <w:r>
        <w:rPr>
          <w:b/>
        </w:rPr>
        <w:t xml:space="preserve">The artefact mechanism is inferred.</w:t>
      </w:r>
      <w:r>
        <w:t xml:space="preserve"> </w:t>
      </w:r>
      <w:r>
        <w:t xml:space="preserve">§3.3 establishes the concentrations and their</w:t>
      </w:r>
      <w:r>
        <w:t xml:space="preserve"> </w:t>
      </w:r>
      <w:r>
        <w:t xml:space="preserve">graticule positions; it does not identify the upstream provider or transformation,</w:t>
      </w:r>
      <w:r>
        <w:t xml:space="preserve"> </w:t>
      </w:r>
      <w:r>
        <w:t xml:space="preserve">because the exports carry no per-record provenance. A provider-level breakdown would</w:t>
      </w:r>
      <w:r>
        <w:t xml:space="preserve"> </w:t>
      </w:r>
      <w:r>
        <w:t xml:space="preserve">settle it.</w:t>
      </w:r>
    </w:p>
    <w:p>
      <w:pPr>
        <w:pStyle w:val="Compact"/>
        <w:numPr>
          <w:numId w:val="1005"/>
          <w:ilvl w:val="0"/>
        </w:numPr>
      </w:pPr>
      <w:r>
        <w:rPr>
          <w:b/>
        </w:rPr>
        <w:t xml:space="preserve">Cross-validation blocks are square, not ecological.</w:t>
      </w:r>
      <w:r>
        <w:t xml:space="preserve"> </w:t>
      </w:r>
      <w:r>
        <w:t xml:space="preserve">A 25 × 25 lattice controls for</w:t>
      </w:r>
      <w:r>
        <w:t xml:space="preserve"> </w:t>
      </w:r>
      <w:r>
        <w:t xml:space="preserve">short-range spatial autocorrelation but not for gradients at the scale of the whole</w:t>
      </w:r>
      <w:r>
        <w:t xml:space="preserve"> </w:t>
      </w:r>
      <w:r>
        <w:t xml:space="preserve">AOI.</w:t>
      </w:r>
    </w:p>
    <w:p>
      <w:pPr>
        <w:pStyle w:val="Compact"/>
        <w:numPr>
          <w:numId w:val="1005"/>
          <w:ilvl w:val="0"/>
        </w:numPr>
      </w:pPr>
      <w:r>
        <w:rPr>
          <w:b/>
        </w:rPr>
        <w:t xml:space="preserve">In-sample influence points remain.</w:t>
      </w:r>
      <w:r>
        <w:t xml:space="preserve"> </w:t>
      </w:r>
      <w:r>
        <w:t xml:space="preserve">The extreme cells of Table 4 were left in, to</w:t>
      </w:r>
      <w:r>
        <w:t xml:space="preserve"> </w:t>
      </w:r>
      <w:r>
        <w:t xml:space="preserve">measure the published product as published. Refitting without them would change the</w:t>
      </w:r>
      <w:r>
        <w:t xml:space="preserve"> </w:t>
      </w:r>
      <w:r>
        <w:t xml:space="preserve">coefficients, not the sign of any conclusion — λ moves by less than its own order of</w:t>
      </w:r>
      <w:r>
        <w:t xml:space="preserve"> </w:t>
      </w:r>
      <w:r>
        <w:t xml:space="preserve">magnitude when they are removed.</w:t>
      </w:r>
    </w:p>
    <w:p>
      <w:pPr>
        <w:pStyle w:val="Compact"/>
        <w:numPr>
          <w:numId w:val="1005"/>
          <w:ilvl w:val="0"/>
        </w:numPr>
      </w:pPr>
      <w:r>
        <w:rPr>
          <w:b/>
        </w:rPr>
        <w:t xml:space="preserve">Grain results are partly the pipeline’s own.</w:t>
      </w:r>
      <w:r>
        <w:t xml:space="preserve"> </w:t>
      </w:r>
      <w:r>
        <w:t xml:space="preserve">Table 8 comes from the repository’s</w:t>
      </w:r>
      <w:r>
        <w:t xml:space="preserve"> </w:t>
      </w:r>
      <w:r>
        <w:t xml:space="preserve">sensitivity run rather than from our reanalysis, and is reported as such.</w:t>
      </w:r>
    </w:p>
    <w:p>
      <w:pPr>
        <w:pStyle w:val="Compact"/>
        <w:numPr>
          <w:numId w:val="1005"/>
          <w:ilvl w:val="0"/>
        </w:numPr>
      </w:pPr>
      <w:r>
        <w:rPr>
          <w:b/>
        </w:rPr>
        <w:t xml:space="preserve">App-collected structured surveys are not in these numbers.</w:t>
      </w:r>
      <w:r>
        <w:t xml:space="preserve"> </w:t>
      </w:r>
      <w:r>
        <w:t xml:space="preserve">The live-import flag</w:t>
      </w:r>
      <w:r>
        <w:t xml:space="preserve"> </w:t>
      </w:r>
      <w:r>
        <w:t xml:space="preserve">was unset for every run analysed here, so citizen-submitted survey data has never</w:t>
      </w:r>
      <w:r>
        <w:t xml:space="preserve"> </w:t>
      </w:r>
      <w:r>
        <w:t xml:space="preserve">entered a published score. The observation streams are iNaturalist and GBIF only.</w:t>
      </w:r>
    </w:p>
    <w:p>
      <w:r>
        <w:pict>
          <v:rect style="width:0;height:1.5pt" o:hralign="center" o:hrstd="t" o:hr="t"/>
        </w:pict>
      </w:r>
    </w:p>
    <w:p>
      <w:pPr>
        <w:pStyle w:val="Heading2"/>
      </w:pPr>
      <w:bookmarkStart w:id="52" w:name="conclusion"/>
      <w:r>
        <w:t xml:space="preserve">6. Conclusion</w:t>
      </w:r>
      <w:bookmarkEnd w:id="52"/>
    </w:p>
    <w:p>
      <w:pPr>
        <w:pStyle w:val="FirstParagraph"/>
      </w:pPr>
      <w:r>
        <w:t xml:space="preserve">Subtracting an observation from a model of that observation feels like a way to isolate</w:t>
      </w:r>
      <w:r>
        <w:t xml:space="preserve"> </w:t>
      </w:r>
      <w:r>
        <w:t xml:space="preserve">what the model does not explain. It is, but only when the two sides vary comparably.</w:t>
      </w:r>
      <w:r>
        <w:t xml:space="preserve"> </w:t>
      </w:r>
      <w:r>
        <w:t xml:space="preserve">Outside a narrow window around λ = 1, the difference is one of its inputs wearing the</w:t>
      </w:r>
      <w:r>
        <w:t xml:space="preserve"> </w:t>
      </w:r>
      <w:r>
        <w:t xml:space="preserve">other’s name — and which input depends on a scaling choice that no fit statistic reveals.</w:t>
      </w:r>
    </w:p>
    <w:p>
      <w:pPr>
        <w:pStyle w:val="BodyText"/>
      </w:pPr>
      <w:r>
        <w:t xml:space="preserve">In four cities, on a million cells and 1.85 million records, we measured λ between</w:t>
      </w:r>
      <w:r>
        <w:t xml:space="preserve"> </w:t>
      </w:r>
      <w:r>
        <w:t xml:space="preserve">0.00018 and 0.028. The resulting maps of the</w:t>
      </w:r>
      <w:r>
        <w:t xml:space="preserve"> </w:t>
      </w:r>
      <w:r>
        <w:t xml:space="preserve">“</w:t>
      </w:r>
      <w:r>
        <w:t xml:space="preserve">gap between expected and observed nature</w:t>
      </w:r>
      <w:r>
        <w:t xml:space="preserve">”</w:t>
      </w:r>
      <w:r>
        <w:t xml:space="preserve"> </w:t>
      </w:r>
      <w:r>
        <w:t xml:space="preserve">share 97.1–99.98% of their variance with the observation. Their highest-priority cells</w:t>
      </w:r>
      <w:r>
        <w:t xml:space="preserve"> </w:t>
      </w:r>
      <w:r>
        <w:t xml:space="preserve">are, in three cities out of four, cells with no recorded species at all. Their parks are</w:t>
      </w:r>
      <w:r>
        <w:t xml:space="preserve"> </w:t>
      </w:r>
      <w:r>
        <w:t xml:space="preserve">labelled</w:t>
      </w:r>
      <w:r>
        <w:t xml:space="preserve"> </w:t>
      </w:r>
      <w:r>
        <w:rPr>
          <w:i/>
        </w:rPr>
        <w:t xml:space="preserve">as expected</w:t>
      </w:r>
      <w:r>
        <w:t xml:space="preserve"> </w:t>
      </w:r>
      <w:r>
        <w:t xml:space="preserve">when nobody has looked. The same pipeline, one release earlier,</w:t>
      </w:r>
      <w:r>
        <w:t xml:space="preserve"> </w:t>
      </w:r>
      <w:r>
        <w:t xml:space="preserve">failed in the opposite direction with the same subtraction.</w:t>
      </w:r>
    </w:p>
    <w:p>
      <w:pPr>
        <w:pStyle w:val="BodyText"/>
      </w:pPr>
      <w:r>
        <w:t xml:space="preserve">The gap these maps show is real. It is a gap in the data. Reporting λ is enough to tell</w:t>
      </w:r>
      <w:r>
        <w:t xml:space="preserve"> </w:t>
      </w:r>
      <w:r>
        <w:t xml:space="preserve">the two apart, and we can see no reason not to require it.</w:t>
      </w:r>
    </w:p>
    <w:p>
      <w:r>
        <w:pict>
          <v:rect style="width:0;height:1.5pt" o:hralign="center" o:hrstd="t" o:hr="t"/>
        </w:pict>
      </w:r>
    </w:p>
    <w:p>
      <w:pPr>
        <w:pStyle w:val="Heading2"/>
      </w:pPr>
      <w:bookmarkStart w:id="53" w:name="data-and-code-availability"/>
      <w:r>
        <w:t xml:space="preserve">Data and code availability</w:t>
      </w:r>
      <w:bookmarkEnd w:id="53"/>
    </w:p>
    <w:p>
      <w:pPr>
        <w:pStyle w:val="FirstParagraph"/>
      </w:pPr>
      <w:r>
        <w:rPr>
          <w:b/>
        </w:rPr>
        <w:t xml:space="preserve">Pipeline and application.</w:t>
      </w:r>
      <w:r>
        <w:t xml:space="preserve"> </w:t>
      </w:r>
      <w:r>
        <w:t xml:space="preserve">The full R pipeline, Next.js application, database</w:t>
      </w:r>
      <w:r>
        <w:t xml:space="preserve"> </w:t>
      </w:r>
      <w:r>
        <w:t xml:space="preserve">migrations and methodology documentation are open source at [repository URL]. Code is</w:t>
      </w:r>
      <w:r>
        <w:t xml:space="preserve"> </w:t>
      </w:r>
      <w:r>
        <w:t xml:space="preserve">MIT-licensed; documentation and derived data products are CC BY-SA 4.0.</w:t>
      </w:r>
    </w:p>
    <w:p>
      <w:pPr>
        <w:pStyle w:val="BodyText"/>
      </w:pPr>
      <w:r>
        <w:rPr>
          <w:b/>
        </w:rPr>
        <w:t xml:space="preserve">Exported datasets.</w:t>
      </w:r>
      <w:r>
        <w:t xml:space="preserve"> </w:t>
      </w:r>
      <w:r>
        <w:t xml:space="preserve">The four per-city exports analysed here are versioned by</w:t>
      </w:r>
      <w:r>
        <w:t xml:space="preserve"> </w:t>
      </w:r>
      <w:r>
        <w:rPr>
          <w:rStyle w:val="VerbatimChar"/>
        </w:rPr>
        <w:t xml:space="preserve">datasetId</w:t>
      </w:r>
      <w:r>
        <w:t xml:space="preserve"> </w:t>
      </w:r>
      <w:r>
        <w:t xml:space="preserve">(Porto</w:t>
      </w:r>
      <w:r>
        <w:t xml:space="preserve"> </w:t>
      </w:r>
      <w:r>
        <w:rPr>
          <w:rStyle w:val="VerbatimChar"/>
        </w:rPr>
        <w:t xml:space="preserve">20260826T223825Z</w:t>
      </w:r>
      <w:r>
        <w:t xml:space="preserve">, Amsterdam</w:t>
      </w:r>
      <w:r>
        <w:t xml:space="preserve"> </w:t>
      </w:r>
      <w:r>
        <w:rPr>
          <w:rStyle w:val="VerbatimChar"/>
        </w:rPr>
        <w:t xml:space="preserve">20260826T214326Z</w:t>
      </w:r>
      <w:r>
        <w:t xml:space="preserve">, Yokohama</w:t>
      </w:r>
      <w:r>
        <w:t xml:space="preserve"> </w:t>
      </w:r>
      <w:r>
        <w:rPr>
          <w:rStyle w:val="VerbatimChar"/>
        </w:rPr>
        <w:t xml:space="preserve">20260826T215132Z</w:t>
      </w:r>
      <w:r>
        <w:t xml:space="preserve">, Gent</w:t>
      </w:r>
      <w:r>
        <w:t xml:space="preserve"> </w:t>
      </w:r>
      <w:r>
        <w:rPr>
          <w:rStyle w:val="VerbatimChar"/>
        </w:rPr>
        <w:t xml:space="preserve">20260826T220614Z</w:t>
      </w:r>
      <w:r>
        <w:t xml:space="preserve">). Each carries a</w:t>
      </w:r>
      <w:r>
        <w:t xml:space="preserve"> </w:t>
      </w:r>
      <w:r>
        <w:rPr>
          <w:rStyle w:val="VerbatimChar"/>
        </w:rPr>
        <w:t xml:space="preserve">manifest.json</w:t>
      </w:r>
      <w:r>
        <w:t xml:space="preserve"> </w:t>
      </w:r>
      <w:r>
        <w:t xml:space="preserve">recording</w:t>
      </w:r>
      <w:r>
        <w:t xml:space="preserve"> </w:t>
      </w:r>
      <w:r>
        <w:t xml:space="preserve">the fitted model family, link, formula, coefficients, dispersion, explained deviance,</w:t>
      </w:r>
      <w:r>
        <w:t xml:space="preserve"> </w:t>
      </w:r>
      <w:r>
        <w:t xml:space="preserve">training row count, the score-centring parameters, and every threshold constant, so that</w:t>
      </w:r>
      <w:r>
        <w:t xml:space="preserve"> </w:t>
      </w:r>
      <w:r>
        <w:t xml:space="preserve">every number in §3 is traceable to a specific run. [Deposit to Zenodo before submission</w:t>
      </w:r>
      <w:r>
        <w:t xml:space="preserve"> </w:t>
      </w:r>
      <w:r>
        <w:t xml:space="preserve">and record the DOI here.]</w:t>
      </w:r>
    </w:p>
    <w:p>
      <w:pPr>
        <w:pStyle w:val="BodyText"/>
      </w:pPr>
      <w:r>
        <w:rPr>
          <w:b/>
        </w:rPr>
        <w:t xml:space="preserve">Analysis code.</w:t>
      </w:r>
      <w:r>
        <w:t xml:space="preserve"> </w:t>
      </w:r>
      <w:r>
        <w:t xml:space="preserve">All diagnostics in this paper are in</w:t>
      </w:r>
      <w:r>
        <w:t xml:space="preserve"> </w:t>
      </w:r>
      <w:r>
        <w:rPr>
          <w:rStyle w:val="VerbatimChar"/>
        </w:rPr>
        <w:t xml:space="preserve">paper/analysis/</w:t>
      </w:r>
      <w:r>
        <w:t xml:space="preserve">:</w:t>
      </w:r>
      <w:r>
        <w:t xml:space="preserve"> </w:t>
      </w:r>
      <w:r>
        <w:rPr>
          <w:rStyle w:val="VerbatimChar"/>
        </w:rPr>
        <w:t xml:space="preserve">stats.py</w:t>
      </w:r>
      <w:r>
        <w:t xml:space="preserve"> </w:t>
      </w:r>
      <w:r>
        <w:t xml:space="preserve">and</w:t>
      </w:r>
      <w:r>
        <w:t xml:space="preserve"> </w:t>
      </w:r>
      <w:r>
        <w:rPr>
          <w:rStyle w:val="VerbatimChar"/>
        </w:rPr>
        <w:t xml:space="preserve">centroids.py</w:t>
      </w:r>
      <w:r>
        <w:t xml:space="preserve"> </w:t>
      </w:r>
      <w:r>
        <w:t xml:space="preserve">(extraction),</w:t>
      </w:r>
      <w:r>
        <w:t xml:space="preserve"> </w:t>
      </w:r>
      <w:r>
        <w:rPr>
          <w:rStyle w:val="VerbatimChar"/>
        </w:rPr>
        <w:t xml:space="preserve">analyse.py</w:t>
      </w:r>
      <w:r>
        <w:t xml:space="preserve"> </w:t>
      </w:r>
      <w:r>
        <w:t xml:space="preserve">and</w:t>
      </w:r>
      <w:r>
        <w:t xml:space="preserve"> </w:t>
      </w:r>
      <w:r>
        <w:rPr>
          <w:rStyle w:val="VerbatimChar"/>
        </w:rPr>
        <w:t xml:space="preserve">analyse2.py</w:t>
      </w:r>
      <w:r>
        <w:t xml:space="preserve"> </w:t>
      </w:r>
      <w:r>
        <w:t xml:space="preserve">(Tables 3, 4, 6, 7),</w:t>
      </w:r>
      <w:r>
        <w:t xml:space="preserve"> </w:t>
      </w:r>
      <w:r>
        <w:rPr>
          <w:rStyle w:val="VerbatimChar"/>
        </w:rPr>
        <w:t xml:space="preserve">cv.py</w:t>
      </w:r>
      <w:r>
        <w:t xml:space="preserve"> </w:t>
      </w:r>
      <w:r>
        <w:t xml:space="preserve">(Table 5 and the cross-validation),</w:t>
      </w:r>
      <w:r>
        <w:t xml:space="preserve"> </w:t>
      </w:r>
      <w:r>
        <w:rPr>
          <w:rStyle w:val="VerbatimChar"/>
        </w:rPr>
        <w:t xml:space="preserve">theory.py</w:t>
      </w:r>
      <w:r>
        <w:t xml:space="preserve"> </w:t>
      </w:r>
      <w:r>
        <w:t xml:space="preserve">(equation 1</w:t>
      </w:r>
      <w:r>
        <w:t xml:space="preserve"> </w:t>
      </w:r>
      <w:r>
        <w:t xml:space="preserve">verification),</w:t>
      </w:r>
      <w:r>
        <w:t xml:space="preserve"> </w:t>
      </w:r>
      <w:r>
        <w:rPr>
          <w:rStyle w:val="VerbatimChar"/>
        </w:rPr>
        <w:t xml:space="preserve">lattice.py</w:t>
      </w:r>
      <w:r>
        <w:t xml:space="preserve"> </w:t>
      </w:r>
      <w:r>
        <w:t xml:space="preserve">(§3.3),</w:t>
      </w:r>
      <w:r>
        <w:t xml:space="preserve"> </w:t>
      </w:r>
      <w:r>
        <w:rPr>
          <w:rStyle w:val="VerbatimChar"/>
        </w:rPr>
        <w:t xml:space="preserve">figs.py</w:t>
      </w:r>
      <w:r>
        <w:t xml:space="preserve"> </w:t>
      </w:r>
      <w:r>
        <w:t xml:space="preserve">and</w:t>
      </w:r>
      <w:r>
        <w:t xml:space="preserve"> </w:t>
      </w:r>
      <w:r>
        <w:rPr>
          <w:rStyle w:val="VerbatimChar"/>
        </w:rPr>
        <w:t xml:space="preserve">fig1.py</w:t>
      </w:r>
      <w:r>
        <w:t xml:space="preserve"> </w:t>
      </w:r>
      <w:r>
        <w:t xml:space="preserve">(Figures 1–5). Results are</w:t>
      </w:r>
      <w:r>
        <w:t xml:space="preserve"> </w:t>
      </w:r>
      <w:r>
        <w:t xml:space="preserve">cached as JSON alongside. Python 3,</w:t>
      </w:r>
      <w:r>
        <w:t xml:space="preserve"> </w:t>
      </w:r>
      <w:r>
        <w:rPr>
          <w:rStyle w:val="VerbatimChar"/>
        </w:rPr>
        <w:t xml:space="preserve">numpy</w:t>
      </w:r>
      <w:r>
        <w:t xml:space="preserve"> </w:t>
      </w:r>
      <w:r>
        <w:t xml:space="preserve">/</w:t>
      </w:r>
      <w:r>
        <w:t xml:space="preserve"> </w:t>
      </w:r>
      <w:r>
        <w:rPr>
          <w:rStyle w:val="VerbatimChar"/>
        </w:rPr>
        <w:t xml:space="preserve">scipy</w:t>
      </w:r>
      <w:r>
        <w:t xml:space="preserve"> </w:t>
      </w:r>
      <w:r>
        <w:t xml:space="preserve">/</w:t>
      </w:r>
      <w:r>
        <w:t xml:space="preserve"> </w:t>
      </w:r>
      <w:r>
        <w:rPr>
          <w:rStyle w:val="VerbatimChar"/>
        </w:rPr>
        <w:t xml:space="preserve">statsmodels</w:t>
      </w:r>
      <w:r>
        <w:t xml:space="preserve"> </w:t>
      </w:r>
      <w:r>
        <w:t xml:space="preserve">0.12.2 /</w:t>
      </w:r>
      <w:r>
        <w:t xml:space="preserve"> </w:t>
      </w:r>
      <w:r>
        <w:rPr>
          <w:rStyle w:val="VerbatimChar"/>
        </w:rPr>
        <w:t xml:space="preserve">matplotlib</w:t>
      </w:r>
      <w:r>
        <w:t xml:space="preserve"> </w:t>
      </w:r>
      <w:r>
        <w:t xml:space="preserve">3.4.3.</w:t>
      </w:r>
    </w:p>
    <w:p>
      <w:pPr>
        <w:pStyle w:val="BodyText"/>
      </w:pPr>
      <w:r>
        <w:rPr>
          <w:b/>
        </w:rPr>
        <w:t xml:space="preserve">Input data.</w:t>
      </w:r>
      <w:r>
        <w:t xml:space="preserve"> </w:t>
      </w:r>
      <w:r>
        <w:t xml:space="preserve">iNaturalist and GBIF records are publicly available under their own</w:t>
      </w:r>
      <w:r>
        <w:t xml:space="preserve"> </w:t>
      </w:r>
      <w:r>
        <w:t xml:space="preserve">terms; OpenStreetMap is ODbL; Sentinel-2, Landsat and WorldCover are open under their</w:t>
      </w:r>
      <w:r>
        <w:t xml:space="preserve"> </w:t>
      </w:r>
      <w:r>
        <w:t xml:space="preserve">providers’ terms. GBIF download DOIs: [record per city before submission].</w:t>
      </w:r>
    </w:p>
    <w:p>
      <w:pPr>
        <w:pStyle w:val="Heading2"/>
      </w:pPr>
      <w:bookmarkStart w:id="54" w:name="author-contributions"/>
      <w:r>
        <w:t xml:space="preserve">Author contributions</w:t>
      </w:r>
      <w:bookmarkEnd w:id="54"/>
    </w:p>
    <w:p>
      <w:pPr>
        <w:pStyle w:val="FirstParagraph"/>
      </w:pPr>
      <w:r>
        <w:t xml:space="preserve">[CRediT statement.]</w:t>
      </w:r>
    </w:p>
    <w:p>
      <w:pPr>
        <w:pStyle w:val="Heading2"/>
      </w:pPr>
      <w:bookmarkStart w:id="55" w:name="acknowledgements"/>
      <w:r>
        <w:t xml:space="preserve">Acknowledgements</w:t>
      </w:r>
      <w:bookmarkEnd w:id="55"/>
    </w:p>
    <w:p>
      <w:pPr>
        <w:pStyle w:val="FirstParagraph"/>
      </w:pPr>
      <w:r>
        <w:t xml:space="preserve">[iNaturalist and GBIF observers; OpenStreetMap contributors; funders.]</w:t>
      </w:r>
    </w:p>
    <w:p>
      <w:pPr>
        <w:pStyle w:val="Heading2"/>
      </w:pPr>
      <w:bookmarkStart w:id="56" w:name="competing-interests"/>
      <w:r>
        <w:t xml:space="preserve">Competing interests</w:t>
      </w:r>
      <w:bookmarkEnd w:id="56"/>
    </w:p>
    <w:p>
      <w:pPr>
        <w:pStyle w:val="FirstParagraph"/>
      </w:pPr>
      <w:r>
        <w:t xml:space="preserve">The authors developed the pipeline audited here.</w:t>
      </w:r>
    </w:p>
    <w:p>
      <w:r>
        <w:pict>
          <v:rect style="width:0;height:1.5pt" o:hralign="center" o:hrstd="t" o:hr="t"/>
        </w:pict>
      </w:r>
    </w:p>
    <w:p>
      <w:pPr>
        <w:pStyle w:val="Heading2"/>
      </w:pPr>
      <w:bookmarkStart w:id="57" w:name="references"/>
      <w:r>
        <w:t xml:space="preserve">References</w:t>
      </w:r>
      <w:bookmarkEnd w:id="57"/>
    </w:p>
    <w:p>
      <w:pPr>
        <w:pStyle w:val="FirstParagraph"/>
      </w:pPr>
      <w:r>
        <w:rPr>
          <w:i/>
        </w:rPr>
        <w:t xml:space="preserve">Starter list — every entry must be verified against the source before submission. One</w:t>
      </w:r>
      <w:r>
        <w:rPr>
          <w:i/>
        </w:rPr>
        <w:t xml:space="preserve"> </w:t>
      </w:r>
      <w:r>
        <w:rPr>
          <w:i/>
        </w:rPr>
        <w:t xml:space="preserve">prior version of this project cited Aronson et al. (2014) as the source of a species–area</w:t>
      </w:r>
      <w:r>
        <w:rPr>
          <w:i/>
        </w:rPr>
        <w:t xml:space="preserve"> </w:t>
      </w:r>
      <w:r>
        <w:rPr>
          <w:i/>
        </w:rPr>
        <w:t xml:space="preserve">exponent it does not contain; that error is the reason for this warning.</w:t>
      </w:r>
    </w:p>
    <w:p>
      <w:pPr>
        <w:pStyle w:val="BodyText"/>
      </w:pPr>
      <w:r>
        <w:rPr>
          <w:b/>
        </w:rPr>
        <w:t xml:space="preserve">Urban biodiversity</w:t>
      </w:r>
    </w:p>
    <w:p>
      <w:pPr>
        <w:pStyle w:val="Compact"/>
        <w:numPr>
          <w:numId w:val="1006"/>
          <w:ilvl w:val="0"/>
        </w:numPr>
      </w:pPr>
      <w:r>
        <w:t xml:space="preserve">Aronson, M.F.J. et al. (2014) A global analysis of the impacts of urbanization on</w:t>
      </w:r>
      <w:r>
        <w:t xml:space="preserve"> </w:t>
      </w:r>
      <w:r>
        <w:t xml:space="preserve">bird and plant diversity reveals key anthropogenic drivers.</w:t>
      </w:r>
      <w:r>
        <w:t xml:space="preserve"> </w:t>
      </w:r>
      <w:r>
        <w:rPr>
          <w:i/>
        </w:rPr>
        <w:t xml:space="preserve">Proc. R. Soc. B</w:t>
      </w:r>
      <w:r>
        <w:t xml:space="preserve"> </w:t>
      </w:r>
      <w:r>
        <w:t xml:space="preserve">281: 20133330.</w:t>
      </w:r>
    </w:p>
    <w:p>
      <w:pPr>
        <w:pStyle w:val="Compact"/>
        <w:numPr>
          <w:numId w:val="1006"/>
          <w:ilvl w:val="0"/>
        </w:numPr>
      </w:pPr>
      <w:r>
        <w:t xml:space="preserve">Beninde, J., Veith, M. &amp; Hochkirch, A. (2015) Biodiversity in cities needs space: a</w:t>
      </w:r>
      <w:r>
        <w:t xml:space="preserve"> </w:t>
      </w:r>
      <w:r>
        <w:t xml:space="preserve">meta-analysis of factors determining intra-urban biodiversity variation.</w:t>
      </w:r>
      <w:r>
        <w:t xml:space="preserve"> </w:t>
      </w:r>
      <w:r>
        <w:rPr>
          <w:i/>
        </w:rPr>
        <w:t xml:space="preserve">Ecology Letters</w:t>
      </w:r>
      <w:r>
        <w:t xml:space="preserve"> </w:t>
      </w:r>
      <w:r>
        <w:t xml:space="preserve">18: 581–592.</w:t>
      </w:r>
    </w:p>
    <w:p>
      <w:pPr>
        <w:pStyle w:val="Compact"/>
        <w:numPr>
          <w:numId w:val="1006"/>
          <w:ilvl w:val="0"/>
        </w:numPr>
      </w:pPr>
      <w:r>
        <w:t xml:space="preserve">Grimm, N.B. et al. (2008) Global change and the ecology of cities.</w:t>
      </w:r>
      <w:r>
        <w:t xml:space="preserve"> </w:t>
      </w:r>
      <w:r>
        <w:rPr>
          <w:i/>
        </w:rPr>
        <w:t xml:space="preserve">Science</w:t>
      </w:r>
      <w:r>
        <w:t xml:space="preserve"> </w:t>
      </w:r>
      <w:r>
        <w:t xml:space="preserve">319:</w:t>
      </w:r>
      <w:r>
        <w:t xml:space="preserve"> </w:t>
      </w:r>
      <w:r>
        <w:t xml:space="preserve">756–760.</w:t>
      </w:r>
    </w:p>
    <w:p>
      <w:pPr>
        <w:pStyle w:val="Compact"/>
        <w:numPr>
          <w:numId w:val="1006"/>
          <w:ilvl w:val="0"/>
        </w:numPr>
      </w:pPr>
      <w:r>
        <w:t xml:space="preserve">Lepczyk, C.A. et al. (2017) Biodiversity in the city: fundamental questions for</w:t>
      </w:r>
      <w:r>
        <w:t xml:space="preserve"> </w:t>
      </w:r>
      <w:r>
        <w:t xml:space="preserve">understanding the ecology of urban green spaces.</w:t>
      </w:r>
      <w:r>
        <w:t xml:space="preserve"> </w:t>
      </w:r>
      <w:r>
        <w:rPr>
          <w:i/>
        </w:rPr>
        <w:t xml:space="preserve">BioScience</w:t>
      </w:r>
      <w:r>
        <w:t xml:space="preserve"> </w:t>
      </w:r>
      <w:r>
        <w:t xml:space="preserve">67: 799–807.</w:t>
      </w:r>
    </w:p>
    <w:p>
      <w:pPr>
        <w:pStyle w:val="FirstParagraph"/>
      </w:pPr>
      <w:r>
        <w:rPr>
          <w:b/>
        </w:rPr>
        <w:t xml:space="preserve">Citizen science: value and bias</w:t>
      </w:r>
    </w:p>
    <w:p>
      <w:pPr>
        <w:pStyle w:val="Compact"/>
        <w:numPr>
          <w:numId w:val="1007"/>
          <w:ilvl w:val="0"/>
        </w:numPr>
      </w:pPr>
      <w:r>
        <w:t xml:space="preserve">Dickinson, J.L., Zuckerberg, B. &amp; Bonter, D.N. (2010) Citizen science as an ecological</w:t>
      </w:r>
      <w:r>
        <w:t xml:space="preserve"> </w:t>
      </w:r>
      <w:r>
        <w:t xml:space="preserve">research tool.</w:t>
      </w:r>
      <w:r>
        <w:t xml:space="preserve"> </w:t>
      </w:r>
      <w:r>
        <w:rPr>
          <w:i/>
        </w:rPr>
        <w:t xml:space="preserve">Annu. Rev. Ecol. Evol. Syst.</w:t>
      </w:r>
      <w:r>
        <w:t xml:space="preserve"> </w:t>
      </w:r>
      <w:r>
        <w:t xml:space="preserve">41: 149–172.</w:t>
      </w:r>
    </w:p>
    <w:p>
      <w:pPr>
        <w:pStyle w:val="Compact"/>
        <w:numPr>
          <w:numId w:val="1007"/>
          <w:ilvl w:val="0"/>
        </w:numPr>
      </w:pPr>
      <w:r>
        <w:t xml:space="preserve">Isaac, N.J.B. &amp; Pocock, M.J.O. (2015) Bias and information in biological records.</w:t>
      </w:r>
      <w:r>
        <w:t xml:space="preserve"> </w:t>
      </w:r>
      <w:r>
        <w:rPr>
          <w:i/>
        </w:rPr>
        <w:t xml:space="preserve">Biol. J. Linn. Soc.</w:t>
      </w:r>
      <w:r>
        <w:t xml:space="preserve"> </w:t>
      </w:r>
      <w:r>
        <w:t xml:space="preserve">115: 522–531.</w:t>
      </w:r>
    </w:p>
    <w:p>
      <w:pPr>
        <w:pStyle w:val="Compact"/>
        <w:numPr>
          <w:numId w:val="1007"/>
          <w:ilvl w:val="0"/>
        </w:numPr>
      </w:pPr>
      <w:r>
        <w:t xml:space="preserve">Bird, T.J. et al. (2014) Statistical solutions for error and bias in global citizen</w:t>
      </w:r>
      <w:r>
        <w:t xml:space="preserve"> </w:t>
      </w:r>
      <w:r>
        <w:t xml:space="preserve">science datasets.</w:t>
      </w:r>
      <w:r>
        <w:t xml:space="preserve"> </w:t>
      </w:r>
      <w:r>
        <w:rPr>
          <w:i/>
        </w:rPr>
        <w:t xml:space="preserve">Biological Conservation</w:t>
      </w:r>
      <w:r>
        <w:t xml:space="preserve"> </w:t>
      </w:r>
      <w:r>
        <w:t xml:space="preserve">173: 144–154.</w:t>
      </w:r>
    </w:p>
    <w:p>
      <w:pPr>
        <w:pStyle w:val="Compact"/>
        <w:numPr>
          <w:numId w:val="1007"/>
          <w:ilvl w:val="0"/>
        </w:numPr>
      </w:pPr>
      <w:r>
        <w:t xml:space="preserve">Chandler, M. et al. (2017) Contribution of citizen science towards international</w:t>
      </w:r>
      <w:r>
        <w:t xml:space="preserve"> </w:t>
      </w:r>
      <w:r>
        <w:t xml:space="preserve">biodiversity monitoring.</w:t>
      </w:r>
      <w:r>
        <w:t xml:space="preserve"> </w:t>
      </w:r>
      <w:r>
        <w:rPr>
          <w:i/>
        </w:rPr>
        <w:t xml:space="preserve">Biological Conservation</w:t>
      </w:r>
      <w:r>
        <w:t xml:space="preserve"> </w:t>
      </w:r>
      <w:r>
        <w:t xml:space="preserve">213: 280–294.</w:t>
      </w:r>
    </w:p>
    <w:p>
      <w:pPr>
        <w:pStyle w:val="FirstParagraph"/>
      </w:pPr>
      <w:r>
        <w:rPr>
          <w:b/>
        </w:rPr>
        <w:t xml:space="preserve">Spatial bias and data quality in occurrence records</w:t>
      </w:r>
    </w:p>
    <w:p>
      <w:pPr>
        <w:pStyle w:val="Compact"/>
        <w:numPr>
          <w:numId w:val="1008"/>
          <w:ilvl w:val="0"/>
        </w:numPr>
      </w:pPr>
      <w:r>
        <w:t xml:space="preserve">Boakes, E.H. et al. (2010) Distorted views of biodiversity: spatial and temporal bias</w:t>
      </w:r>
      <w:r>
        <w:t xml:space="preserve"> </w:t>
      </w:r>
      <w:r>
        <w:t xml:space="preserve">in species occurrence data.</w:t>
      </w:r>
      <w:r>
        <w:t xml:space="preserve"> </w:t>
      </w:r>
      <w:r>
        <w:rPr>
          <w:i/>
        </w:rPr>
        <w:t xml:space="preserve">PLoS Biology</w:t>
      </w:r>
      <w:r>
        <w:t xml:space="preserve"> </w:t>
      </w:r>
      <w:r>
        <w:t xml:space="preserve">8: e1000385.</w:t>
      </w:r>
    </w:p>
    <w:p>
      <w:pPr>
        <w:pStyle w:val="Compact"/>
        <w:numPr>
          <w:numId w:val="1008"/>
          <w:ilvl w:val="0"/>
        </w:numPr>
      </w:pPr>
      <w:r>
        <w:t xml:space="preserve">Zizka, A. et al. (2019) CoordinateCleaner: standardized cleaning of occurrence</w:t>
      </w:r>
      <w:r>
        <w:t xml:space="preserve"> </w:t>
      </w:r>
      <w:r>
        <w:t xml:space="preserve">records from biological collection databases.</w:t>
      </w:r>
      <w:r>
        <w:t xml:space="preserve"> </w:t>
      </w:r>
      <w:r>
        <w:rPr>
          <w:i/>
        </w:rPr>
        <w:t xml:space="preserve">Methods Ecol. Evol.</w:t>
      </w:r>
      <w:r>
        <w:t xml:space="preserve"> </w:t>
      </w:r>
      <w:r>
        <w:t xml:space="preserve">10: 744–751.</w:t>
      </w:r>
      <w:r>
        <w:t xml:space="preserve"> </w:t>
      </w:r>
      <w:r>
        <w:rPr>
          <w:i/>
        </w:rPr>
        <w:t xml:space="preserve">(Directly relevant to §3.3.)</w:t>
      </w:r>
    </w:p>
    <w:p>
      <w:pPr>
        <w:pStyle w:val="Compact"/>
        <w:numPr>
          <w:numId w:val="1008"/>
          <w:ilvl w:val="0"/>
        </w:numPr>
      </w:pPr>
      <w:r>
        <w:t xml:space="preserve">Hughes, A.C. et al. (2021) Sampling biases shape our view of the natural world.</w:t>
      </w:r>
      <w:r>
        <w:t xml:space="preserve"> </w:t>
      </w:r>
      <w:r>
        <w:rPr>
          <w:i/>
        </w:rPr>
        <w:t xml:space="preserve">Ecography</w:t>
      </w:r>
      <w:r>
        <w:t xml:space="preserve"> </w:t>
      </w:r>
      <w:r>
        <w:t xml:space="preserve">44: 1259–1269.</w:t>
      </w:r>
    </w:p>
    <w:p>
      <w:pPr>
        <w:pStyle w:val="Compact"/>
        <w:numPr>
          <w:numId w:val="1008"/>
          <w:ilvl w:val="0"/>
        </w:numPr>
      </w:pPr>
      <w:r>
        <w:t xml:space="preserve">Geldmann, J. et al. (2016) What determines spatial bias in citizen science?</w:t>
      </w:r>
      <w:r>
        <w:t xml:space="preserve"> </w:t>
      </w:r>
      <w:r>
        <w:rPr>
          <w:i/>
        </w:rPr>
        <w:t xml:space="preserve">Diversity and Distributions</w:t>
      </w:r>
      <w:r>
        <w:t xml:space="preserve"> </w:t>
      </w:r>
      <w:r>
        <w:t xml:space="preserve">22: 1139–1149.</w:t>
      </w:r>
    </w:p>
    <w:p>
      <w:pPr>
        <w:pStyle w:val="Compact"/>
        <w:numPr>
          <w:numId w:val="1008"/>
          <w:ilvl w:val="0"/>
        </w:numPr>
      </w:pPr>
      <w:r>
        <w:t xml:space="preserve">Maldonado, C. et al. (2015) Estimating species diversity and distribution in the era</w:t>
      </w:r>
      <w:r>
        <w:t xml:space="preserve"> </w:t>
      </w:r>
      <w:r>
        <w:t xml:space="preserve">of Big Data.</w:t>
      </w:r>
      <w:r>
        <w:t xml:space="preserve"> </w:t>
      </w:r>
      <w:r>
        <w:rPr>
          <w:i/>
        </w:rPr>
        <w:t xml:space="preserve">Global Ecology and Biogeography</w:t>
      </w:r>
      <w:r>
        <w:t xml:space="preserve"> </w:t>
      </w:r>
      <w:r>
        <w:t xml:space="preserve">24: 973–984.</w:t>
      </w:r>
    </w:p>
    <w:p>
      <w:pPr>
        <w:pStyle w:val="FirstParagraph"/>
      </w:pPr>
      <w:r>
        <w:rPr>
          <w:b/>
        </w:rPr>
        <w:t xml:space="preserve">Effort correction and detection</w:t>
      </w:r>
    </w:p>
    <w:p>
      <w:pPr>
        <w:pStyle w:val="Compact"/>
        <w:numPr>
          <w:numId w:val="1009"/>
          <w:ilvl w:val="0"/>
        </w:numPr>
      </w:pPr>
      <w:r>
        <w:t xml:space="preserve">Isaac, N.J.B. et al. (2014) Statistics for citizen science: extracting signals of</w:t>
      </w:r>
      <w:r>
        <w:t xml:space="preserve"> </w:t>
      </w:r>
      <w:r>
        <w:t xml:space="preserve">change from noisy ecological data.</w:t>
      </w:r>
      <w:r>
        <w:t xml:space="preserve"> </w:t>
      </w:r>
      <w:r>
        <w:rPr>
          <w:i/>
        </w:rPr>
        <w:t xml:space="preserve">Methods Ecol. Evol.</w:t>
      </w:r>
      <w:r>
        <w:t xml:space="preserve"> </w:t>
      </w:r>
      <w:r>
        <w:t xml:space="preserve">5: 1052–1060.</w:t>
      </w:r>
    </w:p>
    <w:p>
      <w:pPr>
        <w:pStyle w:val="Compact"/>
        <w:numPr>
          <w:numId w:val="1009"/>
          <w:ilvl w:val="0"/>
        </w:numPr>
      </w:pPr>
      <w:r>
        <w:t xml:space="preserve">Kéry, M., Royle, J.A., Schmid, H. et al. (2010) Site-occupancy distribution modeling</w:t>
      </w:r>
      <w:r>
        <w:t xml:space="preserve"> </w:t>
      </w:r>
      <w:r>
        <w:t xml:space="preserve">to correct population-trend estimates derived from opportunistic observations.</w:t>
      </w:r>
      <w:r>
        <w:t xml:space="preserve"> </w:t>
      </w:r>
      <w:r>
        <w:rPr>
          <w:i/>
        </w:rPr>
        <w:t xml:space="preserve">Conservation Biology</w:t>
      </w:r>
      <w:r>
        <w:t xml:space="preserve"> </w:t>
      </w:r>
      <w:r>
        <w:t xml:space="preserve">24: 1388–1397.</w:t>
      </w:r>
    </w:p>
    <w:p>
      <w:pPr>
        <w:pStyle w:val="Compact"/>
        <w:numPr>
          <w:numId w:val="1009"/>
          <w:ilvl w:val="0"/>
        </w:numPr>
      </w:pPr>
      <w:r>
        <w:t xml:space="preserve">van Strien, A.J., van Swaay, C.A.M. &amp; Termaat, T. (2013) Opportunistic citizen</w:t>
      </w:r>
      <w:r>
        <w:t xml:space="preserve"> </w:t>
      </w:r>
      <w:r>
        <w:t xml:space="preserve">science data of animal species produce reliable estimates of distribution trends.</w:t>
      </w:r>
      <w:r>
        <w:t xml:space="preserve"> </w:t>
      </w:r>
      <w:r>
        <w:rPr>
          <w:i/>
        </w:rPr>
        <w:t xml:space="preserve">J. Applied Ecology</w:t>
      </w:r>
      <w:r>
        <w:t xml:space="preserve"> </w:t>
      </w:r>
      <w:r>
        <w:t xml:space="preserve">50: 1450–1458.</w:t>
      </w:r>
    </w:p>
    <w:p>
      <w:pPr>
        <w:pStyle w:val="Compact"/>
        <w:numPr>
          <w:numId w:val="1009"/>
          <w:ilvl w:val="0"/>
        </w:numPr>
      </w:pPr>
      <w:r>
        <w:t xml:space="preserve">Outhwaite, C.L. et al. (2019) Annual estimates of occupancy for bryophytes, lichens</w:t>
      </w:r>
      <w:r>
        <w:t xml:space="preserve"> </w:t>
      </w:r>
      <w:r>
        <w:t xml:space="preserve">and invertebrates in the UK, 1970–2015.</w:t>
      </w:r>
      <w:r>
        <w:t xml:space="preserve"> </w:t>
      </w:r>
      <w:r>
        <w:rPr>
          <w:i/>
        </w:rPr>
        <w:t xml:space="preserve">Scientific Data</w:t>
      </w:r>
      <w:r>
        <w:t xml:space="preserve"> </w:t>
      </w:r>
      <w:r>
        <w:t xml:space="preserve">6: 259.</w:t>
      </w:r>
    </w:p>
    <w:p>
      <w:pPr>
        <w:pStyle w:val="FirstParagraph"/>
      </w:pPr>
      <w:r>
        <w:rPr>
          <w:b/>
        </w:rPr>
        <w:t xml:space="preserve">Presence-only and richness modelling</w:t>
      </w:r>
    </w:p>
    <w:p>
      <w:pPr>
        <w:pStyle w:val="Compact"/>
        <w:numPr>
          <w:numId w:val="1010"/>
          <w:ilvl w:val="0"/>
        </w:numPr>
      </w:pPr>
      <w:r>
        <w:t xml:space="preserve">Phillips, S.J. et al. (2009) Sample selection bias and presence-only distribution</w:t>
      </w:r>
      <w:r>
        <w:t xml:space="preserve"> </w:t>
      </w:r>
      <w:r>
        <w:t xml:space="preserve">models.</w:t>
      </w:r>
      <w:r>
        <w:t xml:space="preserve"> </w:t>
      </w:r>
      <w:r>
        <w:rPr>
          <w:i/>
        </w:rPr>
        <w:t xml:space="preserve">Ecological Applications</w:t>
      </w:r>
      <w:r>
        <w:t xml:space="preserve"> </w:t>
      </w:r>
      <w:r>
        <w:t xml:space="preserve">19: 181–197.</w:t>
      </w:r>
    </w:p>
    <w:p>
      <w:pPr>
        <w:pStyle w:val="Compact"/>
        <w:numPr>
          <w:numId w:val="1010"/>
          <w:ilvl w:val="0"/>
        </w:numPr>
      </w:pPr>
      <w:r>
        <w:t xml:space="preserve">Warton, D.I., Renner, I.W. &amp; Ramp, D. (2013) Model-based control of observer bias for</w:t>
      </w:r>
      <w:r>
        <w:t xml:space="preserve"> </w:t>
      </w:r>
      <w:r>
        <w:t xml:space="preserve">the analysis of presence-only data in ecology.</w:t>
      </w:r>
      <w:r>
        <w:t xml:space="preserve"> </w:t>
      </w:r>
      <w:r>
        <w:rPr>
          <w:i/>
        </w:rPr>
        <w:t xml:space="preserve">PLoS ONE</w:t>
      </w:r>
      <w:r>
        <w:t xml:space="preserve"> </w:t>
      </w:r>
      <w:r>
        <w:t xml:space="preserve">8: e79168.</w:t>
      </w:r>
    </w:p>
    <w:p>
      <w:pPr>
        <w:pStyle w:val="Compact"/>
        <w:numPr>
          <w:numId w:val="1010"/>
          <w:ilvl w:val="0"/>
        </w:numPr>
      </w:pPr>
      <w:r>
        <w:t xml:space="preserve">Fithian, W. et al. (2015) Bias correction in species distribution models: pooling</w:t>
      </w:r>
      <w:r>
        <w:t xml:space="preserve"> </w:t>
      </w:r>
      <w:r>
        <w:t xml:space="preserve">survey and collection data.</w:t>
      </w:r>
      <w:r>
        <w:t xml:space="preserve"> </w:t>
      </w:r>
      <w:r>
        <w:rPr>
          <w:i/>
        </w:rPr>
        <w:t xml:space="preserve">Methods Ecol. Evol.</w:t>
      </w:r>
      <w:r>
        <w:t xml:space="preserve"> </w:t>
      </w:r>
      <w:r>
        <w:t xml:space="preserve">6: 424–438.</w:t>
      </w:r>
    </w:p>
    <w:p>
      <w:pPr>
        <w:pStyle w:val="Compact"/>
        <w:numPr>
          <w:numId w:val="1010"/>
          <w:ilvl w:val="0"/>
        </w:numPr>
      </w:pPr>
      <w:r>
        <w:t xml:space="preserve">Renner, I.W. et al. (2015) Point process models for presence-only analysis.</w:t>
      </w:r>
      <w:r>
        <w:t xml:space="preserve"> </w:t>
      </w:r>
      <w:r>
        <w:rPr>
          <w:i/>
        </w:rPr>
        <w:t xml:space="preserve">Methods Ecol. Evol.</w:t>
      </w:r>
      <w:r>
        <w:t xml:space="preserve"> </w:t>
      </w:r>
      <w:r>
        <w:t xml:space="preserve">6: 366–379.</w:t>
      </w:r>
    </w:p>
    <w:p>
      <w:pPr>
        <w:pStyle w:val="FirstParagraph"/>
      </w:pPr>
      <w:r>
        <w:rPr>
          <w:b/>
        </w:rPr>
        <w:t xml:space="preserve">Model evaluation</w:t>
      </w:r>
    </w:p>
    <w:p>
      <w:pPr>
        <w:pStyle w:val="Compact"/>
        <w:numPr>
          <w:numId w:val="1011"/>
          <w:ilvl w:val="0"/>
        </w:numPr>
      </w:pPr>
      <w:r>
        <w:t xml:space="preserve">Roberts, D.R. et al. (2017) Cross-validation strategies for data with temporal,</w:t>
      </w:r>
      <w:r>
        <w:t xml:space="preserve"> </w:t>
      </w:r>
      <w:r>
        <w:t xml:space="preserve">spatial, hierarchical, or phylogenetic structure.</w:t>
      </w:r>
      <w:r>
        <w:t xml:space="preserve"> </w:t>
      </w:r>
      <w:r>
        <w:rPr>
          <w:i/>
        </w:rPr>
        <w:t xml:space="preserve">Ecography</w:t>
      </w:r>
      <w:r>
        <w:t xml:space="preserve"> </w:t>
      </w:r>
      <w:r>
        <w:t xml:space="preserve">40: 913–929.</w:t>
      </w:r>
    </w:p>
    <w:p>
      <w:pPr>
        <w:pStyle w:val="Compact"/>
        <w:numPr>
          <w:numId w:val="1011"/>
          <w:ilvl w:val="0"/>
        </w:numPr>
      </w:pPr>
      <w:r>
        <w:t xml:space="preserve">Ploton, P. et al. (2020) Spatial validation reveals poor predictive performance of</w:t>
      </w:r>
      <w:r>
        <w:t xml:space="preserve"> </w:t>
      </w:r>
      <w:r>
        <w:t xml:space="preserve">large-scale ecological mapping models.</w:t>
      </w:r>
      <w:r>
        <w:t xml:space="preserve"> </w:t>
      </w:r>
      <w:r>
        <w:rPr>
          <w:i/>
        </w:rPr>
        <w:t xml:space="preserve">Nature Communications</w:t>
      </w:r>
      <w:r>
        <w:t xml:space="preserve"> </w:t>
      </w:r>
      <w:r>
        <w:t xml:space="preserve">11: 4540.</w:t>
      </w:r>
    </w:p>
    <w:p>
      <w:pPr>
        <w:pStyle w:val="Compact"/>
        <w:numPr>
          <w:numId w:val="1011"/>
          <w:ilvl w:val="0"/>
        </w:numPr>
      </w:pPr>
      <w:r>
        <w:t xml:space="preserve">Valavi, R. et al. (2019) blockCV: an R package for generating spatially or</w:t>
      </w:r>
      <w:r>
        <w:t xml:space="preserve"> </w:t>
      </w:r>
      <w:r>
        <w:t xml:space="preserve">environmentally separated folds.</w:t>
      </w:r>
      <w:r>
        <w:t xml:space="preserve"> </w:t>
      </w:r>
      <w:r>
        <w:rPr>
          <w:i/>
        </w:rPr>
        <w:t xml:space="preserve">Methods Ecol. Evol.</w:t>
      </w:r>
      <w:r>
        <w:t xml:space="preserve"> </w:t>
      </w:r>
      <w:r>
        <w:t xml:space="preserve">10: 225–232.</w:t>
      </w:r>
    </w:p>
    <w:p>
      <w:pPr>
        <w:pStyle w:val="Compact"/>
        <w:numPr>
          <w:numId w:val="1011"/>
          <w:ilvl w:val="0"/>
        </w:numPr>
      </w:pPr>
      <w:r>
        <w:t xml:space="preserve">Wenger, S.J. &amp; Olden, J.D. (2012) Assessing transferability of ecological models.</w:t>
      </w:r>
      <w:r>
        <w:t xml:space="preserve"> </w:t>
      </w:r>
      <w:r>
        <w:rPr>
          <w:i/>
        </w:rPr>
        <w:t xml:space="preserve">Methods Ecol. Evol.</w:t>
      </w:r>
      <w:r>
        <w:t xml:space="preserve"> </w:t>
      </w:r>
      <w:r>
        <w:t xml:space="preserve">3: 260–267.</w:t>
      </w:r>
    </w:p>
    <w:p>
      <w:pPr>
        <w:pStyle w:val="FirstParagraph"/>
      </w:pPr>
      <w:r>
        <w:rPr>
          <w:b/>
        </w:rPr>
        <w:t xml:space="preserve">Counts, overdispersion, zero-inflation</w:t>
      </w:r>
    </w:p>
    <w:p>
      <w:pPr>
        <w:pStyle w:val="Compact"/>
        <w:numPr>
          <w:numId w:val="1012"/>
          <w:ilvl w:val="0"/>
        </w:numPr>
      </w:pPr>
      <w:r>
        <w:t xml:space="preserve">Ver Hoef, J.M. &amp; Boveng, P.L. (2007) Quasi-Poisson vs. negative binomial regression:</w:t>
      </w:r>
      <w:r>
        <w:t xml:space="preserve"> </w:t>
      </w:r>
      <w:r>
        <w:t xml:space="preserve">how should we model overdispersed count data?</w:t>
      </w:r>
      <w:r>
        <w:t xml:space="preserve"> </w:t>
      </w:r>
      <w:r>
        <w:rPr>
          <w:i/>
        </w:rPr>
        <w:t xml:space="preserve">Ecology</w:t>
      </w:r>
      <w:r>
        <w:t xml:space="preserve"> </w:t>
      </w:r>
      <w:r>
        <w:t xml:space="preserve">88: 2766–2772.</w:t>
      </w:r>
    </w:p>
    <w:p>
      <w:pPr>
        <w:pStyle w:val="Compact"/>
        <w:numPr>
          <w:numId w:val="1012"/>
          <w:ilvl w:val="0"/>
        </w:numPr>
      </w:pPr>
      <w:r>
        <w:t xml:space="preserve">Warton, D.I. (2005) Many zeros does not mean zero inflation.</w:t>
      </w:r>
      <w:r>
        <w:t xml:space="preserve"> </w:t>
      </w:r>
      <w:r>
        <w:rPr>
          <w:i/>
        </w:rPr>
        <w:t xml:space="preserve">Environmetrics</w:t>
      </w:r>
      <w:r>
        <w:t xml:space="preserve"> </w:t>
      </w:r>
      <w:r>
        <w:t xml:space="preserve">16:</w:t>
      </w:r>
      <w:r>
        <w:t xml:space="preserve"> </w:t>
      </w:r>
      <w:r>
        <w:t xml:space="preserve">275–289.</w:t>
      </w:r>
    </w:p>
    <w:p>
      <w:pPr>
        <w:pStyle w:val="Compact"/>
        <w:numPr>
          <w:numId w:val="1012"/>
          <w:ilvl w:val="0"/>
        </w:numPr>
      </w:pPr>
      <w:r>
        <w:t xml:space="preserve">Zuur, A.F. et al. (2009)</w:t>
      </w:r>
      <w:r>
        <w:t xml:space="preserve"> </w:t>
      </w:r>
      <w:r>
        <w:rPr>
          <w:i/>
        </w:rPr>
        <w:t xml:space="preserve">Mixed Effects Models and Extensions in Ecology with R.</w:t>
      </w:r>
      <w:r>
        <w:t xml:space="preserve"> </w:t>
      </w:r>
      <w:r>
        <w:t xml:space="preserve">Springer.</w:t>
      </w:r>
    </w:p>
    <w:p>
      <w:pPr>
        <w:pStyle w:val="FirstParagraph"/>
      </w:pPr>
      <w:r>
        <w:rPr>
          <w:b/>
        </w:rPr>
        <w:t xml:space="preserve">Residual, gap and debt mapping</w:t>
      </w:r>
    </w:p>
    <w:p>
      <w:pPr>
        <w:pStyle w:val="Compact"/>
        <w:numPr>
          <w:numId w:val="1013"/>
          <w:ilvl w:val="0"/>
        </w:numPr>
      </w:pPr>
      <w:r>
        <w:t xml:space="preserve">Kuussaari, M. et al. (2009) Extinction debt: a challenge for biodiversity</w:t>
      </w:r>
      <w:r>
        <w:t xml:space="preserve"> </w:t>
      </w:r>
      <w:r>
        <w:t xml:space="preserve">conservation.</w:t>
      </w:r>
      <w:r>
        <w:t xml:space="preserve"> </w:t>
      </w:r>
      <w:r>
        <w:rPr>
          <w:i/>
        </w:rPr>
        <w:t xml:space="preserve">TREE</w:t>
      </w:r>
      <w:r>
        <w:t xml:space="preserve"> </w:t>
      </w:r>
      <w:r>
        <w:t xml:space="preserve">24: 564–571.</w:t>
      </w:r>
    </w:p>
    <w:p>
      <w:pPr>
        <w:pStyle w:val="Compact"/>
        <w:numPr>
          <w:numId w:val="1013"/>
          <w:ilvl w:val="0"/>
        </w:numPr>
      </w:pPr>
      <w:r>
        <w:t xml:space="preserve">Newbold, T. et al. (2015) Global effects of land use on local terrestrial</w:t>
      </w:r>
      <w:r>
        <w:t xml:space="preserve"> </w:t>
      </w:r>
      <w:r>
        <w:t xml:space="preserve">biodiversity.</w:t>
      </w:r>
      <w:r>
        <w:t xml:space="preserve"> </w:t>
      </w:r>
      <w:r>
        <w:rPr>
          <w:i/>
        </w:rPr>
        <w:t xml:space="preserve">Nature</w:t>
      </w:r>
      <w:r>
        <w:t xml:space="preserve"> </w:t>
      </w:r>
      <w:r>
        <w:t xml:space="preserve">520: 45–50.</w:t>
      </w:r>
    </w:p>
    <w:p>
      <w:pPr>
        <w:pStyle w:val="Compact"/>
        <w:numPr>
          <w:numId w:val="1013"/>
          <w:ilvl w:val="0"/>
        </w:numPr>
      </w:pPr>
      <w:r>
        <w:t xml:space="preserve">Watson, J.E.M. et al. (2016) Catastrophic declines in wilderness areas undermine</w:t>
      </w:r>
      <w:r>
        <w:t xml:space="preserve"> </w:t>
      </w:r>
      <w:r>
        <w:t xml:space="preserve">global environment targets.</w:t>
      </w:r>
      <w:r>
        <w:t xml:space="preserve"> </w:t>
      </w:r>
      <w:r>
        <w:rPr>
          <w:i/>
        </w:rPr>
        <w:t xml:space="preserve">Current Biology</w:t>
      </w:r>
      <w:r>
        <w:t xml:space="preserve"> </w:t>
      </w:r>
      <w:r>
        <w:t xml:space="preserve">26: 2929–2934.</w:t>
      </w:r>
    </w:p>
    <w:p>
      <w:pPr>
        <w:pStyle w:val="FirstParagraph"/>
      </w:pPr>
      <w:r>
        <w:rPr>
          <w:b/>
        </w:rPr>
        <w:t xml:space="preserve">Connectivity</w:t>
      </w:r>
    </w:p>
    <w:p>
      <w:pPr>
        <w:pStyle w:val="Compact"/>
        <w:numPr>
          <w:numId w:val="1014"/>
          <w:ilvl w:val="0"/>
        </w:numPr>
      </w:pPr>
      <w:r>
        <w:t xml:space="preserve">Adriaensen, F. et al. (2003) The application of</w:t>
      </w:r>
      <w:r>
        <w:t xml:space="preserve"> </w:t>
      </w:r>
      <w:r>
        <w:t xml:space="preserve">“</w:t>
      </w:r>
      <w:r>
        <w:t xml:space="preserve">least-cost</w:t>
      </w:r>
      <w:r>
        <w:t xml:space="preserve">”</w:t>
      </w:r>
      <w:r>
        <w:t xml:space="preserve"> </w:t>
      </w:r>
      <w:r>
        <w:t xml:space="preserve">modelling as a</w:t>
      </w:r>
      <w:r>
        <w:t xml:space="preserve"> </w:t>
      </w:r>
      <w:r>
        <w:t xml:space="preserve">functional landscape model.</w:t>
      </w:r>
      <w:r>
        <w:t xml:space="preserve"> </w:t>
      </w:r>
      <w:r>
        <w:rPr>
          <w:i/>
        </w:rPr>
        <w:t xml:space="preserve">Landscape and Urban Planning</w:t>
      </w:r>
      <w:r>
        <w:t xml:space="preserve"> </w:t>
      </w:r>
      <w:r>
        <w:t xml:space="preserve">64: 233–247.</w:t>
      </w:r>
    </w:p>
    <w:p>
      <w:pPr>
        <w:pStyle w:val="Compact"/>
        <w:numPr>
          <w:numId w:val="1014"/>
          <w:ilvl w:val="0"/>
        </w:numPr>
      </w:pPr>
      <w:r>
        <w:t xml:space="preserve">McRae, B.H. et al. (2008) Using circuit theory to model connectivity in ecology,</w:t>
      </w:r>
      <w:r>
        <w:t xml:space="preserve"> </w:t>
      </w:r>
      <w:r>
        <w:t xml:space="preserve">evolution, and conservation.</w:t>
      </w:r>
      <w:r>
        <w:t xml:space="preserve"> </w:t>
      </w:r>
      <w:r>
        <w:rPr>
          <w:i/>
        </w:rPr>
        <w:t xml:space="preserve">Ecology</w:t>
      </w:r>
      <w:r>
        <w:t xml:space="preserve"> </w:t>
      </w:r>
      <w:r>
        <w:t xml:space="preserve">89: 2712–2724.</w:t>
      </w:r>
    </w:p>
    <w:p>
      <w:pPr>
        <w:pStyle w:val="Compact"/>
        <w:numPr>
          <w:numId w:val="1014"/>
          <w:ilvl w:val="0"/>
        </w:numPr>
      </w:pPr>
      <w:r>
        <w:t xml:space="preserve">Zeller, K.A., McGarigal, K. &amp; Whiteley, A.R. (2012) Estimating landscape resistance</w:t>
      </w:r>
      <w:r>
        <w:t xml:space="preserve"> </w:t>
      </w:r>
      <w:r>
        <w:t xml:space="preserve">to movement: a review.</w:t>
      </w:r>
      <w:r>
        <w:t xml:space="preserve"> </w:t>
      </w:r>
      <w:r>
        <w:rPr>
          <w:i/>
        </w:rPr>
        <w:t xml:space="preserve">Landscape Ecology</w:t>
      </w:r>
      <w:r>
        <w:t xml:space="preserve"> </w:t>
      </w:r>
      <w:r>
        <w:t xml:space="preserve">27: 777–797.</w:t>
      </w:r>
    </w:p>
    <w:p>
      <w:pPr>
        <w:pStyle w:val="Compact"/>
        <w:numPr>
          <w:numId w:val="1014"/>
          <w:ilvl w:val="0"/>
        </w:numPr>
      </w:pPr>
      <w:r>
        <w:t xml:space="preserve">Saura, S. &amp; Pascual-Hortal, L. (2007) A new habitat availability index to integrate</w:t>
      </w:r>
      <w:r>
        <w:t xml:space="preserve"> </w:t>
      </w:r>
      <w:r>
        <w:t xml:space="preserve">connectivity in landscape conservation planning.</w:t>
      </w:r>
      <w:r>
        <w:t xml:space="preserve"> </w:t>
      </w:r>
      <w:r>
        <w:rPr>
          <w:i/>
        </w:rPr>
        <w:t xml:space="preserve">Landscape and Urban Planning</w:t>
      </w:r>
      <w:r>
        <w:t xml:space="preserve"> </w:t>
      </w:r>
      <w:r>
        <w:t xml:space="preserve">83:</w:t>
      </w:r>
      <w:r>
        <w:t xml:space="preserve"> </w:t>
      </w:r>
      <w:r>
        <w:t xml:space="preserve">91–103.</w:t>
      </w:r>
    </w:p>
    <w:p>
      <w:pPr>
        <w:pStyle w:val="FirstParagraph"/>
      </w:pPr>
      <w:r>
        <w:rPr>
          <w:b/>
        </w:rPr>
        <w:t xml:space="preserve">Indicators, sensitivity and decision support</w:t>
      </w:r>
    </w:p>
    <w:p>
      <w:pPr>
        <w:pStyle w:val="Compact"/>
        <w:numPr>
          <w:numId w:val="1015"/>
          <w:ilvl w:val="0"/>
        </w:numPr>
      </w:pPr>
      <w:r>
        <w:t xml:space="preserve">Saltelli, A. et al. (2008)</w:t>
      </w:r>
      <w:r>
        <w:t xml:space="preserve"> </w:t>
      </w:r>
      <w:r>
        <w:rPr>
          <w:i/>
        </w:rPr>
        <w:t xml:space="preserve">Global Sensitivity Analysis: The Primer.</w:t>
      </w:r>
      <w:r>
        <w:t xml:space="preserve"> </w:t>
      </w:r>
      <w:r>
        <w:t xml:space="preserve">Wiley.</w:t>
      </w:r>
    </w:p>
    <w:p>
      <w:pPr>
        <w:pStyle w:val="Compact"/>
        <w:numPr>
          <w:numId w:val="1015"/>
          <w:ilvl w:val="0"/>
        </w:numPr>
      </w:pPr>
      <w:r>
        <w:t xml:space="preserve">OECD/JRC (2008)</w:t>
      </w:r>
      <w:r>
        <w:t xml:space="preserve"> </w:t>
      </w:r>
      <w:r>
        <w:rPr>
          <w:i/>
        </w:rPr>
        <w:t xml:space="preserve">Handbook on Constructing Composite Indicators.</w:t>
      </w:r>
      <w:r>
        <w:t xml:space="preserve"> </w:t>
      </w:r>
      <w:r>
        <w:t xml:space="preserve">OECD Publishing.</w:t>
      </w:r>
    </w:p>
    <w:p>
      <w:pPr>
        <w:pStyle w:val="Compact"/>
        <w:numPr>
          <w:numId w:val="1015"/>
          <w:ilvl w:val="0"/>
        </w:numPr>
      </w:pPr>
      <w:r>
        <w:t xml:space="preserve">Burgman, M.A. (2005)</w:t>
      </w:r>
      <w:r>
        <w:t xml:space="preserve"> </w:t>
      </w:r>
      <w:r>
        <w:rPr>
          <w:i/>
        </w:rPr>
        <w:t xml:space="preserve">Risks and Decisions for Conservation and Environmental</w:t>
      </w:r>
      <w:r>
        <w:rPr>
          <w:i/>
        </w:rPr>
        <w:t xml:space="preserve"> </w:t>
      </w:r>
      <w:r>
        <w:rPr>
          <w:i/>
        </w:rPr>
        <w:t xml:space="preserve">Management.</w:t>
      </w:r>
      <w:r>
        <w:t xml:space="preserve"> </w:t>
      </w:r>
      <w:r>
        <w:t xml:space="preserve">Cambridge University Press.</w:t>
      </w:r>
    </w:p>
    <w:p>
      <w:pPr>
        <w:pStyle w:val="Compact"/>
        <w:numPr>
          <w:numId w:val="1015"/>
          <w:ilvl w:val="0"/>
        </w:numPr>
      </w:pPr>
      <w:r>
        <w:t xml:space="preserve">Rocchini, D. et al. (2011) Accounting for uncertainty when mapping species</w:t>
      </w:r>
      <w:r>
        <w:t xml:space="preserve"> </w:t>
      </w:r>
      <w:r>
        <w:t xml:space="preserve">distributions: the need for maps of ignorance.</w:t>
      </w:r>
      <w:r>
        <w:t xml:space="preserve"> </w:t>
      </w:r>
      <w:r>
        <w:rPr>
          <w:i/>
        </w:rPr>
        <w:t xml:space="preserve">Progress in Physical Geography</w:t>
      </w:r>
      <w:r>
        <w:t xml:space="preserve"> </w:t>
      </w:r>
      <w:r>
        <w:t xml:space="preserve">35:</w:t>
      </w:r>
      <w:r>
        <w:t xml:space="preserve"> </w:t>
      </w:r>
      <w:r>
        <w:t xml:space="preserve">211–226.</w:t>
      </w:r>
      <w:r>
        <w:t xml:space="preserve"> </w:t>
      </w:r>
      <w:r>
        <w:rPr>
          <w:i/>
        </w:rPr>
        <w:t xml:space="preserve">(Closest existing statement of §4.4’s</w:t>
      </w:r>
      <w:r>
        <w:rPr>
          <w:i/>
        </w:rPr>
        <w:t xml:space="preserve"> </w:t>
      </w:r>
      <w:r>
        <w:rPr>
          <w:i/>
        </w:rPr>
        <w:t xml:space="preserve">“</w:t>
      </w:r>
      <w:r>
        <w:rPr>
          <w:i/>
        </w:rPr>
        <w:t xml:space="preserve">no data ≠ no problem</w:t>
      </w:r>
      <w:r>
        <w:rPr>
          <w:i/>
        </w:rPr>
        <w:t xml:space="preserve">”</w:t>
      </w:r>
      <w:r>
        <w:rPr>
          <w:i/>
        </w:rPr>
        <w:t xml:space="preserve">.)</w:t>
      </w:r>
    </w:p>
    <w:p>
      <w:pPr>
        <w:pStyle w:val="FirstParagraph"/>
      </w:pPr>
      <w:r>
        <w:rPr>
          <w:b/>
        </w:rPr>
        <w:t xml:space="preserve">Software and data infrastructure</w:t>
      </w:r>
    </w:p>
    <w:p>
      <w:pPr>
        <w:pStyle w:val="Compact"/>
        <w:numPr>
          <w:numId w:val="1016"/>
          <w:ilvl w:val="0"/>
        </w:numPr>
      </w:pPr>
      <w:r>
        <w:t xml:space="preserve">Pebesma, E. (2018) Simple Features for R: standardized support for spatial vector</w:t>
      </w:r>
      <w:r>
        <w:t xml:space="preserve"> </w:t>
      </w:r>
      <w:r>
        <w:t xml:space="preserve">data.</w:t>
      </w:r>
      <w:r>
        <w:t xml:space="preserve"> </w:t>
      </w:r>
      <w:r>
        <w:rPr>
          <w:i/>
        </w:rPr>
        <w:t xml:space="preserve">The R Journal</w:t>
      </w:r>
      <w:r>
        <w:t xml:space="preserve"> </w:t>
      </w:r>
      <w:r>
        <w:t xml:space="preserve">10: 439–446.</w:t>
      </w:r>
    </w:p>
    <w:p>
      <w:pPr>
        <w:pStyle w:val="Compact"/>
        <w:numPr>
          <w:numId w:val="1016"/>
          <w:ilvl w:val="0"/>
        </w:numPr>
      </w:pPr>
      <w:r>
        <w:t xml:space="preserve">Csárdi, G. &amp; Nepusz, T. (2006) The igraph software package for complex network</w:t>
      </w:r>
      <w:r>
        <w:t xml:space="preserve"> </w:t>
      </w:r>
      <w:r>
        <w:t xml:space="preserve">research.</w:t>
      </w:r>
      <w:r>
        <w:t xml:space="preserve"> </w:t>
      </w:r>
      <w:r>
        <w:rPr>
          <w:i/>
        </w:rPr>
        <w:t xml:space="preserve">InterJournal, Complex Systems</w:t>
      </w:r>
      <w:r>
        <w:t xml:space="preserve"> </w:t>
      </w:r>
      <w:r>
        <w:t xml:space="preserve">1695.</w:t>
      </w:r>
    </w:p>
    <w:p>
      <w:pPr>
        <w:pStyle w:val="Compact"/>
        <w:numPr>
          <w:numId w:val="1016"/>
          <w:ilvl w:val="0"/>
        </w:numPr>
      </w:pPr>
      <w:r>
        <w:t xml:space="preserve">GBIF.org — occurrence downloads, DOIs per city [to be recorded].</w:t>
      </w:r>
    </w:p>
    <w:p>
      <w:r>
        <w:pict>
          <v:rect style="width:0;height:1.5pt" o:hralign="center" o:hrstd="t" o:hr="t"/>
        </w:pict>
      </w:r>
    </w:p>
    <w:p>
      <w:pPr>
        <w:pStyle w:val="Heading2"/>
      </w:pPr>
      <w:bookmarkStart w:id="58" w:name="appendix-a.-parameter-table"/>
      <w:r>
        <w:t xml:space="preserve">Appendix A. Parameter table</w:t>
      </w:r>
      <w:bookmarkEnd w:id="58"/>
    </w:p>
    <w:p>
      <w:pPr>
        <w:pStyle w:val="FirstParagraph"/>
      </w:pPr>
      <w:r>
        <w:t xml:space="preserve">Every constant is shared across all four cities and calibrated against none of them.</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Calibrated?</w:t>
            </w:r>
          </w:p>
        </w:tc>
      </w:tr>
      <w:tr>
        <w:tc>
          <w:p>
            <w:pPr>
              <w:pStyle w:val="Compact"/>
              <w:jc w:val="left"/>
            </w:pPr>
            <w:r>
              <w:rPr>
                <w:rStyle w:val="VerbatimChar"/>
              </w:rPr>
              <w:t xml:space="preserve">CELL_SIZE</w:t>
            </w:r>
          </w:p>
        </w:tc>
        <w:tc>
          <w:p>
            <w:pPr>
              <w:pStyle w:val="Compact"/>
              <w:jc w:val="left"/>
            </w:pPr>
            <w:r>
              <w:t xml:space="preserve">20 m</w:t>
            </w:r>
          </w:p>
        </w:tc>
        <w:tc>
          <w:p>
            <w:pPr>
              <w:pStyle w:val="Compact"/>
              <w:jc w:val="left"/>
            </w:pPr>
            <w:r>
              <w:t xml:space="preserve">Hex grid resolution</w:t>
            </w:r>
          </w:p>
        </w:tc>
        <w:tc>
          <w:p>
            <w:pPr>
              <w:pStyle w:val="Compact"/>
              <w:jc w:val="left"/>
            </w:pPr>
            <w:r>
              <w:t xml:space="preserve">no</w:t>
            </w:r>
          </w:p>
        </w:tc>
      </w:tr>
      <w:tr>
        <w:tc>
          <w:p>
            <w:pPr>
              <w:pStyle w:val="Compact"/>
              <w:jc w:val="left"/>
            </w:pPr>
            <w:r>
              <w:rPr>
                <w:rStyle w:val="VerbatimChar"/>
              </w:rPr>
              <w:t xml:space="preserve">PATH_RADIUS_M</w:t>
            </w:r>
          </w:p>
        </w:tc>
        <w:tc>
          <w:p>
            <w:pPr>
              <w:pStyle w:val="Compact"/>
              <w:jc w:val="left"/>
            </w:pPr>
            <w:r>
              <w:t xml:space="preserve">40 m</w:t>
            </w:r>
          </w:p>
        </w:tc>
        <w:tc>
          <w:p>
            <w:pPr>
              <w:pStyle w:val="Compact"/>
              <w:jc w:val="left"/>
            </w:pPr>
            <w:r>
              <w:t xml:space="preserve">Neighbourhood for path length</w:t>
            </w:r>
          </w:p>
        </w:tc>
        <w:tc>
          <w:p>
            <w:pPr>
              <w:pStyle w:val="Compact"/>
              <w:jc w:val="left"/>
            </w:pPr>
            <w:r>
              <w:t xml:space="preserve">no</w:t>
            </w:r>
          </w:p>
        </w:tc>
      </w:tr>
      <w:tr>
        <w:tc>
          <w:p>
            <w:pPr>
              <w:pStyle w:val="Compact"/>
              <w:jc w:val="left"/>
            </w:pPr>
            <w:r>
              <w:rPr>
                <w:rStyle w:val="VerbatimChar"/>
              </w:rPr>
              <w:t xml:space="preserve">MIN_PATH_M</w:t>
            </w:r>
          </w:p>
        </w:tc>
        <w:tc>
          <w:p>
            <w:pPr>
              <w:pStyle w:val="Compact"/>
              <w:jc w:val="left"/>
            </w:pPr>
            <w:r>
              <w:t xml:space="preserve">50 m</w:t>
            </w:r>
          </w:p>
        </w:tc>
        <w:tc>
          <w:p>
            <w:pPr>
              <w:pStyle w:val="Compact"/>
              <w:jc w:val="left"/>
            </w:pPr>
            <w:r>
              <w:t xml:space="preserve">Admission threshold</w:t>
            </w:r>
          </w:p>
        </w:tc>
        <w:tc>
          <w:p>
            <w:pPr>
              <w:pStyle w:val="Compact"/>
              <w:jc w:val="left"/>
            </w:pPr>
            <w:r>
              <w:t xml:space="preserve">no</w:t>
            </w:r>
          </w:p>
        </w:tc>
      </w:tr>
      <w:tr>
        <w:tc>
          <w:p>
            <w:pPr>
              <w:pStyle w:val="Compact"/>
              <w:jc w:val="left"/>
            </w:pPr>
            <w:r>
              <w:rPr>
                <w:rStyle w:val="VerbatimChar"/>
              </w:rPr>
              <w:t xml:space="preserve">OBS_MAX_ACCURACY_M</w:t>
            </w:r>
          </w:p>
        </w:tc>
        <w:tc>
          <w:p>
            <w:pPr>
              <w:pStyle w:val="Compact"/>
              <w:jc w:val="left"/>
            </w:pPr>
            <w:r>
              <w:t xml:space="preserve">30 m</w:t>
            </w:r>
          </w:p>
        </w:tc>
        <w:tc>
          <w:p>
            <w:pPr>
              <w:pStyle w:val="Compact"/>
              <w:jc w:val="left"/>
            </w:pPr>
            <w:r>
              <w:t xml:space="preserve">Positional accuracy gate</w:t>
            </w:r>
          </w:p>
        </w:tc>
        <w:tc>
          <w:p>
            <w:pPr>
              <w:pStyle w:val="Compact"/>
              <w:jc w:val="left"/>
            </w:pPr>
            <w:r>
              <w:t xml:space="preserve">no</w:t>
            </w:r>
          </w:p>
        </w:tc>
      </w:tr>
      <w:tr>
        <w:tc>
          <w:p>
            <w:pPr>
              <w:pStyle w:val="Compact"/>
              <w:jc w:val="left"/>
            </w:pPr>
            <w:r>
              <w:rPr>
                <w:rStyle w:val="VerbatimChar"/>
              </w:rPr>
              <w:t xml:space="preserve">OBS_UNKNOWN_ACCURACY_WEIGHT</w:t>
            </w:r>
          </w:p>
        </w:tc>
        <w:tc>
          <w:p>
            <w:pPr>
              <w:pStyle w:val="Compact"/>
              <w:jc w:val="left"/>
            </w:pPr>
            <w:r>
              <w:t xml:space="preserve">0.5</w:t>
            </w:r>
          </w:p>
        </w:tc>
        <w:tc>
          <w:p>
            <w:pPr>
              <w:pStyle w:val="Compact"/>
              <w:jc w:val="left"/>
            </w:pPr>
            <w:r>
              <w:t xml:space="preserve">Weight for unstated accuracy</w:t>
            </w:r>
          </w:p>
        </w:tc>
        <w:tc>
          <w:p>
            <w:pPr>
              <w:pStyle w:val="Compact"/>
              <w:jc w:val="left"/>
            </w:pPr>
            <w:r>
              <w:t xml:space="preserve">no</w:t>
            </w:r>
          </w:p>
        </w:tc>
      </w:tr>
      <w:tr>
        <w:tc>
          <w:p>
            <w:pPr>
              <w:pStyle w:val="Compact"/>
              <w:jc w:val="left"/>
            </w:pPr>
            <w:r>
              <w:rPr>
                <w:rStyle w:val="VerbatimChar"/>
              </w:rPr>
              <w:t xml:space="preserve">OBS_YEAR_MIN</w:t>
            </w:r>
          </w:p>
        </w:tc>
        <w:tc>
          <w:p>
            <w:pPr>
              <w:pStyle w:val="Compact"/>
              <w:jc w:val="left"/>
            </w:pPr>
            <w:r>
              <w:t xml:space="preserve">2015</w:t>
            </w:r>
          </w:p>
        </w:tc>
        <w:tc>
          <w:p>
            <w:pPr>
              <w:pStyle w:val="Compact"/>
              <w:jc w:val="left"/>
            </w:pPr>
            <w:r>
              <w:t xml:space="preserve">Recency gate</w:t>
            </w:r>
          </w:p>
        </w:tc>
        <w:tc>
          <w:p>
            <w:pPr>
              <w:pStyle w:val="Compact"/>
              <w:jc w:val="left"/>
            </w:pPr>
            <w:r>
              <w:t xml:space="preserve">tied to Sentinel-2 start</w:t>
            </w:r>
          </w:p>
        </w:tc>
      </w:tr>
      <w:tr>
        <w:tc>
          <w:p>
            <w:pPr>
              <w:pStyle w:val="Compact"/>
              <w:jc w:val="left"/>
            </w:pPr>
            <w:r>
              <w:t xml:space="preserve">habitat weights</w:t>
            </w:r>
          </w:p>
        </w:tc>
        <w:tc>
          <w:p>
            <w:pPr>
              <w:pStyle w:val="Compact"/>
              <w:jc w:val="left"/>
            </w:pPr>
            <w:r>
              <w:t xml:space="preserve">0.500 / 0.286 / 0.214</w:t>
            </w:r>
          </w:p>
        </w:tc>
        <w:tc>
          <w:p>
            <w:pPr>
              <w:pStyle w:val="Compact"/>
              <w:jc w:val="left"/>
            </w:pPr>
            <w:r>
              <w:t xml:space="preserve">NDVI / LST / disturbance</w:t>
            </w:r>
          </w:p>
        </w:tc>
        <w:tc>
          <w:p>
            <w:pPr>
              <w:pStyle w:val="Compact"/>
              <w:jc w:val="left"/>
            </w:pPr>
            <w:r>
              <w:t xml:space="preserve">no (expert)</w:t>
            </w:r>
          </w:p>
        </w:tc>
      </w:tr>
      <w:tr>
        <w:tc>
          <w:p>
            <w:pPr>
              <w:pStyle w:val="Compact"/>
              <w:jc w:val="left"/>
            </w:pPr>
            <w:r>
              <w:rPr>
                <w:rStyle w:val="VerbatimChar"/>
              </w:rPr>
              <w:t xml:space="preserve">CONN_MAX_RESISTANCE</w:t>
            </w:r>
          </w:p>
        </w:tc>
        <w:tc>
          <w:p>
            <w:pPr>
              <w:pStyle w:val="Compact"/>
              <w:jc w:val="left"/>
            </w:pPr>
            <w:r>
              <w:t xml:space="preserve">20</w:t>
            </w:r>
          </w:p>
        </w:tc>
        <w:tc>
          <w:p>
            <w:pPr>
              <w:pStyle w:val="Compact"/>
              <w:jc w:val="left"/>
            </w:pPr>
            <w:r>
              <w:t xml:space="preserve">Dispersal cost at zero permeability</w:t>
            </w:r>
          </w:p>
        </w:tc>
        <w:tc>
          <w:p>
            <w:pPr>
              <w:pStyle w:val="Compact"/>
              <w:jc w:val="left"/>
            </w:pPr>
            <w:r>
              <w:rPr>
                <w:b/>
              </w:rPr>
              <w:t xml:space="preserve">no — dominant</w:t>
            </w:r>
          </w:p>
        </w:tc>
      </w:tr>
      <w:tr>
        <w:tc>
          <w:p>
            <w:pPr>
              <w:pStyle w:val="Compact"/>
              <w:jc w:val="left"/>
            </w:pPr>
            <w:r>
              <w:rPr>
                <w:rStyle w:val="VerbatimChar"/>
              </w:rPr>
              <w:t xml:space="preserve">CONN_MIN_PERMEABILITY</w:t>
            </w:r>
          </w:p>
        </w:tc>
        <w:tc>
          <w:p>
            <w:pPr>
              <w:pStyle w:val="Compact"/>
              <w:jc w:val="left"/>
            </w:pPr>
            <w:r>
              <w:t xml:space="preserve">0.05</w:t>
            </w:r>
          </w:p>
        </w:tc>
        <w:tc>
          <w:p>
            <w:pPr>
              <w:pStyle w:val="Compact"/>
              <w:jc w:val="left"/>
            </w:pPr>
            <w:r>
              <w:t xml:space="preserve">Graph membership floor</w:t>
            </w:r>
          </w:p>
        </w:tc>
        <w:tc>
          <w:p>
            <w:pPr>
              <w:pStyle w:val="Compact"/>
              <w:jc w:val="left"/>
            </w:pPr>
            <w:r>
              <w:t xml:space="preserve">no</w:t>
            </w:r>
          </w:p>
        </w:tc>
      </w:tr>
      <w:tr>
        <w:tc>
          <w:p>
            <w:pPr>
              <w:pStyle w:val="Compact"/>
              <w:jc w:val="left"/>
            </w:pPr>
            <w:r>
              <w:rPr>
                <w:rStyle w:val="VerbatimChar"/>
              </w:rPr>
              <w:t xml:space="preserve">CONN_DISPERSAL_M</w:t>
            </w:r>
          </w:p>
        </w:tc>
        <w:tc>
          <w:p>
            <w:pPr>
              <w:pStyle w:val="Compact"/>
              <w:jc w:val="left"/>
            </w:pPr>
            <w:r>
              <w:t xml:space="preserve">500 m</w:t>
            </w:r>
          </w:p>
        </w:tc>
        <w:tc>
          <w:p>
            <w:pPr>
              <w:pStyle w:val="Compact"/>
              <w:jc w:val="left"/>
            </w:pPr>
            <w:r>
              <w:t xml:space="preserve">Betweenness cutoff</w:t>
            </w:r>
          </w:p>
        </w:tc>
        <w:tc>
          <w:p>
            <w:pPr>
              <w:pStyle w:val="Compact"/>
              <w:jc w:val="left"/>
            </w:pPr>
            <w:r>
              <w:t xml:space="preserve">no</w:t>
            </w:r>
          </w:p>
        </w:tc>
      </w:tr>
      <w:tr>
        <w:tc>
          <w:p>
            <w:pPr>
              <w:pStyle w:val="Compact"/>
              <w:jc w:val="left"/>
            </w:pPr>
            <w:r>
              <w:rPr>
                <w:rStyle w:val="VerbatimChar"/>
              </w:rPr>
              <w:t xml:space="preserve">SPECIES_AREA_Z</w:t>
            </w:r>
          </w:p>
        </w:tc>
        <w:tc>
          <w:p>
            <w:pPr>
              <w:pStyle w:val="Compact"/>
              <w:jc w:val="left"/>
            </w:pPr>
            <w:r>
              <w:t xml:space="preserve">0.25</w:t>
            </w:r>
          </w:p>
        </w:tc>
        <w:tc>
          <w:p>
            <w:pPr>
              <w:pStyle w:val="Compact"/>
              <w:jc w:val="left"/>
            </w:pPr>
            <w:r>
              <w:t xml:space="preserve">Patch-scale area exponent</w:t>
            </w:r>
          </w:p>
        </w:tc>
        <w:tc>
          <w:p>
            <w:pPr>
              <w:pStyle w:val="Compact"/>
              <w:jc w:val="left"/>
            </w:pPr>
            <w:r>
              <w:t xml:space="preserve">no (assumption)</w:t>
            </w:r>
          </w:p>
        </w:tc>
      </w:tr>
      <w:tr>
        <w:tc>
          <w:p>
            <w:pPr>
              <w:pStyle w:val="Compact"/>
              <w:jc w:val="left"/>
            </w:pPr>
            <w:r>
              <w:rPr>
                <w:rStyle w:val="VerbatimChar"/>
              </w:rPr>
              <w:t xml:space="preserve">EXPECTED_MODEL_MIN_CELLS</w:t>
            </w:r>
          </w:p>
        </w:tc>
        <w:tc>
          <w:p>
            <w:pPr>
              <w:pStyle w:val="Compact"/>
              <w:jc w:val="left"/>
            </w:pPr>
            <w:r>
              <w:t xml:space="preserve">30</w:t>
            </w:r>
          </w:p>
        </w:tc>
        <w:tc>
          <w:p>
            <w:pPr>
              <w:pStyle w:val="Compact"/>
              <w:jc w:val="left"/>
            </w:pPr>
            <w:r>
              <w:t xml:space="preserve">Fit refusal threshold</w:t>
            </w:r>
          </w:p>
        </w:tc>
        <w:tc>
          <w:p>
            <w:pPr>
              <w:pStyle w:val="Compact"/>
              <w:jc w:val="left"/>
            </w:pPr>
            <w:r>
              <w:t xml:space="preserve">no</w:t>
            </w:r>
          </w:p>
        </w:tc>
      </w:tr>
      <w:tr>
        <w:tc>
          <w:p>
            <w:pPr>
              <w:pStyle w:val="Compact"/>
              <w:jc w:val="left"/>
            </w:pPr>
            <w:r>
              <w:t xml:space="preserve">score weights</w:t>
            </w:r>
          </w:p>
        </w:tc>
        <w:tc>
          <w:p>
            <w:pPr>
              <w:pStyle w:val="Compact"/>
              <w:jc w:val="left"/>
            </w:pPr>
            <w:r>
              <w:t xml:space="preserve">0.50 / 0.30 / 0.20</w:t>
            </w:r>
          </w:p>
        </w:tc>
        <w:tc>
          <w:p>
            <w:pPr>
              <w:pStyle w:val="Compact"/>
              <w:jc w:val="left"/>
            </w:pPr>
            <w:r>
              <w:t xml:space="preserve">Residual / habitat / connectivity</w:t>
            </w:r>
          </w:p>
        </w:tc>
        <w:tc>
          <w:p>
            <w:pPr>
              <w:pStyle w:val="Compact"/>
              <w:jc w:val="left"/>
            </w:pPr>
            <w:r>
              <w:t xml:space="preserve">no</w:t>
            </w:r>
          </w:p>
        </w:tc>
      </w:tr>
      <w:tr>
        <w:tc>
          <w:p>
            <w:pPr>
              <w:pStyle w:val="Compact"/>
              <w:jc w:val="left"/>
            </w:pPr>
            <w:r>
              <w:rPr>
                <w:rStyle w:val="VerbatimChar"/>
              </w:rPr>
              <w:t xml:space="preserve">SCORE_BREAKS</w:t>
            </w:r>
          </w:p>
        </w:tc>
        <w:tc>
          <w:p>
            <w:pPr>
              <w:pStyle w:val="Compact"/>
              <w:jc w:val="left"/>
            </w:pPr>
            <w:r>
              <w:t xml:space="preserve">−15, −5, 10, 20</w:t>
            </w:r>
          </w:p>
        </w:tc>
        <w:tc>
          <w:p>
            <w:pPr>
              <w:pStyle w:val="Compact"/>
              <w:jc w:val="left"/>
            </w:pPr>
            <w:r>
              <w:t xml:space="preserve">Band thresholds</w:t>
            </w:r>
          </w:p>
        </w:tc>
        <w:tc>
          <w:p>
            <w:pPr>
              <w:pStyle w:val="Compact"/>
              <w:jc w:val="left"/>
            </w:pPr>
            <w:r>
              <w:t xml:space="preserve">no</w:t>
            </w:r>
          </w:p>
        </w:tc>
      </w:tr>
      <w:tr>
        <w:tc>
          <w:p>
            <w:pPr>
              <w:pStyle w:val="Compact"/>
              <w:jc w:val="left"/>
            </w:pPr>
            <w:r>
              <w:rPr>
                <w:rStyle w:val="VerbatimChar"/>
              </w:rPr>
              <w:t xml:space="preserve">RANK_STABILITY_TOP_N</w:t>
            </w:r>
          </w:p>
        </w:tc>
        <w:tc>
          <w:p>
            <w:pPr>
              <w:pStyle w:val="Compact"/>
              <w:jc w:val="left"/>
            </w:pPr>
            <w:r>
              <w:t xml:space="preserve">20</w:t>
            </w:r>
          </w:p>
        </w:tc>
        <w:tc>
          <w:p>
            <w:pPr>
              <w:pStyle w:val="Compact"/>
              <w:jc w:val="left"/>
            </w:pPr>
            <w:r>
              <w:t xml:space="preserve">Ensemble top-N</w:t>
            </w:r>
          </w:p>
        </w:tc>
        <w:tc>
          <w:p>
            <w:pPr>
              <w:pStyle w:val="Compact"/>
              <w:jc w:val="left"/>
            </w:pPr>
            <w:r>
              <w:t xml:space="preserve">no</w:t>
            </w:r>
          </w:p>
        </w:tc>
      </w:tr>
      <w:tr>
        <w:tc>
          <w:p>
            <w:pPr>
              <w:pStyle w:val="Compact"/>
              <w:jc w:val="left"/>
            </w:pPr>
            <w:r>
              <w:rPr>
                <w:rStyle w:val="VerbatimChar"/>
              </w:rPr>
              <w:t xml:space="preserve">CONN_ENSEMBLE_R</w:t>
            </w:r>
          </w:p>
        </w:tc>
        <w:tc>
          <w:p>
            <w:pPr>
              <w:pStyle w:val="Compact"/>
              <w:jc w:val="left"/>
            </w:pPr>
            <w:r>
              <w:t xml:space="preserve">5, 10, 20, 30, 50, 100</w:t>
            </w:r>
          </w:p>
        </w:tc>
        <w:tc>
          <w:p>
            <w:pPr>
              <w:pStyle w:val="Compact"/>
              <w:jc w:val="left"/>
            </w:pPr>
            <w:r>
              <w:t xml:space="preserve">Stability ensemble</w:t>
            </w:r>
          </w:p>
        </w:tc>
        <w:tc>
          <w:p>
            <w:pPr>
              <w:pStyle w:val="Compact"/>
              <w:jc w:val="left"/>
            </w:pPr>
            <w:r>
              <w:t xml:space="preserve">—</w:t>
            </w:r>
          </w:p>
        </w:tc>
      </w:tr>
    </w:tbl>
    <w:p>
      <w:pPr>
        <w:pStyle w:val="BodyText"/>
      </w:pPr>
      <w:r>
        <w:t xml:space="preserve">A parameter sweep run by the pipeline finds the habitat weights and</w:t>
      </w:r>
      <w:r>
        <w:t xml:space="preserve"> </w:t>
      </w:r>
      <w:r>
        <w:rPr>
          <w:rStyle w:val="VerbatimChar"/>
        </w:rPr>
        <w:t xml:space="preserve">SPECIES_AREA_Z</w:t>
      </w:r>
      <w:r>
        <w:t xml:space="preserve"> </w:t>
      </w:r>
      <w:r>
        <w:t xml:space="preserve">barely move the published ranking (Spearman ρ ≥ 0.90 across the weight simplex;</w:t>
      </w:r>
      <w:r>
        <w:t xml:space="preserve"> </w:t>
      </w:r>
      <w:r>
        <w:t xml:space="preserve">ρ ≥ 0.9995 across z ∈ [0.20, 0.30]), while</w:t>
      </w:r>
      <w:r>
        <w:t xml:space="preserve"> </w:t>
      </w:r>
      <w:r>
        <w:rPr>
          <w:rStyle w:val="VerbatimChar"/>
        </w:rPr>
        <w:t xml:space="preserve">CONN_MAX_RESISTANCE</w:t>
      </w:r>
      <w:r>
        <w:t xml:space="preserve"> </w:t>
      </w:r>
      <w:r>
        <w:t xml:space="preserve">moves it substantially</w:t>
      </w:r>
      <w:r>
        <w:t xml:space="preserve"> </w:t>
      </w:r>
      <w:r>
        <w:t xml:space="preserve">— which is why it, and not the more obviously arbitrary habitat weights, is the</w:t>
      </w:r>
      <w:r>
        <w:t xml:space="preserve"> </w:t>
      </w:r>
      <w:r>
        <w:t xml:space="preserve">parameter reported in §3.7.</w:t>
      </w:r>
    </w:p>
    <w:p>
      <w:pPr>
        <w:pStyle w:val="Heading2"/>
      </w:pPr>
      <w:bookmarkStart w:id="59" w:name="appendix-b.-nature-gap-band-distributions"/>
      <w:r>
        <w:t xml:space="preserve">Appendix B. Nature Gap band distributions</w:t>
      </w:r>
      <w:bookmarkEnd w:id="59"/>
    </w:p>
    <w:p>
      <w:pPr>
        <w:pStyle w:val="FirstParagraph"/>
      </w:pPr>
      <w:r>
        <w:t xml:space="preserve">Share of scored cells per band, showing that a fixed five-band scale partitions the four</w:t>
      </w:r>
      <w:r>
        <w:t xml:space="preserve"> </w:t>
      </w:r>
      <w:r>
        <w:t xml:space="preserve">cities incomparably.</w:t>
      </w:r>
    </w:p>
    <w:tbl>
      <w:tblPr>
        <w:tblStyle w:val="Table"/>
        <w:tblW w:type="pct" w:w="0.0"/>
        <w:tblLook w:firstRow="1"/>
      </w:tblPr>
      <w:tblGrid/>
      <w:tr>
        <w:trPr>
          <w:cnfStyle w:firstRow="1"/>
        </w:trPr>
        <w:tc>
          <w:tcPr>
            <w:tcBorders>
              <w:bottom w:val="single"/>
            </w:tcBorders>
            <w:vAlign w:val="bottom"/>
          </w:tcPr>
          <w:p>
            <w:pPr>
              <w:pStyle w:val="Compact"/>
              <w:jc w:val="left"/>
            </w:pPr>
            <w:r>
              <w:t xml:space="preserve">City</w:t>
            </w:r>
          </w:p>
        </w:tc>
        <w:tc>
          <w:tcPr>
            <w:tcBorders>
              <w:bottom w:val="single"/>
            </w:tcBorders>
            <w:vAlign w:val="bottom"/>
          </w:tcPr>
          <w:p>
            <w:pPr>
              <w:pStyle w:val="Compact"/>
              <w:jc w:val="right"/>
            </w:pPr>
            <w:r>
              <w:t xml:space="preserve">much-better</w:t>
            </w:r>
          </w:p>
        </w:tc>
        <w:tc>
          <w:tcPr>
            <w:tcBorders>
              <w:bottom w:val="single"/>
            </w:tcBorders>
            <w:vAlign w:val="bottom"/>
          </w:tcPr>
          <w:p>
            <w:pPr>
              <w:pStyle w:val="Compact"/>
              <w:jc w:val="right"/>
            </w:pPr>
            <w:r>
              <w:t xml:space="preserve">better</w:t>
            </w:r>
          </w:p>
        </w:tc>
        <w:tc>
          <w:tcPr>
            <w:tcBorders>
              <w:bottom w:val="single"/>
            </w:tcBorders>
            <w:vAlign w:val="bottom"/>
          </w:tcPr>
          <w:p>
            <w:pPr>
              <w:pStyle w:val="Compact"/>
              <w:jc w:val="right"/>
            </w:pPr>
            <w:r>
              <w:t xml:space="preserve">as-expected</w:t>
            </w:r>
          </w:p>
        </w:tc>
        <w:tc>
          <w:tcPr>
            <w:tcBorders>
              <w:bottom w:val="single"/>
            </w:tcBorders>
            <w:vAlign w:val="bottom"/>
          </w:tcPr>
          <w:p>
            <w:pPr>
              <w:pStyle w:val="Compact"/>
              <w:jc w:val="right"/>
            </w:pPr>
            <w:r>
              <w:t xml:space="preserve">worse</w:t>
            </w:r>
          </w:p>
        </w:tc>
        <w:tc>
          <w:tcPr>
            <w:tcBorders>
              <w:bottom w:val="single"/>
            </w:tcBorders>
            <w:vAlign w:val="bottom"/>
          </w:tcPr>
          <w:p>
            <w:pPr>
              <w:pStyle w:val="Compact"/>
              <w:jc w:val="right"/>
            </w:pPr>
            <w:r>
              <w:t xml:space="preserve">much-worse</w:t>
            </w:r>
          </w:p>
        </w:tc>
        <w:tc>
          <w:tcPr>
            <w:tcBorders>
              <w:bottom w:val="single"/>
            </w:tcBorders>
            <w:vAlign w:val="bottom"/>
          </w:tcPr>
          <w:p>
            <w:pPr>
              <w:pStyle w:val="Compact"/>
              <w:jc w:val="right"/>
            </w:pPr>
            <w:r>
              <w:t xml:space="preserve">p05</w:t>
            </w:r>
          </w:p>
        </w:tc>
        <w:tc>
          <w:tcPr>
            <w:tcBorders>
              <w:bottom w:val="single"/>
            </w:tcBorders>
            <w:vAlign w:val="bottom"/>
          </w:tcPr>
          <w:p>
            <w:pPr>
              <w:pStyle w:val="Compact"/>
              <w:jc w:val="right"/>
            </w:pPr>
            <w:r>
              <w:t xml:space="preserve">p50</w:t>
            </w:r>
          </w:p>
        </w:tc>
        <w:tc>
          <w:tcPr>
            <w:tcBorders>
              <w:bottom w:val="single"/>
            </w:tcBorders>
            <w:vAlign w:val="bottom"/>
          </w:tcPr>
          <w:p>
            <w:pPr>
              <w:pStyle w:val="Compact"/>
              <w:jc w:val="right"/>
            </w:pPr>
            <w:r>
              <w:t xml:space="preserve">p95</w:t>
            </w:r>
          </w:p>
        </w:tc>
      </w:tr>
      <w:tr>
        <w:tc>
          <w:p>
            <w:pPr>
              <w:pStyle w:val="Compact"/>
              <w:jc w:val="left"/>
            </w:pPr>
            <w:r>
              <w:t xml:space="preserve">Porto</w:t>
            </w:r>
          </w:p>
        </w:tc>
        <w:tc>
          <w:p>
            <w:pPr>
              <w:pStyle w:val="Compact"/>
              <w:jc w:val="right"/>
            </w:pPr>
            <w:r>
              <w:t xml:space="preserve">25.8</w:t>
            </w:r>
          </w:p>
        </w:tc>
        <w:tc>
          <w:p>
            <w:pPr>
              <w:pStyle w:val="Compact"/>
              <w:jc w:val="right"/>
            </w:pPr>
            <w:r>
              <w:t xml:space="preserve">10.5</w:t>
            </w:r>
          </w:p>
        </w:tc>
        <w:tc>
          <w:p>
            <w:pPr>
              <w:pStyle w:val="Compact"/>
              <w:jc w:val="right"/>
            </w:pPr>
            <w:r>
              <w:t xml:space="preserve">29.0</w:t>
            </w:r>
          </w:p>
        </w:tc>
        <w:tc>
          <w:p>
            <w:pPr>
              <w:pStyle w:val="Compact"/>
              <w:jc w:val="right"/>
            </w:pPr>
            <w:r>
              <w:t xml:space="preserve">19.2</w:t>
            </w:r>
          </w:p>
        </w:tc>
        <w:tc>
          <w:p>
            <w:pPr>
              <w:pStyle w:val="Compact"/>
              <w:jc w:val="right"/>
            </w:pPr>
            <w:r>
              <w:t xml:space="preserve">15.4</w:t>
            </w:r>
          </w:p>
        </w:tc>
        <w:tc>
          <w:p>
            <w:pPr>
              <w:pStyle w:val="Compact"/>
              <w:jc w:val="right"/>
            </w:pPr>
            <w:r>
              <w:t xml:space="preserve">−65.1</w:t>
            </w:r>
          </w:p>
        </w:tc>
        <w:tc>
          <w:p>
            <w:pPr>
              <w:pStyle w:val="Compact"/>
              <w:jc w:val="right"/>
            </w:pPr>
            <w:r>
              <w:t xml:space="preserve">+2.2</w:t>
            </w:r>
          </w:p>
        </w:tc>
        <w:tc>
          <w:p>
            <w:pPr>
              <w:pStyle w:val="Compact"/>
              <w:jc w:val="right"/>
            </w:pPr>
            <w:r>
              <w:t xml:space="preserve">+31.0</w:t>
            </w:r>
          </w:p>
        </w:tc>
      </w:tr>
      <w:tr>
        <w:tc>
          <w:p>
            <w:pPr>
              <w:pStyle w:val="Compact"/>
              <w:jc w:val="left"/>
            </w:pPr>
            <w:r>
              <w:t xml:space="preserve">Amsterdam</w:t>
            </w:r>
          </w:p>
        </w:tc>
        <w:tc>
          <w:p>
            <w:pPr>
              <w:pStyle w:val="Compact"/>
              <w:jc w:val="right"/>
            </w:pPr>
            <w:r>
              <w:t xml:space="preserve">33.7</w:t>
            </w:r>
          </w:p>
        </w:tc>
        <w:tc>
          <w:p>
            <w:pPr>
              <w:pStyle w:val="Compact"/>
              <w:jc w:val="right"/>
            </w:pPr>
            <w:r>
              <w:t xml:space="preserve">12.2</w:t>
            </w:r>
          </w:p>
        </w:tc>
        <w:tc>
          <w:p>
            <w:pPr>
              <w:pStyle w:val="Compact"/>
              <w:jc w:val="right"/>
            </w:pPr>
            <w:r>
              <w:t xml:space="preserve">26.3</w:t>
            </w:r>
          </w:p>
        </w:tc>
        <w:tc>
          <w:p>
            <w:pPr>
              <w:pStyle w:val="Compact"/>
              <w:jc w:val="right"/>
            </w:pPr>
            <w:r>
              <w:t xml:space="preserve">15.0</w:t>
            </w:r>
          </w:p>
        </w:tc>
        <w:tc>
          <w:p>
            <w:pPr>
              <w:pStyle w:val="Compact"/>
              <w:jc w:val="right"/>
            </w:pPr>
            <w:r>
              <w:t xml:space="preserve">12.8</w:t>
            </w:r>
          </w:p>
        </w:tc>
        <w:tc>
          <w:p>
            <w:pPr>
              <w:pStyle w:val="Compact"/>
              <w:jc w:val="right"/>
            </w:pPr>
            <w:r>
              <w:t xml:space="preserve">−72.5</w:t>
            </w:r>
          </w:p>
        </w:tc>
        <w:tc>
          <w:p>
            <w:pPr>
              <w:pStyle w:val="Compact"/>
              <w:jc w:val="right"/>
            </w:pPr>
            <w:r>
              <w:t xml:space="preserve">−2.3</w:t>
            </w:r>
          </w:p>
        </w:tc>
        <w:tc>
          <w:p>
            <w:pPr>
              <w:pStyle w:val="Compact"/>
              <w:jc w:val="right"/>
            </w:pPr>
            <w:r>
              <w:t xml:space="preserve">+27.4</w:t>
            </w:r>
          </w:p>
        </w:tc>
      </w:tr>
      <w:tr>
        <w:tc>
          <w:p>
            <w:pPr>
              <w:pStyle w:val="Compact"/>
              <w:jc w:val="left"/>
            </w:pPr>
            <w:r>
              <w:t xml:space="preserve">Gent</w:t>
            </w:r>
          </w:p>
        </w:tc>
        <w:tc>
          <w:p>
            <w:pPr>
              <w:pStyle w:val="Compact"/>
              <w:jc w:val="right"/>
            </w:pPr>
            <w:r>
              <w:t xml:space="preserve">45.5</w:t>
            </w:r>
          </w:p>
        </w:tc>
        <w:tc>
          <w:p>
            <w:pPr>
              <w:pStyle w:val="Compact"/>
              <w:jc w:val="right"/>
            </w:pPr>
            <w:r>
              <w:t xml:space="preserve">11.8</w:t>
            </w:r>
          </w:p>
        </w:tc>
        <w:tc>
          <w:p>
            <w:pPr>
              <w:pStyle w:val="Compact"/>
              <w:jc w:val="right"/>
            </w:pPr>
            <w:r>
              <w:t xml:space="preserve">17.1</w:t>
            </w:r>
          </w:p>
        </w:tc>
        <w:tc>
          <w:p>
            <w:pPr>
              <w:pStyle w:val="Compact"/>
              <w:jc w:val="right"/>
            </w:pPr>
            <w:r>
              <w:t xml:space="preserve">8.9</w:t>
            </w:r>
          </w:p>
        </w:tc>
        <w:tc>
          <w:p>
            <w:pPr>
              <w:pStyle w:val="Compact"/>
              <w:jc w:val="right"/>
            </w:pPr>
            <w:r>
              <w:t xml:space="preserve">16.6</w:t>
            </w:r>
          </w:p>
        </w:tc>
        <w:tc>
          <w:p>
            <w:pPr>
              <w:pStyle w:val="Compact"/>
              <w:jc w:val="right"/>
            </w:pPr>
            <w:r>
              <w:t xml:space="preserve">−67.1</w:t>
            </w:r>
          </w:p>
        </w:tc>
        <w:tc>
          <w:p>
            <w:pPr>
              <w:pStyle w:val="Compact"/>
              <w:jc w:val="right"/>
            </w:pPr>
            <w:r>
              <w:t xml:space="preserve">−11.3</w:t>
            </w:r>
          </w:p>
        </w:tc>
        <w:tc>
          <w:p>
            <w:pPr>
              <w:pStyle w:val="Compact"/>
              <w:jc w:val="right"/>
            </w:pPr>
            <w:r>
              <w:t xml:space="preserve">+33.1</w:t>
            </w:r>
          </w:p>
        </w:tc>
      </w:tr>
      <w:tr>
        <w:tc>
          <w:p>
            <w:pPr>
              <w:pStyle w:val="Compact"/>
              <w:jc w:val="left"/>
            </w:pPr>
            <w:r>
              <w:t xml:space="preserve">Yokohama</w:t>
            </w:r>
          </w:p>
        </w:tc>
        <w:tc>
          <w:p>
            <w:pPr>
              <w:pStyle w:val="Compact"/>
              <w:jc w:val="right"/>
            </w:pPr>
            <w:r>
              <w:t xml:space="preserve">4.7</w:t>
            </w:r>
          </w:p>
        </w:tc>
        <w:tc>
          <w:p>
            <w:pPr>
              <w:pStyle w:val="Compact"/>
              <w:jc w:val="right"/>
            </w:pPr>
            <w:r>
              <w:t xml:space="preserve">13.6</w:t>
            </w:r>
          </w:p>
        </w:tc>
        <w:tc>
          <w:p>
            <w:pPr>
              <w:pStyle w:val="Compact"/>
              <w:jc w:val="right"/>
            </w:pPr>
            <w:r>
              <w:rPr>
                <w:b/>
              </w:rPr>
              <w:t xml:space="preserve">77.2</w:t>
            </w:r>
          </w:p>
        </w:tc>
        <w:tc>
          <w:p>
            <w:pPr>
              <w:pStyle w:val="Compact"/>
              <w:jc w:val="right"/>
            </w:pPr>
            <w:r>
              <w:t xml:space="preserve">4.4</w:t>
            </w:r>
          </w:p>
        </w:tc>
        <w:tc>
          <w:p>
            <w:pPr>
              <w:pStyle w:val="Compact"/>
              <w:jc w:val="right"/>
            </w:pPr>
            <w:r>
              <w:t xml:space="preserve">0.06</w:t>
            </w:r>
          </w:p>
        </w:tc>
        <w:tc>
          <w:p>
            <w:pPr>
              <w:pStyle w:val="Compact"/>
              <w:jc w:val="right"/>
            </w:pPr>
            <w:r>
              <w:t xml:space="preserve">−14.5</w:t>
            </w:r>
          </w:p>
        </w:tc>
        <w:tc>
          <w:p>
            <w:pPr>
              <w:pStyle w:val="Compact"/>
              <w:jc w:val="right"/>
            </w:pPr>
            <w:r>
              <w:t xml:space="preserve">+0.9</w:t>
            </w:r>
          </w:p>
        </w:tc>
        <w:tc>
          <w:p>
            <w:pPr>
              <w:pStyle w:val="Compact"/>
              <w:jc w:val="right"/>
            </w:pPr>
            <w:r>
              <w:t xml:space="preserve">+9.7</w:t>
            </w:r>
          </w:p>
        </w:tc>
      </w:tr>
    </w:tbl>
    <w:p>
      <w:pPr>
        <w:pStyle w:val="Heading2"/>
      </w:pPr>
      <w:bookmarkStart w:id="60" w:name="appendix-c.-taxonomic-composition"/>
      <w:r>
        <w:t xml:space="preserve">Appendix C. Taxonomic composition</w:t>
      </w:r>
      <w:bookmarkEnd w:id="60"/>
    </w:p>
    <w:p>
      <w:pPr>
        <w:pStyle w:val="FirstParagraph"/>
      </w:pPr>
      <w:r>
        <w:t xml:space="preserve">Weighted distinct-taxon counts by iconic group, summed over cells.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City</w:t>
            </w:r>
          </w:p>
        </w:tc>
        <w:tc>
          <w:tcPr>
            <w:tcBorders>
              <w:bottom w:val="single"/>
            </w:tcBorders>
            <w:vAlign w:val="bottom"/>
          </w:tcPr>
          <w:p>
            <w:pPr>
              <w:pStyle w:val="Compact"/>
              <w:jc w:val="right"/>
            </w:pPr>
            <w:r>
              <w:t xml:space="preserve">Plants</w:t>
            </w:r>
          </w:p>
        </w:tc>
        <w:tc>
          <w:tcPr>
            <w:tcBorders>
              <w:bottom w:val="single"/>
            </w:tcBorders>
            <w:vAlign w:val="bottom"/>
          </w:tcPr>
          <w:p>
            <w:pPr>
              <w:pStyle w:val="Compact"/>
              <w:jc w:val="right"/>
            </w:pPr>
            <w:r>
              <w:t xml:space="preserve">Birds</w:t>
            </w:r>
          </w:p>
        </w:tc>
        <w:tc>
          <w:tcPr>
            <w:tcBorders>
              <w:bottom w:val="single"/>
            </w:tcBorders>
            <w:vAlign w:val="bottom"/>
          </w:tcPr>
          <w:p>
            <w:pPr>
              <w:pStyle w:val="Compact"/>
              <w:jc w:val="right"/>
            </w:pPr>
            <w:r>
              <w:t xml:space="preserve">Insects</w:t>
            </w:r>
          </w:p>
        </w:tc>
        <w:tc>
          <w:tcPr>
            <w:tcBorders>
              <w:bottom w:val="single"/>
            </w:tcBorders>
            <w:vAlign w:val="bottom"/>
          </w:tcPr>
          <w:p>
            <w:pPr>
              <w:pStyle w:val="Compact"/>
              <w:jc w:val="right"/>
            </w:pPr>
            <w:r>
              <w:t xml:space="preserve">Mammals</w:t>
            </w:r>
          </w:p>
        </w:tc>
        <w:tc>
          <w:tcPr>
            <w:tcBorders>
              <w:bottom w:val="single"/>
            </w:tcBorders>
            <w:vAlign w:val="bottom"/>
          </w:tcPr>
          <w:p>
            <w:pPr>
              <w:pStyle w:val="Compact"/>
              <w:jc w:val="right"/>
            </w:pPr>
            <w:r>
              <w:t xml:space="preserve">Fungi</w:t>
            </w:r>
          </w:p>
        </w:tc>
      </w:tr>
      <w:tr>
        <w:tc>
          <w:p>
            <w:pPr>
              <w:pStyle w:val="Compact"/>
              <w:jc w:val="left"/>
            </w:pPr>
            <w:r>
              <w:t xml:space="preserve">Porto</w:t>
            </w:r>
          </w:p>
        </w:tc>
        <w:tc>
          <w:p>
            <w:pPr>
              <w:pStyle w:val="Compact"/>
              <w:jc w:val="right"/>
            </w:pPr>
            <w:r>
              <w:t xml:space="preserve">10,486</w:t>
            </w:r>
          </w:p>
        </w:tc>
        <w:tc>
          <w:p>
            <w:pPr>
              <w:pStyle w:val="Compact"/>
              <w:jc w:val="right"/>
            </w:pPr>
            <w:r>
              <w:t xml:space="preserve">21,553</w:t>
            </w:r>
          </w:p>
        </w:tc>
        <w:tc>
          <w:p>
            <w:pPr>
              <w:pStyle w:val="Compact"/>
              <w:jc w:val="right"/>
            </w:pPr>
            <w:r>
              <w:t xml:space="preserve">9,130</w:t>
            </w:r>
          </w:p>
        </w:tc>
        <w:tc>
          <w:p>
            <w:pPr>
              <w:pStyle w:val="Compact"/>
              <w:jc w:val="right"/>
            </w:pPr>
            <w:r>
              <w:t xml:space="preserve">1,849</w:t>
            </w:r>
          </w:p>
        </w:tc>
        <w:tc>
          <w:p>
            <w:pPr>
              <w:pStyle w:val="Compact"/>
              <w:jc w:val="right"/>
            </w:pPr>
            <w:r>
              <w:t xml:space="preserve">1,967</w:t>
            </w:r>
          </w:p>
        </w:tc>
      </w:tr>
      <w:tr>
        <w:tc>
          <w:p>
            <w:pPr>
              <w:pStyle w:val="Compact"/>
              <w:jc w:val="left"/>
            </w:pPr>
            <w:r>
              <w:t xml:space="preserve">Amsterdam</w:t>
            </w:r>
          </w:p>
        </w:tc>
        <w:tc>
          <w:p>
            <w:pPr>
              <w:pStyle w:val="Compact"/>
              <w:jc w:val="right"/>
            </w:pPr>
            <w:r>
              <w:t xml:space="preserve">33,085</w:t>
            </w:r>
          </w:p>
        </w:tc>
        <w:tc>
          <w:p>
            <w:pPr>
              <w:pStyle w:val="Compact"/>
              <w:jc w:val="right"/>
            </w:pPr>
            <w:r>
              <w:t xml:space="preserve">35,203</w:t>
            </w:r>
          </w:p>
        </w:tc>
        <w:tc>
          <w:p>
            <w:pPr>
              <w:pStyle w:val="Compact"/>
              <w:jc w:val="right"/>
            </w:pPr>
            <w:r>
              <w:t xml:space="preserve">13,308</w:t>
            </w:r>
          </w:p>
        </w:tc>
        <w:tc>
          <w:p>
            <w:pPr>
              <w:pStyle w:val="Compact"/>
              <w:jc w:val="right"/>
            </w:pPr>
            <w:r>
              <w:t xml:space="preserve">1,121</w:t>
            </w:r>
          </w:p>
        </w:tc>
        <w:tc>
          <w:p>
            <w:pPr>
              <w:pStyle w:val="Compact"/>
              <w:jc w:val="right"/>
            </w:pPr>
            <w:r>
              <w:t xml:space="preserve">1,338</w:t>
            </w:r>
          </w:p>
        </w:tc>
      </w:tr>
      <w:tr>
        <w:tc>
          <w:p>
            <w:pPr>
              <w:pStyle w:val="Compact"/>
              <w:jc w:val="left"/>
            </w:pPr>
            <w:r>
              <w:t xml:space="preserve">Gent</w:t>
            </w:r>
          </w:p>
        </w:tc>
        <w:tc>
          <w:p>
            <w:pPr>
              <w:pStyle w:val="Compact"/>
              <w:jc w:val="right"/>
            </w:pPr>
            <w:r>
              <w:t xml:space="preserve">128,120</w:t>
            </w:r>
          </w:p>
        </w:tc>
        <w:tc>
          <w:p>
            <w:pPr>
              <w:pStyle w:val="Compact"/>
              <w:jc w:val="right"/>
            </w:pPr>
            <w:r>
              <w:t xml:space="preserve">35,999</w:t>
            </w:r>
          </w:p>
        </w:tc>
        <w:tc>
          <w:p>
            <w:pPr>
              <w:pStyle w:val="Compact"/>
              <w:jc w:val="right"/>
            </w:pPr>
            <w:r>
              <w:t xml:space="preserve">46,290</w:t>
            </w:r>
          </w:p>
        </w:tc>
        <w:tc>
          <w:p>
            <w:pPr>
              <w:pStyle w:val="Compact"/>
              <w:jc w:val="right"/>
            </w:pPr>
            <w:r>
              <w:t xml:space="preserve">5,961</w:t>
            </w:r>
          </w:p>
        </w:tc>
        <w:tc>
          <w:p>
            <w:pPr>
              <w:pStyle w:val="Compact"/>
              <w:jc w:val="right"/>
            </w:pPr>
            <w:r>
              <w:t xml:space="preserve">1,694</w:t>
            </w:r>
          </w:p>
        </w:tc>
      </w:tr>
      <w:tr>
        <w:tc>
          <w:p>
            <w:pPr>
              <w:pStyle w:val="Compact"/>
              <w:jc w:val="left"/>
            </w:pPr>
            <w:r>
              <w:t xml:space="preserve">Yokohama</w:t>
            </w:r>
          </w:p>
        </w:tc>
        <w:tc>
          <w:p>
            <w:pPr>
              <w:pStyle w:val="Compact"/>
              <w:jc w:val="right"/>
            </w:pPr>
            <w:r>
              <w:t xml:space="preserve">5,505</w:t>
            </w:r>
          </w:p>
        </w:tc>
        <w:tc>
          <w:p>
            <w:pPr>
              <w:pStyle w:val="Compact"/>
              <w:jc w:val="right"/>
            </w:pPr>
            <w:r>
              <w:t xml:space="preserve">2,603</w:t>
            </w:r>
          </w:p>
        </w:tc>
        <w:tc>
          <w:p>
            <w:pPr>
              <w:pStyle w:val="Compact"/>
              <w:jc w:val="right"/>
            </w:pPr>
            <w:r>
              <w:t xml:space="preserve">2,564</w:t>
            </w:r>
          </w:p>
        </w:tc>
        <w:tc>
          <w:p>
            <w:pPr>
              <w:pStyle w:val="Compact"/>
              <w:jc w:val="right"/>
            </w:pPr>
            <w:r>
              <w:t xml:space="preserve">326</w:t>
            </w:r>
          </w:p>
        </w:tc>
        <w:tc>
          <w:p>
            <w:pPr>
              <w:pStyle w:val="Compact"/>
              <w:jc w:val="right"/>
            </w:pPr>
            <w:r>
              <w:t xml:space="preserve">591</w:t>
            </w:r>
          </w:p>
        </w:tc>
      </w:tr>
    </w:tbl>
    <w:p>
      <w:pPr>
        <w:pStyle w:val="BodyText"/>
      </w:pPr>
      <w:r>
        <w:t xml:space="preserve">Birds outnumber plants in Porto (2.1:1) and Amsterdam (1.1:1); plants outnumber birds in</w:t>
      </w:r>
      <w:r>
        <w:t xml:space="preserve"> </w:t>
      </w:r>
      <w:r>
        <w:t xml:space="preserve">Gent (3.6:1) and Yokohama (2.1:1). These are differences in observer community and</w:t>
      </w:r>
      <w:r>
        <w:t xml:space="preserve"> </w:t>
      </w:r>
      <w:r>
        <w:t xml:space="preserve">national recording scheme, not in flora. They are one more reason cross-city comparison of these outputs is not</w:t>
      </w:r>
      <w:r>
        <w:t xml:space="preserve"> </w:t>
      </w:r>
      <w:r>
        <w:t xml:space="preserve">supported.</w:t>
      </w:r>
    </w:p>
    <w:p>
      <w:r>
        <w:pict>
          <v:rect style="width:0;height:1.5pt" o:hralign="center" o:hrstd="t" o:hr="t"/>
        </w:pict>
      </w:r>
    </w:p>
    <w:p>
      <w:pPr>
        <w:pStyle w:val="Heading2"/>
      </w:pPr>
      <w:bookmarkStart w:id="61" w:name="figures"/>
      <w:r>
        <w:t xml:space="preserve">Figures</w:t>
      </w:r>
      <w:bookmarkEnd w:id="61"/>
    </w:p>
    <w:p>
      <w:pPr>
        <w:pStyle w:val="FirstParagraph"/>
      </w:pPr>
      <w:r>
        <w:rPr>
          <w:b/>
        </w:rPr>
        <w:t xml:space="preserve">Figure 1.</w:t>
      </w:r>
      <w:r>
        <w:t xml:space="preserve"> </w:t>
      </w:r>
      <w:r>
        <w:rPr>
          <w:rStyle w:val="VerbatimChar"/>
        </w:rPr>
        <w:t xml:space="preserve">figures/fig1_residual_window.png</w:t>
      </w:r>
      <w:r>
        <w:t xml:space="preserve"> </w:t>
      </w:r>
      <w:r>
        <w:t xml:space="preserve">— Shared variance of the residual</w:t>
      </w:r>
      <w:r>
        <w:t xml:space="preserve"> </w:t>
      </w:r>
      <w:r>
        <w:t xml:space="preserve">R = Ŷ − Y with each of its inputs, as a function of λ = Var(Ŷ)/Var(Y), from equations</w:t>
      </w:r>
      <w:r>
        <w:t xml:space="preserve"> </w:t>
      </w:r>
      <w:r>
        <w:t xml:space="preserve">(1) and (2) at ρ = 0. The shaded band marks the residual window (λ ∈ [0.25, 4]). The four</w:t>
      </w:r>
      <w:r>
        <w:t xml:space="preserve"> </w:t>
      </w:r>
      <w:r>
        <w:t xml:space="preserve">cities of this study and the pipeline’s previous release are plotted at their measured λ.</w:t>
      </w:r>
    </w:p>
    <w:p>
      <w:pPr>
        <w:pStyle w:val="BodyText"/>
      </w:pPr>
      <w:r>
        <w:rPr>
          <w:b/>
        </w:rPr>
        <w:t xml:space="preserve">Figure 2.</w:t>
      </w:r>
      <w:r>
        <w:t xml:space="preserve"> </w:t>
      </w:r>
      <w:r>
        <w:rPr>
          <w:rStyle w:val="VerbatimChar"/>
        </w:rPr>
        <w:t xml:space="preserve">figures/fig2_coverage.png</w:t>
      </w:r>
      <w:r>
        <w:t xml:space="preserve"> </w:t>
      </w:r>
      <w:r>
        <w:t xml:space="preserve">— (a) Share of grid cells admitted to the</w:t>
      </w:r>
      <w:r>
        <w:t xml:space="preserve"> </w:t>
      </w:r>
      <w:r>
        <w:t xml:space="preserve">analysis. (b) Share of admitted cells with zero recorded species. (c) Share of all</w:t>
      </w:r>
      <w:r>
        <w:t xml:space="preserve"> </w:t>
      </w:r>
      <w:r>
        <w:t xml:space="preserve">occurrence records falling in cells the admission rule excludes.</w:t>
      </w:r>
    </w:p>
    <w:p>
      <w:pPr>
        <w:pStyle w:val="BodyText"/>
      </w:pPr>
      <w:r>
        <w:rPr>
          <w:b/>
        </w:rPr>
        <w:t xml:space="preserve">Figure 3.</w:t>
      </w:r>
      <w:r>
        <w:t xml:space="preserve"> </w:t>
      </w:r>
      <w:r>
        <w:rPr>
          <w:rStyle w:val="VerbatimChar"/>
        </w:rPr>
        <w:t xml:space="preserve">figures/fig3_concentration.png</w:t>
      </w:r>
      <w:r>
        <w:t xml:space="preserve"> </w:t>
      </w:r>
      <w:r>
        <w:t xml:space="preserve">— (a) Cumulative share of records against</w:t>
      </w:r>
      <w:r>
        <w:t xml:space="preserve"> </w:t>
      </w:r>
      <w:r>
        <w:t xml:space="preserve">cells ranked by record count, with Gini coefficients. (b) The four largest Amsterdam</w:t>
      </w:r>
      <w:r>
        <w:t xml:space="preserve"> </w:t>
      </w:r>
      <w:r>
        <w:t xml:space="preserve">cells, plotted against the 0.05° graticule.</w:t>
      </w:r>
    </w:p>
    <w:p>
      <w:pPr>
        <w:pStyle w:val="BodyText"/>
      </w:pPr>
      <w:r>
        <w:rPr>
          <w:b/>
        </w:rPr>
        <w:t xml:space="preserve">Figure 4.</w:t>
      </w:r>
      <w:r>
        <w:t xml:space="preserve"> </w:t>
      </w:r>
      <w:r>
        <w:rPr>
          <w:rStyle w:val="VerbatimChar"/>
        </w:rPr>
        <w:t xml:space="preserve">figures/fig4_crossval.png</w:t>
      </w:r>
      <w:r>
        <w:t xml:space="preserve"> </w:t>
      </w:r>
      <w:r>
        <w:t xml:space="preserve">— In-sample versus spatially blocked 5-fold</w:t>
      </w:r>
      <w:r>
        <w:t xml:space="preserve"> </w:t>
      </w:r>
      <w:r>
        <w:t xml:space="preserve">cross-validated explained deviance; dots are individual folds.</w:t>
      </w:r>
    </w:p>
    <w:p>
      <w:pPr>
        <w:pStyle w:val="BodyText"/>
      </w:pPr>
      <w:r>
        <w:rPr>
          <w:b/>
        </w:rPr>
        <w:t xml:space="preserve">Figure 5.</w:t>
      </w:r>
      <w:r>
        <w:t xml:space="preserve"> </w:t>
      </w:r>
      <w:r>
        <w:rPr>
          <w:rStyle w:val="VerbatimChar"/>
        </w:rPr>
        <w:t xml:space="preserve">figures/fig5_ranking.png</w:t>
      </w:r>
      <w:r>
        <w:t xml:space="preserve"> </w:t>
      </w:r>
      <w:r>
        <w:t xml:space="preserve">— (a) Share of the top 1% of residual cells with</w:t>
      </w:r>
      <w:r>
        <w:t xml:space="preserve"> </w:t>
      </w:r>
      <w:r>
        <w:t xml:space="preserve">zero recorded species. (b) Number of each city’s baseline top-20 intervention cells that</w:t>
      </w:r>
      <w:r>
        <w:t xml:space="preserve"> </w:t>
      </w:r>
      <w:r>
        <w:t xml:space="preserve">remain in the top 20 at all six values of the dispersal-cost ceiling.</w:t>
      </w:r>
    </w:p>
    <w:p>
      <w:pPr>
        <w:pStyle w:val="BodyText"/>
      </w:pPr>
      <w:r>
        <w:rPr>
          <w:b/>
        </w:rPr>
        <w:t xml:space="preserve">Figure 6 (to make).</w:t>
      </w:r>
      <w:r>
        <w:t xml:space="preserve"> </w:t>
      </w:r>
      <w:r>
        <w:t xml:space="preserve">Three panels for one city — observed richness, expected richness,</w:t>
      </w:r>
      <w:r>
        <w:t xml:space="preserve"> </w:t>
      </w:r>
      <w:r>
        <w:t xml:space="preserve">ecological residual — on the same layout. The visual demonstration that panel 3 is panel 1</w:t>
      </w:r>
      <w:r>
        <w:t xml:space="preserve"> </w:t>
      </w:r>
      <w:r>
        <w:t xml:space="preserve">inverted.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5">
    <w:nsid w:val="47261bad"/>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9">
    <w:nsid w:val="b3cbbdee"/>
    <w:multiLevelType w:val="multilevel"/>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994114">
    <w:nsid w:val="4fbe019a"/>
    <w:multiLevelType w:val="multilevel"/>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994118">
    <w:nsid w:val="91a27d85"/>
    <w:multiLevelType w:val="multilevel"/>
    <w:lvl w:ilvl="0">
      <w:start w:val="18"/>
      <w:numFmt w:val="decimal"/>
      <w:lvlText w:val="%1."/>
      <w:lvlJc w:val="left"/>
      <w:pPr>
        <w:tabs>
          <w:tab w:val="num" w:pos="0"/>
        </w:tabs>
        <w:ind w:left="480" w:hanging="480"/>
      </w:pPr>
    </w:lvl>
    <w:lvl w:ilvl="1">
      <w:start w:val="18"/>
      <w:numFmt w:val="decimal"/>
      <w:lvlText w:val="%2."/>
      <w:lvlJc w:val="left"/>
      <w:pPr>
        <w:tabs>
          <w:tab w:val="num" w:pos="720"/>
        </w:tabs>
        <w:ind w:left="1200" w:hanging="480"/>
      </w:pPr>
    </w:lvl>
    <w:lvl w:ilvl="2">
      <w:start w:val="18"/>
      <w:numFmt w:val="decimal"/>
      <w:lvlText w:val="%3."/>
      <w:lvlJc w:val="left"/>
      <w:pPr>
        <w:tabs>
          <w:tab w:val="num" w:pos="1440"/>
        </w:tabs>
        <w:ind w:left="1920" w:hanging="480"/>
      </w:pPr>
    </w:lvl>
    <w:lvl w:ilvl="3">
      <w:start w:val="18"/>
      <w:numFmt w:val="decimal"/>
      <w:lvlText w:val="%4."/>
      <w:lvlJc w:val="left"/>
      <w:pPr>
        <w:tabs>
          <w:tab w:val="num" w:pos="2160"/>
        </w:tabs>
        <w:ind w:left="2640" w:hanging="480"/>
      </w:pPr>
    </w:lvl>
    <w:lvl w:ilvl="4">
      <w:start w:val="18"/>
      <w:numFmt w:val="decimal"/>
      <w:lvlText w:val="%5."/>
      <w:lvlJc w:val="left"/>
      <w:pPr>
        <w:tabs>
          <w:tab w:val="num" w:pos="2880"/>
        </w:tabs>
        <w:ind w:left="3360" w:hanging="480"/>
      </w:pPr>
    </w:lvl>
    <w:lvl w:ilvl="5">
      <w:start w:val="18"/>
      <w:numFmt w:val="decimal"/>
      <w:lvlText w:val="%6."/>
      <w:lvlJc w:val="left"/>
      <w:pPr>
        <w:tabs>
          <w:tab w:val="num" w:pos="3600"/>
        </w:tabs>
        <w:ind w:left="4080" w:hanging="480"/>
      </w:pPr>
    </w:lvl>
    <w:lvl w:ilvl="6">
      <w:start w:val="18"/>
      <w:numFmt w:val="decimal"/>
      <w:lvlText w:val="%7."/>
      <w:lvlJc w:val="left"/>
      <w:pPr>
        <w:tabs>
          <w:tab w:val="num" w:pos="4320"/>
        </w:tabs>
        <w:ind w:left="4800" w:hanging="480"/>
      </w:pPr>
    </w:lvl>
    <w:lvl w:ilvl="7">
      <w:start w:val="18"/>
      <w:numFmt w:val="decimal"/>
      <w:lvlText w:val="%8."/>
      <w:lvlJc w:val="left"/>
      <w:pPr>
        <w:tabs>
          <w:tab w:val="num" w:pos="5040"/>
        </w:tabs>
        <w:ind w:left="5520" w:hanging="480"/>
      </w:pPr>
    </w:lvl>
    <w:lvl w:ilvl="8">
      <w:start w:val="18"/>
      <w:numFmt w:val="decimal"/>
      <w:lvlText w:val="%9."/>
      <w:lvlJc w:val="left"/>
      <w:pPr>
        <w:tabs>
          <w:tab w:val="num" w:pos="5760"/>
        </w:tabs>
        <w:ind w:left="6240" w:hanging="480"/>
      </w:pPr>
    </w:lvl>
  </w:abstractNum>
  <w:abstractNum w:abstractNumId="994122">
    <w:nsid w:val="615f1ed2"/>
    <w:multiLevelType w:val="multilevel"/>
    <w:lvl w:ilvl="0">
      <w:start w:val="22"/>
      <w:numFmt w:val="decimal"/>
      <w:lvlText w:val="%1."/>
      <w:lvlJc w:val="left"/>
      <w:pPr>
        <w:tabs>
          <w:tab w:val="num" w:pos="0"/>
        </w:tabs>
        <w:ind w:left="480" w:hanging="480"/>
      </w:pPr>
    </w:lvl>
    <w:lvl w:ilvl="1">
      <w:start w:val="22"/>
      <w:numFmt w:val="decimal"/>
      <w:lvlText w:val="%2."/>
      <w:lvlJc w:val="left"/>
      <w:pPr>
        <w:tabs>
          <w:tab w:val="num" w:pos="720"/>
        </w:tabs>
        <w:ind w:left="1200" w:hanging="480"/>
      </w:pPr>
    </w:lvl>
    <w:lvl w:ilvl="2">
      <w:start w:val="22"/>
      <w:numFmt w:val="decimal"/>
      <w:lvlText w:val="%3."/>
      <w:lvlJc w:val="left"/>
      <w:pPr>
        <w:tabs>
          <w:tab w:val="num" w:pos="1440"/>
        </w:tabs>
        <w:ind w:left="1920" w:hanging="480"/>
      </w:pPr>
    </w:lvl>
    <w:lvl w:ilvl="3">
      <w:start w:val="22"/>
      <w:numFmt w:val="decimal"/>
      <w:lvlText w:val="%4."/>
      <w:lvlJc w:val="left"/>
      <w:pPr>
        <w:tabs>
          <w:tab w:val="num" w:pos="2160"/>
        </w:tabs>
        <w:ind w:left="2640" w:hanging="480"/>
      </w:pPr>
    </w:lvl>
    <w:lvl w:ilvl="4">
      <w:start w:val="22"/>
      <w:numFmt w:val="decimal"/>
      <w:lvlText w:val="%5."/>
      <w:lvlJc w:val="left"/>
      <w:pPr>
        <w:tabs>
          <w:tab w:val="num" w:pos="2880"/>
        </w:tabs>
        <w:ind w:left="3360" w:hanging="480"/>
      </w:pPr>
    </w:lvl>
    <w:lvl w:ilvl="5">
      <w:start w:val="22"/>
      <w:numFmt w:val="decimal"/>
      <w:lvlText w:val="%6."/>
      <w:lvlJc w:val="left"/>
      <w:pPr>
        <w:tabs>
          <w:tab w:val="num" w:pos="3600"/>
        </w:tabs>
        <w:ind w:left="4080" w:hanging="480"/>
      </w:pPr>
    </w:lvl>
    <w:lvl w:ilvl="6">
      <w:start w:val="22"/>
      <w:numFmt w:val="decimal"/>
      <w:lvlText w:val="%7."/>
      <w:lvlJc w:val="left"/>
      <w:pPr>
        <w:tabs>
          <w:tab w:val="num" w:pos="4320"/>
        </w:tabs>
        <w:ind w:left="4800" w:hanging="480"/>
      </w:pPr>
    </w:lvl>
    <w:lvl w:ilvl="7">
      <w:start w:val="22"/>
      <w:numFmt w:val="decimal"/>
      <w:lvlText w:val="%8."/>
      <w:lvlJc w:val="left"/>
      <w:pPr>
        <w:tabs>
          <w:tab w:val="num" w:pos="5040"/>
        </w:tabs>
        <w:ind w:left="5520" w:hanging="480"/>
      </w:pPr>
    </w:lvl>
    <w:lvl w:ilvl="8">
      <w:start w:val="22"/>
      <w:numFmt w:val="decimal"/>
      <w:lvlText w:val="%9."/>
      <w:lvlJc w:val="left"/>
      <w:pPr>
        <w:tabs>
          <w:tab w:val="num" w:pos="5760"/>
        </w:tabs>
        <w:ind w:left="6240" w:hanging="480"/>
      </w:pPr>
    </w:lvl>
  </w:abstractNum>
  <w:abstractNum w:abstractNumId="994126">
    <w:nsid w:val="238d8174"/>
    <w:multiLevelType w:val="multilevel"/>
    <w:lvl w:ilvl="0">
      <w:start w:val="26"/>
      <w:numFmt w:val="decimal"/>
      <w:lvlText w:val="%1."/>
      <w:lvlJc w:val="left"/>
      <w:pPr>
        <w:tabs>
          <w:tab w:val="num" w:pos="0"/>
        </w:tabs>
        <w:ind w:left="480" w:hanging="480"/>
      </w:pPr>
    </w:lvl>
    <w:lvl w:ilvl="1">
      <w:start w:val="26"/>
      <w:numFmt w:val="decimal"/>
      <w:lvlText w:val="%2."/>
      <w:lvlJc w:val="left"/>
      <w:pPr>
        <w:tabs>
          <w:tab w:val="num" w:pos="720"/>
        </w:tabs>
        <w:ind w:left="1200" w:hanging="480"/>
      </w:pPr>
    </w:lvl>
    <w:lvl w:ilvl="2">
      <w:start w:val="26"/>
      <w:numFmt w:val="decimal"/>
      <w:lvlText w:val="%3."/>
      <w:lvlJc w:val="left"/>
      <w:pPr>
        <w:tabs>
          <w:tab w:val="num" w:pos="1440"/>
        </w:tabs>
        <w:ind w:left="1920" w:hanging="480"/>
      </w:pPr>
    </w:lvl>
    <w:lvl w:ilvl="3">
      <w:start w:val="26"/>
      <w:numFmt w:val="decimal"/>
      <w:lvlText w:val="%4."/>
      <w:lvlJc w:val="left"/>
      <w:pPr>
        <w:tabs>
          <w:tab w:val="num" w:pos="2160"/>
        </w:tabs>
        <w:ind w:left="2640" w:hanging="480"/>
      </w:pPr>
    </w:lvl>
    <w:lvl w:ilvl="4">
      <w:start w:val="26"/>
      <w:numFmt w:val="decimal"/>
      <w:lvlText w:val="%5."/>
      <w:lvlJc w:val="left"/>
      <w:pPr>
        <w:tabs>
          <w:tab w:val="num" w:pos="2880"/>
        </w:tabs>
        <w:ind w:left="3360" w:hanging="480"/>
      </w:pPr>
    </w:lvl>
    <w:lvl w:ilvl="5">
      <w:start w:val="26"/>
      <w:numFmt w:val="decimal"/>
      <w:lvlText w:val="%6."/>
      <w:lvlJc w:val="left"/>
      <w:pPr>
        <w:tabs>
          <w:tab w:val="num" w:pos="3600"/>
        </w:tabs>
        <w:ind w:left="4080" w:hanging="480"/>
      </w:pPr>
    </w:lvl>
    <w:lvl w:ilvl="6">
      <w:start w:val="26"/>
      <w:numFmt w:val="decimal"/>
      <w:lvlText w:val="%7."/>
      <w:lvlJc w:val="left"/>
      <w:pPr>
        <w:tabs>
          <w:tab w:val="num" w:pos="4320"/>
        </w:tabs>
        <w:ind w:left="4800" w:hanging="480"/>
      </w:pPr>
    </w:lvl>
    <w:lvl w:ilvl="7">
      <w:start w:val="26"/>
      <w:numFmt w:val="decimal"/>
      <w:lvlText w:val="%8."/>
      <w:lvlJc w:val="left"/>
      <w:pPr>
        <w:tabs>
          <w:tab w:val="num" w:pos="5040"/>
        </w:tabs>
        <w:ind w:left="5520" w:hanging="480"/>
      </w:pPr>
    </w:lvl>
    <w:lvl w:ilvl="8">
      <w:start w:val="26"/>
      <w:numFmt w:val="decimal"/>
      <w:lvlText w:val="%9."/>
      <w:lvlJc w:val="left"/>
      <w:pPr>
        <w:tabs>
          <w:tab w:val="num" w:pos="5760"/>
        </w:tabs>
        <w:ind w:left="6240" w:hanging="480"/>
      </w:pPr>
    </w:lvl>
  </w:abstractNum>
  <w:abstractNum w:abstractNumId="994129">
    <w:nsid w:val="41f388d6"/>
    <w:multiLevelType w:val="multilevel"/>
    <w:lvl w:ilvl="0">
      <w:start w:val="29"/>
      <w:numFmt w:val="decimal"/>
      <w:lvlText w:val="%1."/>
      <w:lvlJc w:val="left"/>
      <w:pPr>
        <w:tabs>
          <w:tab w:val="num" w:pos="0"/>
        </w:tabs>
        <w:ind w:left="480" w:hanging="480"/>
      </w:pPr>
    </w:lvl>
    <w:lvl w:ilvl="1">
      <w:start w:val="29"/>
      <w:numFmt w:val="decimal"/>
      <w:lvlText w:val="%2."/>
      <w:lvlJc w:val="left"/>
      <w:pPr>
        <w:tabs>
          <w:tab w:val="num" w:pos="720"/>
        </w:tabs>
        <w:ind w:left="1200" w:hanging="480"/>
      </w:pPr>
    </w:lvl>
    <w:lvl w:ilvl="2">
      <w:start w:val="29"/>
      <w:numFmt w:val="decimal"/>
      <w:lvlText w:val="%3."/>
      <w:lvlJc w:val="left"/>
      <w:pPr>
        <w:tabs>
          <w:tab w:val="num" w:pos="1440"/>
        </w:tabs>
        <w:ind w:left="1920" w:hanging="480"/>
      </w:pPr>
    </w:lvl>
    <w:lvl w:ilvl="3">
      <w:start w:val="29"/>
      <w:numFmt w:val="decimal"/>
      <w:lvlText w:val="%4."/>
      <w:lvlJc w:val="left"/>
      <w:pPr>
        <w:tabs>
          <w:tab w:val="num" w:pos="2160"/>
        </w:tabs>
        <w:ind w:left="2640" w:hanging="480"/>
      </w:pPr>
    </w:lvl>
    <w:lvl w:ilvl="4">
      <w:start w:val="29"/>
      <w:numFmt w:val="decimal"/>
      <w:lvlText w:val="%5."/>
      <w:lvlJc w:val="left"/>
      <w:pPr>
        <w:tabs>
          <w:tab w:val="num" w:pos="2880"/>
        </w:tabs>
        <w:ind w:left="3360" w:hanging="480"/>
      </w:pPr>
    </w:lvl>
    <w:lvl w:ilvl="5">
      <w:start w:val="29"/>
      <w:numFmt w:val="decimal"/>
      <w:lvlText w:val="%6."/>
      <w:lvlJc w:val="left"/>
      <w:pPr>
        <w:tabs>
          <w:tab w:val="num" w:pos="3600"/>
        </w:tabs>
        <w:ind w:left="4080" w:hanging="480"/>
      </w:pPr>
    </w:lvl>
    <w:lvl w:ilvl="6">
      <w:start w:val="29"/>
      <w:numFmt w:val="decimal"/>
      <w:lvlText w:val="%7."/>
      <w:lvlJc w:val="left"/>
      <w:pPr>
        <w:tabs>
          <w:tab w:val="num" w:pos="4320"/>
        </w:tabs>
        <w:ind w:left="4800" w:hanging="480"/>
      </w:pPr>
    </w:lvl>
    <w:lvl w:ilvl="7">
      <w:start w:val="29"/>
      <w:numFmt w:val="decimal"/>
      <w:lvlText w:val="%8."/>
      <w:lvlJc w:val="left"/>
      <w:pPr>
        <w:tabs>
          <w:tab w:val="num" w:pos="5040"/>
        </w:tabs>
        <w:ind w:left="5520" w:hanging="480"/>
      </w:pPr>
    </w:lvl>
    <w:lvl w:ilvl="8">
      <w:start w:val="29"/>
      <w:numFmt w:val="decimal"/>
      <w:lvlText w:val="%9."/>
      <w:lvlJc w:val="left"/>
      <w:pPr>
        <w:tabs>
          <w:tab w:val="num" w:pos="5760"/>
        </w:tabs>
        <w:ind w:left="6240" w:hanging="480"/>
      </w:pPr>
    </w:lvl>
  </w:abstractNum>
  <w:abstractNum w:abstractNumId="994132">
    <w:nsid w:val="da4300bd"/>
    <w:multiLevelType w:val="multilevel"/>
    <w:lvl w:ilvl="0">
      <w:start w:val="32"/>
      <w:numFmt w:val="decimal"/>
      <w:lvlText w:val="%1."/>
      <w:lvlJc w:val="left"/>
      <w:pPr>
        <w:tabs>
          <w:tab w:val="num" w:pos="0"/>
        </w:tabs>
        <w:ind w:left="480" w:hanging="480"/>
      </w:pPr>
    </w:lvl>
    <w:lvl w:ilvl="1">
      <w:start w:val="32"/>
      <w:numFmt w:val="decimal"/>
      <w:lvlText w:val="%2."/>
      <w:lvlJc w:val="left"/>
      <w:pPr>
        <w:tabs>
          <w:tab w:val="num" w:pos="720"/>
        </w:tabs>
        <w:ind w:left="1200" w:hanging="480"/>
      </w:pPr>
    </w:lvl>
    <w:lvl w:ilvl="2">
      <w:start w:val="32"/>
      <w:numFmt w:val="decimal"/>
      <w:lvlText w:val="%3."/>
      <w:lvlJc w:val="left"/>
      <w:pPr>
        <w:tabs>
          <w:tab w:val="num" w:pos="1440"/>
        </w:tabs>
        <w:ind w:left="1920" w:hanging="480"/>
      </w:pPr>
    </w:lvl>
    <w:lvl w:ilvl="3">
      <w:start w:val="32"/>
      <w:numFmt w:val="decimal"/>
      <w:lvlText w:val="%4."/>
      <w:lvlJc w:val="left"/>
      <w:pPr>
        <w:tabs>
          <w:tab w:val="num" w:pos="2160"/>
        </w:tabs>
        <w:ind w:left="2640" w:hanging="480"/>
      </w:pPr>
    </w:lvl>
    <w:lvl w:ilvl="4">
      <w:start w:val="32"/>
      <w:numFmt w:val="decimal"/>
      <w:lvlText w:val="%5."/>
      <w:lvlJc w:val="left"/>
      <w:pPr>
        <w:tabs>
          <w:tab w:val="num" w:pos="2880"/>
        </w:tabs>
        <w:ind w:left="3360" w:hanging="480"/>
      </w:pPr>
    </w:lvl>
    <w:lvl w:ilvl="5">
      <w:start w:val="32"/>
      <w:numFmt w:val="decimal"/>
      <w:lvlText w:val="%6."/>
      <w:lvlJc w:val="left"/>
      <w:pPr>
        <w:tabs>
          <w:tab w:val="num" w:pos="3600"/>
        </w:tabs>
        <w:ind w:left="4080" w:hanging="480"/>
      </w:pPr>
    </w:lvl>
    <w:lvl w:ilvl="6">
      <w:start w:val="32"/>
      <w:numFmt w:val="decimal"/>
      <w:lvlText w:val="%7."/>
      <w:lvlJc w:val="left"/>
      <w:pPr>
        <w:tabs>
          <w:tab w:val="num" w:pos="4320"/>
        </w:tabs>
        <w:ind w:left="4800" w:hanging="480"/>
      </w:pPr>
    </w:lvl>
    <w:lvl w:ilvl="7">
      <w:start w:val="32"/>
      <w:numFmt w:val="decimal"/>
      <w:lvlText w:val="%8."/>
      <w:lvlJc w:val="left"/>
      <w:pPr>
        <w:tabs>
          <w:tab w:val="num" w:pos="5040"/>
        </w:tabs>
        <w:ind w:left="5520" w:hanging="480"/>
      </w:pPr>
    </w:lvl>
    <w:lvl w:ilvl="8">
      <w:start w:val="32"/>
      <w:numFmt w:val="decimal"/>
      <w:lvlText w:val="%9."/>
      <w:lvlJc w:val="left"/>
      <w:pPr>
        <w:tabs>
          <w:tab w:val="num" w:pos="5760"/>
        </w:tabs>
        <w:ind w:left="6240" w:hanging="480"/>
      </w:pPr>
    </w:lvl>
  </w:abstractNum>
  <w:abstractNum w:abstractNumId="994136">
    <w:nsid w:val="8c1c03f9"/>
    <w:multiLevelType w:val="multilevel"/>
    <w:lvl w:ilvl="0">
      <w:start w:val="36"/>
      <w:numFmt w:val="decimal"/>
      <w:lvlText w:val="%1."/>
      <w:lvlJc w:val="left"/>
      <w:pPr>
        <w:tabs>
          <w:tab w:val="num" w:pos="0"/>
        </w:tabs>
        <w:ind w:left="480" w:hanging="480"/>
      </w:pPr>
    </w:lvl>
    <w:lvl w:ilvl="1">
      <w:start w:val="36"/>
      <w:numFmt w:val="decimal"/>
      <w:lvlText w:val="%2."/>
      <w:lvlJc w:val="left"/>
      <w:pPr>
        <w:tabs>
          <w:tab w:val="num" w:pos="720"/>
        </w:tabs>
        <w:ind w:left="1200" w:hanging="480"/>
      </w:pPr>
    </w:lvl>
    <w:lvl w:ilvl="2">
      <w:start w:val="36"/>
      <w:numFmt w:val="decimal"/>
      <w:lvlText w:val="%3."/>
      <w:lvlJc w:val="left"/>
      <w:pPr>
        <w:tabs>
          <w:tab w:val="num" w:pos="1440"/>
        </w:tabs>
        <w:ind w:left="1920" w:hanging="480"/>
      </w:pPr>
    </w:lvl>
    <w:lvl w:ilvl="3">
      <w:start w:val="36"/>
      <w:numFmt w:val="decimal"/>
      <w:lvlText w:val="%4."/>
      <w:lvlJc w:val="left"/>
      <w:pPr>
        <w:tabs>
          <w:tab w:val="num" w:pos="2160"/>
        </w:tabs>
        <w:ind w:left="2640" w:hanging="480"/>
      </w:pPr>
    </w:lvl>
    <w:lvl w:ilvl="4">
      <w:start w:val="36"/>
      <w:numFmt w:val="decimal"/>
      <w:lvlText w:val="%5."/>
      <w:lvlJc w:val="left"/>
      <w:pPr>
        <w:tabs>
          <w:tab w:val="num" w:pos="2880"/>
        </w:tabs>
        <w:ind w:left="3360" w:hanging="480"/>
      </w:pPr>
    </w:lvl>
    <w:lvl w:ilvl="5">
      <w:start w:val="36"/>
      <w:numFmt w:val="decimal"/>
      <w:lvlText w:val="%6."/>
      <w:lvlJc w:val="left"/>
      <w:pPr>
        <w:tabs>
          <w:tab w:val="num" w:pos="3600"/>
        </w:tabs>
        <w:ind w:left="4080" w:hanging="480"/>
      </w:pPr>
    </w:lvl>
    <w:lvl w:ilvl="6">
      <w:start w:val="36"/>
      <w:numFmt w:val="decimal"/>
      <w:lvlText w:val="%7."/>
      <w:lvlJc w:val="left"/>
      <w:pPr>
        <w:tabs>
          <w:tab w:val="num" w:pos="4320"/>
        </w:tabs>
        <w:ind w:left="4800" w:hanging="480"/>
      </w:pPr>
    </w:lvl>
    <w:lvl w:ilvl="7">
      <w:start w:val="36"/>
      <w:numFmt w:val="decimal"/>
      <w:lvlText w:val="%8."/>
      <w:lvlJc w:val="left"/>
      <w:pPr>
        <w:tabs>
          <w:tab w:val="num" w:pos="5040"/>
        </w:tabs>
        <w:ind w:left="5520" w:hanging="480"/>
      </w:pPr>
    </w:lvl>
    <w:lvl w:ilvl="8">
      <w:start w:val="36"/>
      <w:numFmt w:val="decimal"/>
      <w:lvlText w:val="%9."/>
      <w:lvlJc w:val="left"/>
      <w:pPr>
        <w:tabs>
          <w:tab w:val="num" w:pos="5760"/>
        </w:tabs>
        <w:ind w:left="6240" w:hanging="480"/>
      </w:pPr>
    </w:lvl>
  </w:abstractNum>
  <w:abstractNum w:abstractNumId="994140">
    <w:nsid w:val="5504a012"/>
    <w:multiLevelType w:val="multilevel"/>
    <w:lvl w:ilvl="0">
      <w:start w:val="40"/>
      <w:numFmt w:val="decimal"/>
      <w:lvlText w:val="%1."/>
      <w:lvlJc w:val="left"/>
      <w:pPr>
        <w:tabs>
          <w:tab w:val="num" w:pos="0"/>
        </w:tabs>
        <w:ind w:left="480" w:hanging="480"/>
      </w:pPr>
    </w:lvl>
    <w:lvl w:ilvl="1">
      <w:start w:val="40"/>
      <w:numFmt w:val="decimal"/>
      <w:lvlText w:val="%2."/>
      <w:lvlJc w:val="left"/>
      <w:pPr>
        <w:tabs>
          <w:tab w:val="num" w:pos="720"/>
        </w:tabs>
        <w:ind w:left="1200" w:hanging="480"/>
      </w:pPr>
    </w:lvl>
    <w:lvl w:ilvl="2">
      <w:start w:val="40"/>
      <w:numFmt w:val="decimal"/>
      <w:lvlText w:val="%3."/>
      <w:lvlJc w:val="left"/>
      <w:pPr>
        <w:tabs>
          <w:tab w:val="num" w:pos="1440"/>
        </w:tabs>
        <w:ind w:left="1920" w:hanging="480"/>
      </w:pPr>
    </w:lvl>
    <w:lvl w:ilvl="3">
      <w:start w:val="40"/>
      <w:numFmt w:val="decimal"/>
      <w:lvlText w:val="%4."/>
      <w:lvlJc w:val="left"/>
      <w:pPr>
        <w:tabs>
          <w:tab w:val="num" w:pos="2160"/>
        </w:tabs>
        <w:ind w:left="2640" w:hanging="480"/>
      </w:pPr>
    </w:lvl>
    <w:lvl w:ilvl="4">
      <w:start w:val="40"/>
      <w:numFmt w:val="decimal"/>
      <w:lvlText w:val="%5."/>
      <w:lvlJc w:val="left"/>
      <w:pPr>
        <w:tabs>
          <w:tab w:val="num" w:pos="2880"/>
        </w:tabs>
        <w:ind w:left="3360" w:hanging="480"/>
      </w:pPr>
    </w:lvl>
    <w:lvl w:ilvl="5">
      <w:start w:val="40"/>
      <w:numFmt w:val="decimal"/>
      <w:lvlText w:val="%6."/>
      <w:lvlJc w:val="left"/>
      <w:pPr>
        <w:tabs>
          <w:tab w:val="num" w:pos="3600"/>
        </w:tabs>
        <w:ind w:left="4080" w:hanging="480"/>
      </w:pPr>
    </w:lvl>
    <w:lvl w:ilvl="6">
      <w:start w:val="40"/>
      <w:numFmt w:val="decimal"/>
      <w:lvlText w:val="%7."/>
      <w:lvlJc w:val="left"/>
      <w:pPr>
        <w:tabs>
          <w:tab w:val="num" w:pos="4320"/>
        </w:tabs>
        <w:ind w:left="4800" w:hanging="480"/>
      </w:pPr>
    </w:lvl>
    <w:lvl w:ilvl="7">
      <w:start w:val="40"/>
      <w:numFmt w:val="decimal"/>
      <w:lvlText w:val="%8."/>
      <w:lvlJc w:val="left"/>
      <w:pPr>
        <w:tabs>
          <w:tab w:val="num" w:pos="5040"/>
        </w:tabs>
        <w:ind w:left="5520" w:hanging="480"/>
      </w:pPr>
    </w:lvl>
    <w:lvl w:ilvl="8">
      <w:start w:val="40"/>
      <w:numFmt w:val="decimal"/>
      <w:lvlText w:val="%9."/>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0">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1">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2">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3">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4">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5">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16">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8" Target="media/rId38.png" /><Relationship Type="http://schemas.openxmlformats.org/officeDocument/2006/relationships/image" Id="rId42" Target="media/rId4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gap is in the data: expected-minus-observed biodiversity maps reproduce sampling effort at fine grain, and a variance criterion that detects it</dc:title>
  <dc:creator>[Filipe A. M. Teixeira]; [co-authors]</dc:creator>
  <cp:keywords/>
  <dcterms:created xsi:type="dcterms:W3CDTF">2026-09-10T21:54:04Z</dcterms:created>
  <dcterms:modified xsi:type="dcterms:W3CDTF">2026-09-10T21:54:04Z</dcterms:modified>
</cp:coreProperties>
</file>