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paper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NatureGap</w:t>
      </w:r>
    </w:p>
    <w:p>
      <w:pPr>
        <w:pStyle w:val="Subtitle"/>
      </w:pPr>
      <w:r>
        <w:t xml:space="preserve">Working</w:t>
      </w:r>
      <w:r>
        <w:t xml:space="preserve"> </w:t>
      </w:r>
      <w:r>
        <w:t xml:space="preserve">document</w:t>
      </w:r>
    </w:p>
    <w:p>
      <w:pPr>
        <w:pStyle w:val="Date"/>
      </w:pPr>
      <w:r>
        <w:t xml:space="preserve">Draft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/>
        </w:rPr>
        <w:t xml:space="preserve">Working document. Defines what the paper argues, why it is publishable, how it is</w:t>
      </w:r>
      <w:r>
        <w:rPr>
          <w:i/>
        </w:rPr>
        <w:t xml:space="preserve"> </w:t>
      </w:r>
      <w:r>
        <w:rPr>
          <w:i/>
        </w:rPr>
        <w:t xml:space="preserve">structured, what evidence supports each claim, and what still needs doing.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the-one-sentence-thesis"/>
      <w:r>
        <w:t xml:space="preserve">1. The one-sentence thesis</w:t>
      </w:r>
      <w:bookmarkEnd w:id="20"/>
    </w:p>
    <w:p>
      <w:pPr>
        <w:pStyle w:val="FirstParagraph"/>
      </w:pPr>
      <w:r>
        <w:rPr>
          <w:b/>
        </w:rPr>
        <w:t xml:space="preserve">An expected-minus-observed biodiversity map carries information about ecology only</w:t>
      </w:r>
      <w:r>
        <w:rPr>
          <w:b/>
        </w:rPr>
        <w:t xml:space="preserve"> </w:t>
      </w:r>
      <w:r>
        <w:rPr>
          <w:b/>
        </w:rPr>
        <w:t xml:space="preserve">when the fitted expectation varies about as much as the observation it is subtracted</w:t>
      </w:r>
      <w:r>
        <w:rPr>
          <w:b/>
        </w:rPr>
        <w:t xml:space="preserve"> </w:t>
      </w:r>
      <w:r>
        <w:rPr>
          <w:b/>
        </w:rPr>
        <w:t xml:space="preserve">from; in four cities built on a production citizen-science pipeline this condition</w:t>
      </w:r>
      <w:r>
        <w:rPr>
          <w:b/>
        </w:rPr>
        <w:t xml:space="preserve"> </w:t>
      </w:r>
      <w:r>
        <w:rPr>
          <w:b/>
        </w:rPr>
        <w:t xml:space="preserve">fails by two to four orders of magnitude, so the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nature gap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a map of where</w:t>
      </w:r>
      <w:r>
        <w:rPr>
          <w:b/>
        </w:rPr>
        <w:t xml:space="preserve"> </w:t>
      </w:r>
      <w:r>
        <w:rPr>
          <w:b/>
        </w:rPr>
        <w:t xml:space="preserve">nobody has been looking.</w:t>
      </w:r>
    </w:p>
    <w:p>
      <w:pPr>
        <w:pStyle w:val="BodyText"/>
      </w:pPr>
      <w:r>
        <w:t xml:space="preserve">Everything else in the paper is either the derivation of that condition, the</w:t>
      </w:r>
      <w:r>
        <w:t xml:space="preserve"> </w:t>
      </w:r>
      <w:r>
        <w:t xml:space="preserve">measurement of it, the diagnosis of why it fails, or what to do instead.</w:t>
      </w:r>
    </w:p>
    <w:p>
      <w:pPr>
        <w:pStyle w:val="Heading2"/>
      </w:pPr>
      <w:bookmarkStart w:id="21" w:name="why-this-is-publishable"/>
      <w:r>
        <w:t xml:space="preserve">2. Why this is publishable</w:t>
      </w:r>
      <w:bookmarkEnd w:id="21"/>
    </w:p>
    <w:p>
      <w:pPr>
        <w:pStyle w:val="FirstParagraph"/>
      </w:pPr>
      <w:r>
        <w:t xml:space="preserve">The literature is full of</w:t>
      </w:r>
      <w:r>
        <w:t xml:space="preserve"> </w:t>
      </w:r>
      <w:r>
        <w:rPr>
          <w:i/>
        </w:rPr>
        <w:t xml:space="preserve">expected vs. observed</w:t>
      </w:r>
      <w:r>
        <w:t xml:space="preserve"> </w:t>
      </w:r>
      <w:r>
        <w:t xml:space="preserve">maps — biodiversity debt, extinction</w:t>
      </w:r>
      <w:r>
        <w:t xml:space="preserve"> </w:t>
      </w:r>
      <w:r>
        <w:t xml:space="preserve">debt, restoration priority,</w:t>
      </w:r>
      <w:r>
        <w:t xml:space="preserve"> </w:t>
      </w:r>
      <w:r>
        <w:t xml:space="preserve">“</w:t>
      </w:r>
      <w:r>
        <w:t xml:space="preserve">nature gap</w:t>
      </w:r>
      <w:r>
        <w:t xml:space="preserve">”</w:t>
      </w:r>
      <w:r>
        <w:t xml:space="preserve">, conservation shortfall, effort-corrected</w:t>
      </w:r>
      <w:r>
        <w:t xml:space="preserve"> </w:t>
      </w:r>
      <w:r>
        <w:t xml:space="preserve">richness. Almost all of them:</w:t>
      </w:r>
    </w:p>
    <w:p>
      <w:pPr>
        <w:pStyle w:val="Compact"/>
        <w:numPr>
          <w:numId w:val="1001"/>
          <w:ilvl w:val="0"/>
        </w:numPr>
      </w:pPr>
      <w:r>
        <w:t xml:space="preserve">fit a model of expected richness,</w:t>
      </w:r>
    </w:p>
    <w:p>
      <w:pPr>
        <w:pStyle w:val="Compact"/>
        <w:numPr>
          <w:numId w:val="1001"/>
          <w:ilvl w:val="0"/>
        </w:numPr>
      </w:pPr>
      <w:r>
        <w:t xml:space="preserve">subtract the observation,</w:t>
      </w:r>
    </w:p>
    <w:p>
      <w:pPr>
        <w:pStyle w:val="Compact"/>
        <w:numPr>
          <w:numId w:val="1001"/>
          <w:ilvl w:val="0"/>
        </w:numPr>
      </w:pPr>
      <w:r>
        <w:t xml:space="preserve">map the difference,</w:t>
      </w:r>
    </w:p>
    <w:p>
      <w:pPr>
        <w:pStyle w:val="Compact"/>
        <w:numPr>
          <w:numId w:val="1001"/>
          <w:ilvl w:val="0"/>
        </w:numPr>
      </w:pPr>
      <w:r>
        <w:t xml:space="preserve">rank interventions on it,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b/>
        </w:rPr>
        <w:t xml:space="preserve">report the fit of the model (R², D², AUC) but never the variance ratio between</w:t>
      </w:r>
      <w:r>
        <w:rPr>
          <w:b/>
        </w:rPr>
        <w:t xml:space="preserve"> </w:t>
      </w:r>
      <w:r>
        <w:rPr>
          <w:b/>
        </w:rPr>
        <w:t xml:space="preserve">the two sides of the subtraction.</w:t>
      </w:r>
      <w:r>
        <w:t xml:space="preserve"> </w:t>
      </w:r>
      <w:r>
        <w:t xml:space="preserve">Fit quality does not tell you whether the</w:t>
      </w:r>
      <w:r>
        <w:t xml:space="preserve"> </w:t>
      </w:r>
      <w:r>
        <w:t xml:space="preserve">difference is informative. That gap in practice is the paper’s opening.</w:t>
      </w:r>
    </w:p>
    <w:p>
      <w:pPr>
        <w:pStyle w:val="BodyText"/>
      </w:pPr>
      <w:r>
        <w:t xml:space="preserve">The contribution is not</w:t>
      </w:r>
      <w:r>
        <w:t xml:space="preserve"> </w:t>
      </w:r>
      <w:r>
        <w:t xml:space="preserve">“</w:t>
      </w:r>
      <w:r>
        <w:t xml:space="preserve">here is another urban biodiversity index</w:t>
      </w:r>
      <w:r>
        <w:t xml:space="preserve">”</w:t>
      </w:r>
      <w:r>
        <w:t xml:space="preserve">. It is: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 closed-form criterion</w:t>
      </w:r>
      <w:r>
        <w:t xml:space="preserve"> </w:t>
      </w:r>
      <w:r>
        <w:t xml:space="preserve">for when a difference map is worth drawing, with two</w:t>
      </w:r>
      <w:r>
        <w:t xml:space="preserve"> </w:t>
      </w:r>
      <w:r>
        <w:t xml:space="preserve">symmetric failure modes that look completely different on a map but are the same</w:t>
      </w:r>
      <w:r>
        <w:t xml:space="preserve"> </w:t>
      </w:r>
      <w:r>
        <w:t xml:space="preserve">arithmetic error.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 four-city audit</w:t>
      </w:r>
      <w:r>
        <w:t xml:space="preserve"> </w:t>
      </w:r>
      <w:r>
        <w:t xml:space="preserve">of a real, deployed, fully open pipeline in which both failure</w:t>
      </w:r>
      <w:r>
        <w:t xml:space="preserve"> </w:t>
      </w:r>
      <w:r>
        <w:t xml:space="preserve">modes actually occurred, in sequence, and were measured.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The first out-of-sample evaluation</w:t>
      </w:r>
      <w:r>
        <w:t xml:space="preserve"> </w:t>
      </w:r>
      <w:r>
        <w:t xml:space="preserve">of this model class in this setting.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A short reporting standard</w:t>
      </w:r>
      <w:r>
        <w:t xml:space="preserve"> </w:t>
      </w:r>
      <w:r>
        <w:t xml:space="preserve">that would have caught it.</w:t>
      </w:r>
    </w:p>
    <w:p>
      <w:pPr>
        <w:pStyle w:val="FirstParagraph"/>
      </w:pPr>
      <w:r>
        <w:t xml:space="preserve">Reviewers will find claim 1 obvious</w:t>
      </w:r>
      <w:r>
        <w:t xml:space="preserve"> </w:t>
      </w:r>
      <w:r>
        <w:rPr>
          <w:i/>
        </w:rPr>
        <w:t xml:space="preserve">once stated</w:t>
      </w:r>
      <w:r>
        <w:t xml:space="preserve">. That is a feature: it is obvious,</w:t>
      </w:r>
      <w:r>
        <w:t xml:space="preserve"> </w:t>
      </w:r>
      <w:r>
        <w:t xml:space="preserve">unreported, and the field is publishing maps that violate it.</w:t>
      </w:r>
    </w:p>
    <w:p>
      <w:pPr>
        <w:pStyle w:val="Heading2"/>
      </w:pPr>
      <w:bookmarkStart w:id="22" w:name="positioning-against-the-likely-objections"/>
      <w:r>
        <w:t xml:space="preserve">3. Positioning against the likely objections</w:t>
      </w:r>
      <w:bookmarkEnd w:id="22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Answer in the 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This is just a negative result about one tool.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criterion is analytic and general; NatureGap is the demonstration, not the subject. Two opposite failure modes in the same codebase make the point sharper than a survey would.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criticising your own system.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Yes — deliberately. The system is open source, the failure is documented in its own repository, and self-audit with full data release is the strongest available evidence. Frame as</w:t>
            </w:r>
            <w:r>
              <w:t xml:space="preserve"> </w:t>
            </w:r>
            <w:r>
              <w:rPr>
                <w:i/>
              </w:rPr>
              <w:t xml:space="preserve">audit</w:t>
            </w:r>
            <w:r>
              <w:t xml:space="preserve">, not confession.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Everyone knows citizen science is spatially biased.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Known: the bias. New: that effort</w:t>
            </w:r>
            <w:r>
              <w:t xml:space="preserve"> </w:t>
            </w:r>
            <w:r>
              <w:rPr>
                <w:i/>
              </w:rPr>
              <w:t xml:space="preserve">correction</w:t>
            </w:r>
            <w:r>
              <w:t xml:space="preserve"> </w:t>
            </w:r>
            <w:r>
              <w:t xml:space="preserve">does not remove it, that the correction discards 46–77% of records, and that the residual construction re-imports the bias in a form that looks like a result.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λ is just 1−(unexplained variance).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No. λ is measured between the</w:t>
            </w:r>
            <w:r>
              <w:t xml:space="preserve"> </w:t>
            </w:r>
            <w:r>
              <w:rPr>
                <w:i/>
              </w:rPr>
              <w:t xml:space="preserve">two mapped quantities</w:t>
            </w:r>
            <w:r>
              <w:t xml:space="preserve">, is not a function of D² alone under a log link on overdispersed counts, and is what the map is actually made of. Porto: D²=0.14, λ=0.028 — a fivefold discrepancy.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Why not just fix the model?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 paper does propose fixes (§ recommendations) and tests one class of them (grain). But λ is a property of the</w:t>
            </w:r>
            <w:r>
              <w:t xml:space="preserve"> </w:t>
            </w:r>
            <w:r>
              <w:rPr>
                <w:i/>
              </w:rPr>
              <w:t xml:space="preserve">published product</w:t>
            </w:r>
            <w:r>
              <w:t xml:space="preserve">, not of the modeller’s intent, so it should be reported regardless.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Four cities is not many.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They span three biogeographic and three data-availability regimes, are analysed by one identical codebase, and disagree strongly with each other — which is itself the finding. Positioned as an audit, not a survey.</w:t>
            </w:r>
          </w:p>
        </w:tc>
      </w:tr>
    </w:tbl>
    <w:p>
      <w:pPr>
        <w:pStyle w:val="Heading2"/>
      </w:pPr>
      <w:bookmarkStart w:id="23" w:name="target-venues-in-order"/>
      <w:r>
        <w:t xml:space="preserve">4. Target venues, in order</w:t>
      </w:r>
      <w:bookmarkEnd w:id="23"/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Methods in Ecology and Evolution</w:t>
      </w:r>
      <w:r>
        <w:t xml:space="preserve"> </w:t>
      </w:r>
      <w:r>
        <w:t xml:space="preserve">— primary. Methodological diagnostic with a</w:t>
      </w:r>
      <w:r>
        <w:t xml:space="preserve"> </w:t>
      </w:r>
      <w:r>
        <w:t xml:space="preserve">general result, an empirical demonstration, and released code. Fits</w:t>
      </w:r>
      <w:r>
        <w:t xml:space="preserve"> </w:t>
      </w:r>
      <w:r>
        <w:t xml:space="preserve">“</w:t>
      </w:r>
      <w:r>
        <w:t xml:space="preserve">Practical</w:t>
      </w:r>
      <w:r>
        <w:t xml:space="preserve"> </w:t>
      </w:r>
      <w:r>
        <w:t xml:space="preserve">Tools</w:t>
      </w:r>
      <w:r>
        <w:t xml:space="preserve">”</w:t>
      </w:r>
      <w:r>
        <w:t xml:space="preserve"> </w:t>
      </w:r>
      <w:r>
        <w:t xml:space="preserve">or a standard Research Article.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Ecography</w:t>
      </w:r>
      <w:r>
        <w:t xml:space="preserve"> </w:t>
      </w:r>
      <w:r>
        <w:t xml:space="preserve">— if the framing leans toward sampling bias and macroecological</w:t>
      </w:r>
      <w:r>
        <w:t xml:space="preserve"> </w:t>
      </w:r>
      <w:r>
        <w:t xml:space="preserve">inference from opportunistic records.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Ecological Indicators</w:t>
      </w:r>
      <w:r>
        <w:t xml:space="preserve"> </w:t>
      </w:r>
      <w:r>
        <w:t xml:space="preserve">— if the framing leans toward index construction and</w:t>
      </w:r>
      <w:r>
        <w:t xml:space="preserve"> </w:t>
      </w:r>
      <w:r>
        <w:t xml:space="preserve">reporting standards.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Landscape and Urban Planning</w:t>
      </w:r>
      <w:r>
        <w:t xml:space="preserve"> </w:t>
      </w:r>
      <w:r>
        <w:t xml:space="preserve">/</w:t>
      </w:r>
      <w:r>
        <w:t xml:space="preserve"> </w:t>
      </w:r>
      <w:r>
        <w:rPr>
          <w:b/>
        </w:rPr>
        <w:t xml:space="preserve">Urban Forestry &amp; Urban Greening</w:t>
      </w:r>
      <w:r>
        <w:t xml:space="preserve"> </w:t>
      </w:r>
      <w:r>
        <w:t xml:space="preserve">— if the</w:t>
      </w:r>
      <w:r>
        <w:t xml:space="preserve"> </w:t>
      </w:r>
      <w:r>
        <w:t xml:space="preserve">framing leans toward the policy risk of decision-support dashboards.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Environmental Modelling &amp; Software</w:t>
      </w:r>
      <w:r>
        <w:t xml:space="preserve"> </w:t>
      </w:r>
      <w:r>
        <w:t xml:space="preserve">— if the framing leans toward the pipeline</w:t>
      </w:r>
      <w:r>
        <w:t xml:space="preserve"> </w:t>
      </w:r>
      <w:r>
        <w:t xml:space="preserve">as released software.</w:t>
      </w:r>
    </w:p>
    <w:p>
      <w:pPr>
        <w:pStyle w:val="FirstParagraph"/>
      </w:pPr>
      <w:r>
        <w:t xml:space="preserve">Recommendation: write for MEE. The policy angle survives as a Discussion subsection;</w:t>
      </w:r>
      <w:r>
        <w:t xml:space="preserve"> </w:t>
      </w:r>
      <w:r>
        <w:t xml:space="preserve">the reverse is not true, because a planning journal will not want the derivation.</w:t>
      </w:r>
    </w:p>
    <w:p>
      <w:pPr>
        <w:pStyle w:val="Heading2"/>
      </w:pPr>
      <w:bookmarkStart w:id="24" w:name="section-architecture"/>
      <w:r>
        <w:t xml:space="preserve">5. Section architecture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§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p>
            <w:pPr>
              <w:pStyle w:val="Compact"/>
              <w:jc w:val="left"/>
            </w:pPr>
            <w:r>
              <w:t xml:space="preserve">Establish that gap maps are widespread, decision-relevant, and unaudited. End on the thesis.</w:t>
            </w:r>
          </w:p>
        </w:tc>
        <w:tc>
          <w:p>
            <w:pPr>
              <w:pStyle w:val="Compact"/>
              <w:jc w:val="left"/>
            </w:pPr>
            <w:r>
              <w:t xml:space="preserve">Literature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Study cities</w:t>
            </w:r>
          </w:p>
        </w:tc>
        <w:tc>
          <w:p>
            <w:pPr>
              <w:pStyle w:val="Compact"/>
              <w:jc w:val="left"/>
            </w:pPr>
            <w:r>
              <w:t xml:space="preserve">Four AOIs, one codebase, contrasting data regimes.</w:t>
            </w:r>
          </w:p>
        </w:tc>
        <w:tc>
          <w:p>
            <w:pPr>
              <w:pStyle w:val="Compact"/>
              <w:jc w:val="left"/>
            </w:pPr>
            <w:r>
              <w:t xml:space="preserve">Table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Data sources</w:t>
            </w:r>
          </w:p>
        </w:tc>
        <w:tc>
          <w:p>
            <w:pPr>
              <w:pStyle w:val="Compact"/>
              <w:jc w:val="left"/>
            </w:pPr>
            <w:r>
              <w:t xml:space="preserve">iNaturalist, GBIF, OSM, Sentinel-2, Landsat, WorldCover, national CIR.</w:t>
            </w:r>
          </w:p>
        </w:tc>
        <w:tc>
          <w:p>
            <w:pPr>
              <w:pStyle w:val="Compact"/>
              <w:jc w:val="left"/>
            </w:pPr>
            <w:r>
              <w:t xml:space="preserve">Table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Grid &amp; quality gates</w:t>
            </w:r>
          </w:p>
        </w:tc>
        <w:tc>
          <w:p>
            <w:pPr>
              <w:pStyle w:val="Compact"/>
              <w:jc w:val="left"/>
            </w:pPr>
            <w:r>
              <w:t xml:space="preserve">20 m hex, accuracy/recency/obscuring gates.</w:t>
            </w:r>
          </w:p>
        </w:tc>
        <w:tc>
          <w:p>
            <w:pPr>
              <w:pStyle w:val="Compact"/>
              <w:jc w:val="left"/>
            </w:pPr>
            <w:r>
              <w:t xml:space="preserve">Repo 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Effort correction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log1p(path_local_m)</w:t>
            </w:r>
            <w:r>
              <w:t xml:space="preserve"> </w:t>
            </w:r>
            <w:r>
              <w:t xml:space="preserve">denominator, 50 m admission rule.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Expected richness</w:t>
            </w:r>
          </w:p>
        </w:tc>
        <w:tc>
          <w:p>
            <w:pPr>
              <w:pStyle w:val="Compact"/>
              <w:jc w:val="left"/>
            </w:pPr>
            <w:r>
              <w:t xml:space="preserve">Quasi-Poisson GLM with effort offset.</w:t>
            </w:r>
          </w:p>
        </w:tc>
        <w:tc>
          <w:p>
            <w:pPr>
              <w:pStyle w:val="Compact"/>
              <w:jc w:val="left"/>
            </w:pPr>
            <w:r>
              <w:t xml:space="preserve">Repo + refit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Residual, score, ranking</w:t>
            </w:r>
          </w:p>
        </w:tc>
        <w:tc>
          <w:p>
            <w:pPr>
              <w:pStyle w:val="Compact"/>
              <w:jc w:val="left"/>
            </w:pPr>
            <w:r>
              <w:t xml:space="preserve">The published products.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Diagnostics (new)</w:t>
            </w:r>
          </w:p>
        </w:tc>
        <w:tc>
          <w:p>
            <w:pPr>
              <w:pStyle w:val="Compact"/>
              <w:jc w:val="left"/>
            </w:pPr>
            <w:r>
              <w:t xml:space="preserve">λ, spatially blocked CV, artefact screen, rank ensemble.</w:t>
            </w:r>
          </w:p>
        </w:tc>
        <w:tc>
          <w:p>
            <w:pPr>
              <w:pStyle w:val="Compact"/>
              <w:jc w:val="left"/>
            </w:pPr>
            <w:r>
              <w:t xml:space="preserve">This paper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Coverage and sparsity</w:t>
            </w:r>
          </w:p>
        </w:tc>
        <w:tc>
          <w:p>
            <w:pPr>
              <w:pStyle w:val="Compact"/>
              <w:jc w:val="left"/>
            </w:pPr>
            <w:r>
              <w:t xml:space="preserve">14–35% of cells admitted; 65–96% of those hold zero species.</w:t>
            </w:r>
          </w:p>
        </w:tc>
        <w:tc>
          <w:p>
            <w:pPr>
              <w:pStyle w:val="Compact"/>
              <w:jc w:val="left"/>
            </w:pPr>
            <w:r>
              <w:t xml:space="preserve">Table 3, Fig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The correction discards the data</w:t>
            </w:r>
          </w:p>
        </w:tc>
        <w:tc>
          <w:p>
            <w:pPr>
              <w:pStyle w:val="Compact"/>
              <w:jc w:val="left"/>
            </w:pPr>
            <w:r>
              <w:t xml:space="preserve">46–77% of records fall in excluded cells.</w:t>
            </w:r>
          </w:p>
        </w:tc>
        <w:tc>
          <w:p>
            <w:pPr>
              <w:pStyle w:val="Compact"/>
              <w:jc w:val="left"/>
            </w:pPr>
            <w:r>
              <w:t xml:space="preserve">Fig 2c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Coordinate artefacts</w:t>
            </w:r>
          </w:p>
        </w:tc>
        <w:tc>
          <w:p>
            <w:pPr>
              <w:pStyle w:val="Compact"/>
              <w:jc w:val="left"/>
            </w:pPr>
            <w:r>
              <w:t xml:space="preserve">5 cells = 72% of Amsterdam’s records, on the 0.05° graticule.</w:t>
            </w:r>
          </w:p>
        </w:tc>
        <w:tc>
          <w:p>
            <w:pPr>
              <w:pStyle w:val="Compact"/>
              <w:jc w:val="left"/>
            </w:pPr>
            <w:r>
              <w:t xml:space="preserve">Fig 3, Table 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Model fit, in and out of sample</w:t>
            </w:r>
          </w:p>
        </w:tc>
        <w:tc>
          <w:p>
            <w:pPr>
              <w:pStyle w:val="Compact"/>
              <w:jc w:val="left"/>
            </w:pPr>
            <w:r>
              <w:t xml:space="preserve">D² 0.009–0.14 in-sample; 0.001–0.12 CV; folds go negative.</w:t>
            </w:r>
          </w:p>
        </w:tc>
        <w:tc>
          <w:p>
            <w:pPr>
              <w:pStyle w:val="Compact"/>
              <w:jc w:val="left"/>
            </w:pPr>
            <w:r>
              <w:t xml:space="preserve">Fig 4, Table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λ and the residual window</w:t>
            </w:r>
          </w:p>
        </w:tc>
        <w:tc>
          <w:p>
            <w:pPr>
              <w:pStyle w:val="Compact"/>
              <w:jc w:val="left"/>
            </w:pPr>
            <w:r>
              <w:t xml:space="preserve">λ = 0.0002–0.028; ρ(R,−Y) = 0.986–0.9999; analytic prediction matches to 4 d.p.</w:t>
            </w:r>
          </w:p>
        </w:tc>
        <w:tc>
          <w:p>
            <w:pPr>
              <w:pStyle w:val="Compact"/>
              <w:jc w:val="left"/>
            </w:pPr>
            <w:r>
              <w:t xml:space="preserve">Fig 1, Table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Effort entanglement</w:t>
            </w:r>
          </w:p>
        </w:tc>
        <w:tc>
          <w:p>
            <w:pPr>
              <w:pStyle w:val="Compact"/>
              <w:jc w:val="left"/>
            </w:pPr>
            <w:r>
              <w:t xml:space="preserve">ρ_s(expected, log path) up to 0.89.</w:t>
            </w:r>
          </w:p>
        </w:tc>
        <w:tc>
          <w:p>
            <w:pPr>
              <w:pStyle w:val="Compact"/>
              <w:jc w:val="left"/>
            </w:pPr>
            <w:r>
              <w:t xml:space="preserve">Table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p>
            <w:pPr>
              <w:pStyle w:val="Compact"/>
              <w:jc w:val="left"/>
            </w:pPr>
            <w:r>
              <w:t xml:space="preserve">What the ranking selects</w:t>
            </w:r>
          </w:p>
        </w:tc>
        <w:tc>
          <w:p>
            <w:pPr>
              <w:pStyle w:val="Compact"/>
              <w:jc w:val="left"/>
            </w:pPr>
            <w:r>
              <w:t xml:space="preserve">Top 1% of gap cells are 80–100% zero-record; top-20 stability 0–12/20.</w:t>
            </w:r>
          </w:p>
        </w:tc>
        <w:tc>
          <w:p>
            <w:pPr>
              <w:pStyle w:val="Compact"/>
              <w:jc w:val="left"/>
            </w:pPr>
            <w:r>
              <w:t xml:space="preserve">Fig 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p>
            <w:pPr>
              <w:pStyle w:val="Compact"/>
              <w:jc w:val="left"/>
            </w:pPr>
            <w:r>
              <w:t xml:space="preserve">Grain</w:t>
            </w:r>
          </w:p>
        </w:tc>
        <w:tc>
          <w:p>
            <w:pPr>
              <w:pStyle w:val="Compact"/>
              <w:jc w:val="left"/>
            </w:pPr>
            <w:r>
              <w:t xml:space="preserve">Aggregation improves fit in 2 of 4 cities; does not restore λ.</w:t>
            </w:r>
          </w:p>
        </w:tc>
        <w:tc>
          <w:p>
            <w:pPr>
              <w:pStyle w:val="Compact"/>
              <w:jc w:val="left"/>
            </w:pPr>
            <w:r>
              <w:t xml:space="preserve">Table 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The variance condition</w:t>
            </w:r>
          </w:p>
        </w:tc>
        <w:tc>
          <w:p>
            <w:pPr>
              <w:pStyle w:val="Compact"/>
              <w:jc w:val="left"/>
            </w:pPr>
            <w:r>
              <w:t xml:space="preserve">Derivation, the two failure modes, the window.</w:t>
            </w:r>
          </w:p>
        </w:tc>
        <w:tc>
          <w:p>
            <w:pPr>
              <w:pStyle w:val="Compact"/>
              <w:jc w:val="left"/>
            </w:pPr>
            <w:r>
              <w:t xml:space="preserve">Analytic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Why fine grain guarantees failure</w:t>
            </w:r>
          </w:p>
        </w:tc>
        <w:tc>
          <w:p>
            <w:pPr>
              <w:pStyle w:val="Compact"/>
              <w:jc w:val="left"/>
            </w:pPr>
            <w:r>
              <w:t xml:space="preserve">Zero-inflation → shrinkage → λ→0.</w:t>
            </w:r>
          </w:p>
        </w:tc>
        <w:tc>
          <w:p>
            <w:pPr>
              <w:pStyle w:val="Compact"/>
              <w:jc w:val="left"/>
            </w:pPr>
            <w:r>
              <w:t xml:space="preserve">Analytic +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Consequences for practice</w:t>
            </w:r>
          </w:p>
        </w:tc>
        <w:tc>
          <w:p>
            <w:pPr>
              <w:pStyle w:val="Compact"/>
              <w:jc w:val="left"/>
            </w:pPr>
            <w:r>
              <w:t xml:space="preserve">Dashboards, policy, restoration lists.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Recommendations R1–R7</w:t>
            </w:r>
          </w:p>
        </w:tc>
        <w:tc>
          <w:p>
            <w:pPr>
              <w:pStyle w:val="Compact"/>
              <w:jc w:val="left"/>
            </w:pPr>
            <w:r>
              <w:t xml:space="preserve">What to do instead.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A reporting standard</w:t>
            </w:r>
          </w:p>
        </w:tc>
        <w:tc>
          <w:p>
            <w:pPr>
              <w:pStyle w:val="Compact"/>
              <w:jc w:val="left"/>
            </w:pPr>
            <w:r>
              <w:t xml:space="preserve">The five numbers to publish with any gap map.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p>
            <w:pPr>
              <w:pStyle w:val="Compact"/>
              <w:jc w:val="left"/>
            </w:pPr>
            <w:r>
              <w:t xml:space="preserve">In-sample artefacts, single pipeline, no ground truth.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Data &amp; code availability</w:t>
            </w:r>
          </w:p>
        </w:tc>
        <w:tc>
          <w:p>
            <w:pPr>
              <w:pStyle w:val="Compact"/>
              <w:jc w:val="left"/>
            </w:pPr>
            <w:r>
              <w:t xml:space="preserve">Repo, exports, analysis scripts.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Heading2"/>
      </w:pPr>
      <w:bookmarkStart w:id="25" w:name="figure-and-table-plan"/>
      <w:r>
        <w:t xml:space="preserve">6. Figure and table plan</w:t>
      </w:r>
      <w:bookmarkEnd w:id="25"/>
    </w:p>
    <w:p>
      <w:pPr>
        <w:pStyle w:val="FirstParagraph"/>
      </w:pPr>
      <w:r>
        <w:rPr>
          <w:b/>
        </w:rPr>
        <w:t xml:space="preserve">Figures (all generated;</w:t>
      </w:r>
      <w:r>
        <w:rPr>
          <w:b/>
        </w:rPr>
        <w:t xml:space="preserve"> </w:t>
      </w:r>
      <w:r>
        <w:rPr>
          <w:rStyle w:val="VerbatimChar"/>
          <w:b/>
        </w:rPr>
        <w:t xml:space="preserve">paper/figures/</w:t>
      </w:r>
      <w:r>
        <w:rPr>
          <w:b/>
        </w:rPr>
        <w:t xml:space="preserve">)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Fig 1</w:t>
      </w:r>
      <w:r>
        <w:t xml:space="preserve"> </w:t>
      </w:r>
      <w:r>
        <w:rPr>
          <w:rStyle w:val="VerbatimChar"/>
        </w:rPr>
        <w:t xml:space="preserve">fig1_residual_window.png</w:t>
      </w:r>
      <w:r>
        <w:t xml:space="preserve"> </w:t>
      </w:r>
      <w:r>
        <w:t xml:space="preserve">— the residual window. Shared variance of the</w:t>
      </w:r>
      <w:r>
        <w:t xml:space="preserve"> </w:t>
      </w:r>
      <w:r>
        <w:t xml:space="preserve">residual with each side as a function of λ, with the four cities and the pipeline’s</w:t>
      </w:r>
      <w:r>
        <w:t xml:space="preserve"> </w:t>
      </w:r>
      <w:r>
        <w:t xml:space="preserve">own previous version plotted.</w:t>
      </w:r>
      <w:r>
        <w:t xml:space="preserve"> </w:t>
      </w:r>
      <w:r>
        <w:rPr>
          <w:i/>
        </w:rPr>
        <w:t xml:space="preserve">This is the paper’s signature figure.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Fig 2</w:t>
      </w:r>
      <w:r>
        <w:t xml:space="preserve"> </w:t>
      </w:r>
      <w:r>
        <w:rPr>
          <w:rStyle w:val="VerbatimChar"/>
        </w:rPr>
        <w:t xml:space="preserve">fig2_coverage.png</w:t>
      </w:r>
      <w:r>
        <w:t xml:space="preserve"> </w:t>
      </w:r>
      <w:r>
        <w:t xml:space="preserve">— coverage, sparsity, and records discarded.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Fig 3</w:t>
      </w:r>
      <w:r>
        <w:t xml:space="preserve"> </w:t>
      </w:r>
      <w:r>
        <w:rPr>
          <w:rStyle w:val="VerbatimChar"/>
        </w:rPr>
        <w:t xml:space="preserve">fig3_concentration.png</w:t>
      </w:r>
      <w:r>
        <w:t xml:space="preserve"> </w:t>
      </w:r>
      <w:r>
        <w:t xml:space="preserve">— Lorenz curves of record concentration + the</w:t>
      </w:r>
      <w:r>
        <w:t xml:space="preserve"> </w:t>
      </w:r>
      <w:r>
        <w:t xml:space="preserve">Amsterdam graticule.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Fig 4</w:t>
      </w:r>
      <w:r>
        <w:t xml:space="preserve"> </w:t>
      </w:r>
      <w:r>
        <w:rPr>
          <w:rStyle w:val="VerbatimChar"/>
        </w:rPr>
        <w:t xml:space="preserve">fig4_crossval.png</w:t>
      </w:r>
      <w:r>
        <w:t xml:space="preserve"> </w:t>
      </w:r>
      <w:r>
        <w:t xml:space="preserve">— in-sample vs spatially blocked CV explained deviance.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Fig 5</w:t>
      </w:r>
      <w:r>
        <w:t xml:space="preserve"> </w:t>
      </w:r>
      <w:r>
        <w:rPr>
          <w:rStyle w:val="VerbatimChar"/>
        </w:rPr>
        <w:t xml:space="preserve">fig5_ranking.png</w:t>
      </w:r>
      <w:r>
        <w:t xml:space="preserve"> </w:t>
      </w:r>
      <w:r>
        <w:t xml:space="preserve">— what the gap ranking selects, and its stability.</w:t>
      </w:r>
    </w:p>
    <w:p>
      <w:pPr>
        <w:pStyle w:val="FirstParagraph"/>
      </w:pPr>
      <w:r>
        <w:rPr>
          <w:b/>
        </w:rPr>
        <w:t xml:space="preserve">Still to make (optional, strengthens submission)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Fig 6</w:t>
      </w:r>
      <w:r>
        <w:t xml:space="preserve"> </w:t>
      </w:r>
      <w:r>
        <w:t xml:space="preserve">— side-by-side maps of one city: observed richness, expected richness,</w:t>
      </w:r>
      <w:r>
        <w:t xml:space="preserve"> </w:t>
      </w:r>
      <w:r>
        <w:t xml:space="preserve">residual. Visual proof that panel 3 is panel 1 inverted. Highest-impact addition.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Fig 7</w:t>
      </w:r>
      <w:r>
        <w:t xml:space="preserve"> </w:t>
      </w:r>
      <w:r>
        <w:t xml:space="preserve">— schematic of the pipeline (may be supplementary).</w:t>
      </w:r>
    </w:p>
    <w:p>
      <w:pPr>
        <w:pStyle w:val="FirstParagraph"/>
      </w:pPr>
      <w:r>
        <w:rPr>
          <w:b/>
        </w:rPr>
        <w:t xml:space="preserve">Tables</w:t>
      </w:r>
    </w:p>
    <w:p>
      <w:pPr>
        <w:pStyle w:val="Compact"/>
        <w:numPr>
          <w:numId w:val="1006"/>
          <w:ilvl w:val="0"/>
        </w:numPr>
      </w:pPr>
      <w:r>
        <w:t xml:space="preserve">Study areas and data regimes</w:t>
      </w:r>
    </w:p>
    <w:p>
      <w:pPr>
        <w:pStyle w:val="Compact"/>
        <w:numPr>
          <w:numId w:val="1006"/>
          <w:ilvl w:val="0"/>
        </w:numPr>
      </w:pPr>
      <w:r>
        <w:t xml:space="preserve">Data sources and licences</w:t>
      </w:r>
    </w:p>
    <w:p>
      <w:pPr>
        <w:pStyle w:val="Compact"/>
        <w:numPr>
          <w:numId w:val="1006"/>
          <w:ilvl w:val="0"/>
        </w:numPr>
      </w:pPr>
      <w:r>
        <w:t xml:space="preserve">Coverage and sparsity per city</w:t>
      </w:r>
    </w:p>
    <w:p>
      <w:pPr>
        <w:pStyle w:val="Compact"/>
        <w:numPr>
          <w:numId w:val="1006"/>
          <w:ilvl w:val="0"/>
        </w:numPr>
      </w:pPr>
      <w:r>
        <w:t xml:space="preserve">The ten most-recorded cells (artefact table)</w:t>
      </w:r>
    </w:p>
    <w:p>
      <w:pPr>
        <w:pStyle w:val="Compact"/>
        <w:numPr>
          <w:numId w:val="1006"/>
          <w:ilvl w:val="0"/>
        </w:numPr>
      </w:pPr>
      <w:r>
        <w:t xml:space="preserve">Model fit in and out of sample</w:t>
      </w:r>
    </w:p>
    <w:p>
      <w:pPr>
        <w:pStyle w:val="Compact"/>
        <w:numPr>
          <w:numId w:val="1006"/>
          <w:ilvl w:val="0"/>
        </w:numPr>
      </w:pPr>
      <w:r>
        <w:t xml:space="preserve">λ, ρ, and the residual decomposition</w:t>
      </w:r>
    </w:p>
    <w:p>
      <w:pPr>
        <w:pStyle w:val="Compact"/>
        <w:numPr>
          <w:numId w:val="1006"/>
          <w:ilvl w:val="0"/>
        </w:numPr>
      </w:pPr>
      <w:r>
        <w:t xml:space="preserve">Effort entanglement correlations</w:t>
      </w:r>
    </w:p>
    <w:p>
      <w:pPr>
        <w:pStyle w:val="Compact"/>
        <w:numPr>
          <w:numId w:val="1006"/>
          <w:ilvl w:val="0"/>
        </w:numPr>
      </w:pPr>
      <w:r>
        <w:t xml:space="preserve">Grain sweep (from the repo’s own sensitivity run)</w:t>
      </w:r>
    </w:p>
    <w:p>
      <w:pPr>
        <w:pStyle w:val="Compact"/>
        <w:numPr>
          <w:numId w:val="1006"/>
          <w:ilvl w:val="0"/>
        </w:numPr>
      </w:pPr>
      <w:r>
        <w:t xml:space="preserve">Full parameter table (appendix)</w:t>
      </w:r>
    </w:p>
    <w:p>
      <w:pPr>
        <w:pStyle w:val="Heading2"/>
      </w:pPr>
      <w:bookmarkStart w:id="26" w:name="claims-ladder-what-is-supported-by-what"/>
      <w:r>
        <w:t xml:space="preserve">7. Claims ladder — what is supported by what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Strength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p>
            <w:pPr>
              <w:pStyle w:val="Compact"/>
              <w:jc w:val="left"/>
            </w:pPr>
            <w:r>
              <w:t xml:space="preserve">corr(R,−Y) = (1−ρ√λ)/√(1+λ−2ρ√λ)</w:t>
            </w:r>
          </w:p>
        </w:tc>
        <w:tc>
          <w:p>
            <w:pPr>
              <w:pStyle w:val="Compact"/>
              <w:jc w:val="left"/>
            </w:pPr>
            <w:r>
              <w:t xml:space="preserve">Proved; verified numerically to 4 d.p. in 4 cities</w:t>
            </w:r>
          </w:p>
        </w:tc>
        <w:tc>
          <w:p>
            <w:pPr>
              <w:pStyle w:val="Compact"/>
              <w:jc w:val="left"/>
            </w:pPr>
            <w:r>
              <w:t xml:space="preserve">Derivation +</w:t>
            </w:r>
            <w:r>
              <w:t xml:space="preserve"> </w:t>
            </w:r>
            <w:r>
              <w:rPr>
                <w:rStyle w:val="VerbatimChar"/>
              </w:rPr>
              <w:t xml:space="preserve">theory.py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p>
            <w:pPr>
              <w:pStyle w:val="Compact"/>
              <w:jc w:val="left"/>
            </w:pPr>
            <w:r>
              <w:t xml:space="preserve">λ = 0.0002–0.028 in all four cities</w:t>
            </w:r>
          </w:p>
        </w:tc>
        <w:tc>
          <w:p>
            <w:pPr>
              <w:pStyle w:val="Compact"/>
              <w:jc w:val="left"/>
            </w:pPr>
            <w:r>
              <w:t xml:space="preserve">Measured directly on published exports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theory.py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p>
            <w:pPr>
              <w:pStyle w:val="Compact"/>
              <w:jc w:val="left"/>
            </w:pPr>
            <w:r>
              <w:t xml:space="preserve">The residual shares 97–99.98% of its variance with the observation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analyse2.py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p>
            <w:pPr>
              <w:pStyle w:val="Compact"/>
              <w:jc w:val="left"/>
            </w:pPr>
            <w:r>
              <w:t xml:space="preserve">CV D² = 0.0009–0.120; folds negative in 3 cities</w:t>
            </w:r>
          </w:p>
        </w:tc>
        <w:tc>
          <w:p>
            <w:pPr>
              <w:pStyle w:val="Compact"/>
              <w:jc w:val="left"/>
            </w:pPr>
            <w:r>
              <w:t xml:space="preserve">Measured; reconstruction validated against published coefficients to &lt;5×10⁻⁴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p>
            <w:pPr>
              <w:pStyle w:val="Compact"/>
              <w:jc w:val="left"/>
            </w:pPr>
            <w:r>
              <w:t xml:space="preserve">46–77% of records fall in cells excluded as unsampled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analyse2.py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p>
            <w:pPr>
              <w:pStyle w:val="Compact"/>
              <w:jc w:val="left"/>
            </w:pPr>
            <w:r>
              <w:t xml:space="preserve">5 cells hold 72.1% of Amsterdam’s records, on the 0.05° graticule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lattice.py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p>
            <w:pPr>
              <w:pStyle w:val="Compact"/>
              <w:jc w:val="left"/>
            </w:pPr>
            <w:r>
              <w:t xml:space="preserve">Coordinate rounding is the mechanism behind C6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Inferred</w:t>
            </w:r>
            <w:r>
              <w:t xml:space="preserve">, strongly consistent with exact graticule positions. State as inference.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p>
            <w:pPr>
              <w:pStyle w:val="Compact"/>
              <w:jc w:val="left"/>
            </w:pPr>
            <w:r>
              <w:t xml:space="preserve">Top 1% of gap cells are 80–100% zero-record cells</w:t>
            </w:r>
          </w:p>
        </w:tc>
        <w:tc>
          <w:p>
            <w:pPr>
              <w:pStyle w:val="Compact"/>
              <w:jc w:val="left"/>
            </w:pPr>
            <w:r>
              <w:t xml:space="preserve">Measured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analyse2.py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p>
            <w:pPr>
              <w:pStyle w:val="Compact"/>
              <w:jc w:val="left"/>
            </w:pPr>
            <w:r>
              <w:t xml:space="preserve">Top-20 intervention stability 0–12/20 across dispersal cost</w:t>
            </w:r>
          </w:p>
        </w:tc>
        <w:tc>
          <w:p>
            <w:pPr>
              <w:pStyle w:val="Compact"/>
              <w:jc w:val="left"/>
            </w:pPr>
            <w:r>
              <w:t xml:space="preserve">From repo’s</w:t>
            </w:r>
            <w:r>
              <w:t xml:space="preserve"> </w:t>
            </w:r>
            <w:r>
              <w:rPr>
                <w:rStyle w:val="VerbatimChar"/>
              </w:rPr>
              <w:t xml:space="preserve">rank_stability</w:t>
            </w:r>
            <w:r>
              <w:t xml:space="preserve"> </w:t>
            </w:r>
            <w:r>
              <w:t xml:space="preserve">ensemble</w:t>
            </w:r>
          </w:p>
        </w:tc>
        <w:tc>
          <w:p>
            <w:pPr>
              <w:pStyle w:val="Compact"/>
              <w:jc w:val="left"/>
            </w:pPr>
            <w:r>
              <w:t xml:space="preserve">Repo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p>
            <w:pPr>
              <w:pStyle w:val="Compact"/>
              <w:jc w:val="left"/>
            </w:pPr>
            <w:r>
              <w:t xml:space="preserve">Aggregation raises D² in Porto/Yokohama only</w:t>
            </w:r>
          </w:p>
        </w:tc>
        <w:tc>
          <w:p>
            <w:pPr>
              <w:pStyle w:val="Compact"/>
              <w:jc w:val="left"/>
            </w:pPr>
            <w:r>
              <w:t xml:space="preserve">From repo’s grain sweep</w:t>
            </w:r>
          </w:p>
        </w:tc>
        <w:tc>
          <w:p>
            <w:pPr>
              <w:pStyle w:val="Compact"/>
              <w:jc w:val="left"/>
            </w:pPr>
            <w:r>
              <w:t xml:space="preserve">Repo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p>
            <w:pPr>
              <w:pStyle w:val="Compact"/>
              <w:jc w:val="left"/>
            </w:pPr>
            <w:r>
              <w:t xml:space="preserve">The previous pipeline version had λ≫1</w:t>
            </w:r>
          </w:p>
        </w:tc>
        <w:tc>
          <w:p>
            <w:pPr>
              <w:pStyle w:val="Compact"/>
              <w:jc w:val="left"/>
            </w:pPr>
            <w:r>
              <w:t xml:space="preserve">From repo’s documented measurement (ρ = 0.9987–0.9996)</w:t>
            </w:r>
          </w:p>
        </w:tc>
        <w:tc>
          <w:p>
            <w:pPr>
              <w:pStyle w:val="Compact"/>
              <w:jc w:val="left"/>
            </w:pPr>
            <w:r>
              <w:t xml:space="preserve">Repo docs</w:t>
            </w:r>
          </w:p>
        </w:tc>
      </w:tr>
    </w:tbl>
    <w:p>
      <w:pPr>
        <w:pStyle w:val="BodyText"/>
      </w:pPr>
      <w:r>
        <w:rPr>
          <w:b/>
        </w:rPr>
        <w:t xml:space="preserve">Rule for the manuscript:</w:t>
      </w:r>
      <w:r>
        <w:t xml:space="preserve"> </w:t>
      </w:r>
      <w:r>
        <w:t xml:space="preserve">anything at C7’s level is written as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,</w:t>
      </w:r>
      <w:r>
        <w:t xml:space="preserve"> </w:t>
      </w:r>
      <w:r>
        <w:t xml:space="preserve">never as</w:t>
      </w:r>
      <w:r>
        <w:t xml:space="preserve"> </w:t>
      </w:r>
      <w:r>
        <w:t xml:space="preserve">“</w:t>
      </w:r>
      <w:r>
        <w:t xml:space="preserve">caused by</w:t>
      </w:r>
      <w:r>
        <w:t xml:space="preserve">”</w:t>
      </w:r>
      <w:r>
        <w:t xml:space="preserve">. Anything from the repository’s own runs is attributed to the</w:t>
      </w:r>
      <w:r>
        <w:t xml:space="preserve"> </w:t>
      </w:r>
      <w:r>
        <w:t xml:space="preserve">repository, not re-presented as this paper’s measurement.</w:t>
      </w:r>
    </w:p>
    <w:p>
      <w:pPr>
        <w:pStyle w:val="Heading2"/>
      </w:pPr>
      <w:bookmarkStart w:id="27" w:name="what-the-paper-deliberately-does-not-do"/>
      <w:r>
        <w:t xml:space="preserve">8. What the paper deliberately does not do</w:t>
      </w:r>
      <w:bookmarkEnd w:id="27"/>
    </w:p>
    <w:p>
      <w:pPr>
        <w:pStyle w:val="Compact"/>
        <w:numPr>
          <w:numId w:val="1007"/>
          <w:ilvl w:val="0"/>
        </w:numPr>
      </w:pPr>
      <w:r>
        <w:t xml:space="preserve">No new index, no replacement metric, no</w:t>
      </w:r>
      <w:r>
        <w:t xml:space="preserve"> </w:t>
      </w:r>
      <w:r>
        <w:t xml:space="preserve">“</w:t>
      </w:r>
      <w:r>
        <w:t xml:space="preserve">NatureGap 2.0</w:t>
      </w:r>
      <w:r>
        <w:t xml:space="preserve">”</w:t>
      </w:r>
      <w:r>
        <w:t xml:space="preserve">. The paper’s value is the</w:t>
      </w:r>
      <w:r>
        <w:t xml:space="preserve"> </w:t>
      </w:r>
      <w:r>
        <w:t xml:space="preserve">criterion, not a product.</w:t>
      </w:r>
    </w:p>
    <w:p>
      <w:pPr>
        <w:pStyle w:val="Compact"/>
        <w:numPr>
          <w:numId w:val="1007"/>
          <w:ilvl w:val="0"/>
        </w:numPr>
      </w:pPr>
      <w:r>
        <w:t xml:space="preserve">No claim about which city is ecologically better. λ makes such claims unsupportable</w:t>
      </w:r>
      <w:r>
        <w:t xml:space="preserve"> </w:t>
      </w:r>
      <w:r>
        <w:t xml:space="preserve">from this data, and saying so is the point.</w:t>
      </w:r>
    </w:p>
    <w:p>
      <w:pPr>
        <w:pStyle w:val="Compact"/>
        <w:numPr>
          <w:numId w:val="1007"/>
          <w:ilvl w:val="0"/>
        </w:numPr>
      </w:pPr>
      <w:r>
        <w:t xml:space="preserve">No implementation of</w:t>
      </w:r>
      <w:r>
        <w:t xml:space="preserve"> </w:t>
      </w:r>
      <w:r>
        <w:rPr>
          <w:rStyle w:val="VerbatimChar"/>
        </w:rPr>
        <w:t xml:space="preserve">fragmentation_index</w:t>
      </w:r>
      <w:r>
        <w:t xml:space="preserve"> </w:t>
      </w:r>
      <w:r>
        <w:t xml:space="preserve">or a calibrated species–area exponent —</w:t>
      </w:r>
      <w:r>
        <w:t xml:space="preserve"> </w:t>
      </w:r>
      <w:r>
        <w:t xml:space="preserve">both are out of scope and documented as deferred in the repository.</w:t>
      </w:r>
    </w:p>
    <w:p>
      <w:pPr>
        <w:pStyle w:val="Compact"/>
        <w:numPr>
          <w:numId w:val="1007"/>
          <w:ilvl w:val="0"/>
        </w:numPr>
      </w:pPr>
      <w:r>
        <w:t xml:space="preserve">No validation against independent field surveys — none exist for these AOIs. Named</w:t>
      </w:r>
      <w:r>
        <w:t xml:space="preserve"> </w:t>
      </w:r>
      <w:r>
        <w:t xml:space="preserve">as the single most valuable next step.</w:t>
      </w:r>
    </w:p>
    <w:p>
      <w:pPr>
        <w:pStyle w:val="Heading2"/>
      </w:pPr>
      <w:bookmarkStart w:id="28" w:name="reference-strategy"/>
      <w:r>
        <w:t xml:space="preserve">9. Reference strategy</w:t>
      </w:r>
      <w:bookmarkEnd w:id="28"/>
    </w:p>
    <w:p>
      <w:pPr>
        <w:pStyle w:val="FirstParagraph"/>
      </w:pPr>
      <w:r>
        <w:t xml:space="preserve">Nine clusters, roughly 45–60 references at submission: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Urban biodiversity and its drivers</w:t>
      </w:r>
      <w:r>
        <w:t xml:space="preserve"> </w:t>
      </w:r>
      <w:r>
        <w:t xml:space="preserve">— Aronson et al. 2014; Beninde et al. 2015;</w:t>
      </w:r>
      <w:r>
        <w:t xml:space="preserve"> </w:t>
      </w:r>
      <w:r>
        <w:t xml:space="preserve">Grimm et al. 2008; Lepczyk et al. 2017.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Citizen science: value and bias</w:t>
      </w:r>
      <w:r>
        <w:t xml:space="preserve"> </w:t>
      </w:r>
      <w:r>
        <w:t xml:space="preserve">— Dickinson et al. 2010; Isaac &amp; Pocock 2015;</w:t>
      </w:r>
      <w:r>
        <w:t xml:space="preserve"> </w:t>
      </w:r>
      <w:r>
        <w:t xml:space="preserve">Bird et al. 2014; Chandler et al. 2017.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Spatial and detection bias in opportunistic records</w:t>
      </w:r>
      <w:r>
        <w:t xml:space="preserve"> </w:t>
      </w:r>
      <w:r>
        <w:t xml:space="preserve">— Boakes et al. 2010;</w:t>
      </w:r>
      <w:r>
        <w:t xml:space="preserve"> </w:t>
      </w:r>
      <w:r>
        <w:t xml:space="preserve">Geldmann et al. 2016; Hughes et al. 2021; Zizka et al. 2020 (CoordinateCleaner —</w:t>
      </w:r>
      <w:r>
        <w:t xml:space="preserve"> </w:t>
      </w:r>
      <w:r>
        <w:t xml:space="preserve">directly relevant to §3.3).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Effort correction and occupancy alternatives</w:t>
      </w:r>
      <w:r>
        <w:t xml:space="preserve"> </w:t>
      </w:r>
      <w:r>
        <w:t xml:space="preserve">— Isaac et al. 2014; Kéry et</w:t>
      </w:r>
      <w:r>
        <w:t xml:space="preserve"> </w:t>
      </w:r>
      <w:r>
        <w:t xml:space="preserve">al. 2010; van Strien et al. 2013; Outhwaite et al. 2019.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Species distribution / richness modelling with presence-only data</w:t>
      </w:r>
      <w:r>
        <w:t xml:space="preserve"> </w:t>
      </w:r>
      <w:r>
        <w:t xml:space="preserve">— Phillips et</w:t>
      </w:r>
      <w:r>
        <w:t xml:space="preserve"> </w:t>
      </w:r>
      <w:r>
        <w:t xml:space="preserve">al. 2009; Warton et al. 2013; Fithian et al. 2015; Renner et al. 2015.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Model evaluation and spatial cross-validation</w:t>
      </w:r>
      <w:r>
        <w:t xml:space="preserve"> </w:t>
      </w:r>
      <w:r>
        <w:t xml:space="preserve">— Roberts et al. 2017;</w:t>
      </w:r>
      <w:r>
        <w:t xml:space="preserve"> </w:t>
      </w:r>
      <w:r>
        <w:t xml:space="preserve">Ploton et al. 2020; Wenger &amp; Olden 2012; Valavi et al. 2019 (blockCV).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Zero-inflation and overdispersion in counts</w:t>
      </w:r>
      <w:r>
        <w:t xml:space="preserve"> </w:t>
      </w:r>
      <w:r>
        <w:t xml:space="preserve">— Ver Hoef &amp; Boveng 2007;</w:t>
      </w:r>
      <w:r>
        <w:t xml:space="preserve"> </w:t>
      </w:r>
      <w:r>
        <w:t xml:space="preserve">Warton 2005; Zuur et al. 2009.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Residual / gap / debt mapping in ecology</w:t>
      </w:r>
      <w:r>
        <w:t xml:space="preserve"> </w:t>
      </w:r>
      <w:r>
        <w:t xml:space="preserve">— Kuussaari et al. 2009 (extinction</w:t>
      </w:r>
      <w:r>
        <w:t xml:space="preserve"> </w:t>
      </w:r>
      <w:r>
        <w:t xml:space="preserve">debt); Newbold et al. 2015; Watson et al. 2016; conservation-shortfall literature.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Landscape connectivity and least-cost modelling</w:t>
      </w:r>
      <w:r>
        <w:t xml:space="preserve"> </w:t>
      </w:r>
      <w:r>
        <w:t xml:space="preserve">— McRae et al. 2008;</w:t>
      </w:r>
      <w:r>
        <w:t xml:space="preserve"> </w:t>
      </w:r>
      <w:r>
        <w:t xml:space="preserve">Adriaensen et al. 2003; Zeller et al. 2012; Saura &amp; Pascual-Hortal 2007.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Indicator construction, uncertainty and decision support</w:t>
      </w:r>
      <w:r>
        <w:t xml:space="preserve"> </w:t>
      </w:r>
      <w:r>
        <w:t xml:space="preserve">— Saltelli et al. 2008</w:t>
      </w:r>
      <w:r>
        <w:t xml:space="preserve"> </w:t>
      </w:r>
      <w:r>
        <w:t xml:space="preserve">(sensitivity analysis); OECD/JRC composite-indicator handbook; Burgman 2005.</w:t>
      </w:r>
    </w:p>
    <w:p>
      <w:pPr>
        <w:pStyle w:val="FirstParagraph"/>
      </w:pPr>
      <w:r>
        <w:rPr>
          <w:b/>
        </w:rPr>
        <w:t xml:space="preserve">Verify before submission.</w:t>
      </w:r>
      <w:r>
        <w:t xml:space="preserve"> </w:t>
      </w:r>
      <w:r>
        <w:t xml:space="preserve">Aronson et al. 2014 was previously mis-cited in this</w:t>
      </w:r>
      <w:r>
        <w:t xml:space="preserve"> </w:t>
      </w:r>
      <w:r>
        <w:t xml:space="preserve">project as the source of the species–area exponent; it is not. Every citation in the</w:t>
      </w:r>
      <w:r>
        <w:t xml:space="preserve"> </w:t>
      </w:r>
      <w:r>
        <w:t xml:space="preserve">final manuscript needs checking against the actual paper, not against a remembered</w:t>
      </w:r>
      <w:r>
        <w:t xml:space="preserve"> </w:t>
      </w:r>
      <w:r>
        <w:t xml:space="preserve">claim. Do not let a plausible-looking citation stand unread.</w:t>
      </w:r>
    </w:p>
    <w:p>
      <w:pPr>
        <w:pStyle w:val="Heading2"/>
      </w:pPr>
      <w:bookmarkStart w:id="29" w:name="reproducibility-package"/>
      <w:r>
        <w:t xml:space="preserve">10. Reproducibility package</w:t>
      </w:r>
      <w:bookmarkEnd w:id="29"/>
    </w:p>
    <w:p>
      <w:pPr>
        <w:pStyle w:val="FirstParagraph"/>
      </w:pPr>
      <w:r>
        <w:t xml:space="preserve">Everything in</w:t>
      </w:r>
      <w:r>
        <w:t xml:space="preserve"> </w:t>
      </w:r>
      <w:r>
        <w:rPr>
          <w:rStyle w:val="VerbatimChar"/>
        </w:rPr>
        <w:t xml:space="preserve">paper/analysis/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Produces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stats.py</w:t>
            </w:r>
          </w:p>
        </w:tc>
        <w:tc>
          <w:p>
            <w:pPr>
              <w:pStyle w:val="Compact"/>
              <w:jc w:val="left"/>
            </w:pPr>
            <w:r>
              <w:t xml:space="preserve">Streams the four exports, caches per-cell arrays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centroids.py</w:t>
            </w:r>
          </w:p>
        </w:tc>
        <w:tc>
          <w:p>
            <w:pPr>
              <w:pStyle w:val="Compact"/>
              <w:jc w:val="left"/>
            </w:pPr>
            <w:r>
              <w:t xml:space="preserve">Cell centroids for spatial blocking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analyse.py</w:t>
            </w:r>
          </w:p>
        </w:tc>
        <w:tc>
          <w:p>
            <w:pPr>
              <w:pStyle w:val="Compact"/>
              <w:jc w:val="left"/>
            </w:pPr>
            <w:r>
              <w:t xml:space="preserve">Table 3, Table 7, band distributions →</w:t>
            </w:r>
            <w:r>
              <w:t xml:space="preserve"> </w:t>
            </w:r>
            <w:r>
              <w:rPr>
                <w:rStyle w:val="VerbatimChar"/>
              </w:rPr>
              <w:t xml:space="preserve">summary.json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analyse2.py</w:t>
            </w:r>
          </w:p>
        </w:tc>
        <w:tc>
          <w:p>
            <w:pPr>
              <w:pStyle w:val="Compact"/>
              <w:jc w:val="left"/>
            </w:pPr>
            <w:r>
              <w:t xml:space="preserve">Tables 4, 6; discard fractions; concentration →</w:t>
            </w:r>
            <w:r>
              <w:t xml:space="preserve"> </w:t>
            </w:r>
            <w:r>
              <w:rPr>
                <w:rStyle w:val="VerbatimChar"/>
              </w:rPr>
              <w:t xml:space="preserve">summary2.json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cv.py</w:t>
            </w:r>
          </w:p>
        </w:tc>
        <w:tc>
          <w:p>
            <w:pPr>
              <w:pStyle w:val="Compact"/>
              <w:jc w:val="left"/>
            </w:pPr>
            <w:r>
              <w:t xml:space="preserve">Table 5; refit validation; spatially blocked CV →</w:t>
            </w:r>
            <w:r>
              <w:t xml:space="preserve"> </w:t>
            </w:r>
            <w:r>
              <w:rPr>
                <w:rStyle w:val="VerbatimChar"/>
              </w:rPr>
              <w:t xml:space="preserve">cv.json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theory.py</w:t>
            </w:r>
          </w:p>
        </w:tc>
        <w:tc>
          <w:p>
            <w:pPr>
              <w:pStyle w:val="Compact"/>
              <w:jc w:val="left"/>
            </w:pPr>
            <w:r>
              <w:t xml:space="preserve">Table 6; analytic verification of C1 →</w:t>
            </w:r>
            <w:r>
              <w:t xml:space="preserve"> </w:t>
            </w:r>
            <w:r>
              <w:rPr>
                <w:rStyle w:val="VerbatimChar"/>
              </w:rPr>
              <w:t xml:space="preserve">theory.json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lattice.py</w:t>
            </w:r>
          </w:p>
        </w:tc>
        <w:tc>
          <w:p>
            <w:pPr>
              <w:pStyle w:val="Compact"/>
              <w:jc w:val="left"/>
            </w:pPr>
            <w:r>
              <w:t xml:space="preserve">§3.3 artefact screen →</w:t>
            </w:r>
            <w:r>
              <w:t xml:space="preserve"> </w:t>
            </w:r>
            <w:r>
              <w:rPr>
                <w:rStyle w:val="VerbatimChar"/>
              </w:rPr>
              <w:t xml:space="preserve">lattice.json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fig1.py</w:t>
            </w:r>
          </w:p>
        </w:tc>
        <w:tc>
          <w:p>
            <w:pPr>
              <w:pStyle w:val="Compact"/>
              <w:jc w:val="left"/>
            </w:pPr>
            <w:r>
              <w:t xml:space="preserve">Figures 1–5</w:t>
            </w:r>
          </w:p>
        </w:tc>
      </w:tr>
    </w:tbl>
    <w:p>
      <w:pPr>
        <w:pStyle w:val="BodyText"/>
      </w:pPr>
      <w:r>
        <w:t xml:space="preserve">The exports themselves are versioned (</w:t>
      </w:r>
      <w:r>
        <w:rPr>
          <w:rStyle w:val="VerbatimChar"/>
        </w:rPr>
        <w:t xml:space="preserve">datasetId</w:t>
      </w:r>
      <w:r>
        <w:t xml:space="preserve">), and every fitted parameter is</w:t>
      </w:r>
      <w:r>
        <w:t xml:space="preserve"> </w:t>
      </w:r>
      <w:r>
        <w:t xml:space="preserve">recorded in each city’s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. Archive the four export directories with a</w:t>
      </w:r>
      <w:r>
        <w:t xml:space="preserve"> </w:t>
      </w:r>
      <w:r>
        <w:t xml:space="preserve">DOI (Zenodo) at submission; they are the paper’s raw data.</w:t>
      </w:r>
    </w:p>
    <w:p>
      <w:pPr>
        <w:pStyle w:val="Heading2"/>
      </w:pPr>
      <w:bookmarkStart w:id="30" w:name="open-questions-for-the-author"/>
      <w:r>
        <w:t xml:space="preserve">11. Open questions for the author</w:t>
      </w:r>
      <w:bookmarkEnd w:id="30"/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Authorship and affiliation</w:t>
      </w:r>
      <w:r>
        <w:t xml:space="preserve"> </w:t>
      </w:r>
      <w:r>
        <w:t xml:space="preserve">— not filled in.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Which framing wins</w:t>
      </w:r>
      <w:r>
        <w:t xml:space="preserve">: methodological (MEE) or applied-urban (LUP)? The manuscript</w:t>
      </w:r>
      <w:r>
        <w:t xml:space="preserve"> </w:t>
      </w:r>
      <w:r>
        <w:t xml:space="preserve">as drafted is the methodological one.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Fig 6 (three-panel maps)</w:t>
      </w:r>
      <w:r>
        <w:t xml:space="preserve"> </w:t>
      </w:r>
      <w:r>
        <w:t xml:space="preserve">— worth making? It is the single most persuasive</w:t>
      </w:r>
      <w:r>
        <w:t xml:space="preserve"> </w:t>
      </w:r>
      <w:r>
        <w:t xml:space="preserve">figure available and needs a rendering pass over one city’s PMTiles.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Does Gent’s negative habitat coefficient have a local explanation?</w:t>
      </w:r>
      <w:r>
        <w:t xml:space="preserve"> </w:t>
      </w:r>
      <w:r>
        <w:t xml:space="preserve">Belgian</w:t>
      </w:r>
      <w:r>
        <w:t xml:space="preserve"> </w:t>
      </w:r>
      <w:r>
        <w:t xml:space="preserve">waarnemingen.be flows into GBIF at very high volume; if that stream is gridded</w:t>
      </w:r>
      <w:r>
        <w:t xml:space="preserve"> </w:t>
      </w:r>
      <w:r>
        <w:t xml:space="preserve">differently the sign may be an artefact of a single data provider. Worth one</w:t>
      </w:r>
      <w:r>
        <w:t xml:space="preserve"> </w:t>
      </w:r>
      <w:r>
        <w:t xml:space="preserve">provider-level breakdown before submission — it would either strengthen §3.3</w:t>
      </w:r>
      <w:r>
        <w:t xml:space="preserve"> </w:t>
      </w:r>
      <w:r>
        <w:t xml:space="preserve">considerably or remove a puzzle.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Ethics/consent statement</w:t>
      </w:r>
      <w:r>
        <w:t xml:space="preserve"> </w:t>
      </w:r>
      <w:r>
        <w:t xml:space="preserve">— citizen-science records are public and aggregated;</w:t>
      </w:r>
      <w:r>
        <w:t xml:space="preserve"> </w:t>
      </w:r>
      <w:r>
        <w:t xml:space="preserve">confirm the app’s own structured-survey data is either excluded or consented.</w:t>
      </w:r>
      <w:r>
        <w:t xml:space="preserve"> </w:t>
      </w:r>
      <w:r>
        <w:t xml:space="preserve">Current runs have</w:t>
      </w:r>
      <w:r>
        <w:t xml:space="preserve"> </w:t>
      </w:r>
      <w:r>
        <w:rPr>
          <w:rStyle w:val="VerbatimChar"/>
        </w:rPr>
        <w:t xml:space="preserve">SUPABASE_OBSERVATIONS_ENABLED</w:t>
      </w:r>
      <w:r>
        <w:t xml:space="preserve"> </w:t>
      </w:r>
      <w:r>
        <w:t xml:space="preserve">unset, so app data has never</w:t>
      </w:r>
      <w:r>
        <w:t xml:space="preserve"> </w:t>
      </w:r>
      <w:r>
        <w:t xml:space="preserve">entered a published score — state that explicitly and it resolves itself.</w:t>
      </w:r>
    </w:p>
    <w:p>
      <w:pPr>
        <w:pStyle w:val="Compact"/>
        <w:numPr>
          <w:numId w:val="1009"/>
          <w:ilvl w:val="0"/>
        </w:numPr>
      </w:pPr>
      <w:r>
        <w:rPr>
          <w:b/>
        </w:rPr>
        <w:t xml:space="preserve">Preprint</w:t>
      </w:r>
      <w:r>
        <w:t xml:space="preserve"> </w:t>
      </w:r>
      <w:r>
        <w:t xml:space="preserve">— EcoEvoRxiv is the norm for this community and is worth doing at</w:t>
      </w:r>
      <w:r>
        <w:t xml:space="preserve"> </w:t>
      </w:r>
      <w:r>
        <w:t xml:space="preserve">submission.</w:t>
      </w:r>
    </w:p>
    <w:p>
      <w:pPr>
        <w:pStyle w:val="Heading2"/>
      </w:pPr>
      <w:bookmarkStart w:id="31" w:name="suggested-next-milestone"/>
      <w:r>
        <w:t xml:space="preserve">12. Suggested next milestone</w:t>
      </w:r>
      <w:bookmarkEnd w:id="31"/>
    </w:p>
    <w:p>
      <w:pPr>
        <w:pStyle w:val="FirstParagraph"/>
      </w:pPr>
      <w:r>
        <w:t xml:space="preserve">Before touching prose again: decide 11.2 and 11.3, then run the provider breakdown in</w:t>
      </w:r>
      <w:r>
        <w:t xml:space="preserve"> </w:t>
      </w:r>
      <w:r>
        <w:t xml:space="preserve">11.4. Those three change the manuscript; nothing else in the current draft is blocked.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 framework — NatureGap</dc:title>
  <dc:creator/>
  <cp:keywords/>
  <dcterms:created xsi:type="dcterms:W3CDTF">2026-09-10T21:54:04Z</dcterms:created>
  <dcterms:modified xsi:type="dcterms:W3CDTF">2026-09-10T21:54:04Z</dcterms:modified>
</cp:coreProperties>
</file>