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2E414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versão atual, </w:t>
      </w:r>
      <w:r w:rsidRPr="00C10E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hipótese alternativa em forma matemática está correta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, a ressalva sobre independência foi retirada do resumo e a interpretação do Fligner-Killeen foi ajustada. Considerando a simplificação adotada no exercício, permanecem os seguintes pontos a corrigir ou complementar. Estudo_de_caso_02(4)</w:t>
      </w:r>
    </w:p>
    <w:p w14:paraId="21C4C010" w14:textId="77777777" w:rsidR="00C10EF3" w:rsidRPr="00C10EF3" w:rsidRDefault="00C10EF3" w:rsidP="00C10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0E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Correções necessárias no texto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913"/>
        <w:gridCol w:w="3325"/>
      </w:tblGrid>
      <w:tr w:rsidR="00C10EF3" w:rsidRPr="00C10EF3" w14:paraId="19605719" w14:textId="77777777" w:rsidTr="00C10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8F5C4" w14:textId="77777777" w:rsidR="00C10EF3" w:rsidRPr="00C10EF3" w:rsidRDefault="00C10EF3" w:rsidP="00C10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6C90C69" w14:textId="77777777" w:rsidR="00C10EF3" w:rsidRPr="00C10EF3" w:rsidRDefault="00C10EF3" w:rsidP="00C10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59EDF86D" w14:textId="77777777" w:rsidR="00C10EF3" w:rsidRPr="00C10EF3" w:rsidRDefault="00C10EF3" w:rsidP="00C10E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Correção</w:t>
            </w:r>
          </w:p>
        </w:tc>
      </w:tr>
      <w:tr w:rsidR="00C10EF3" w:rsidRPr="00C10EF3" w14:paraId="23FC8542" w14:textId="77777777" w:rsidTr="00C10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2A55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4, explicação de \(H_1\)</w:t>
            </w:r>
          </w:p>
        </w:tc>
        <w:tc>
          <w:tcPr>
            <w:tcW w:w="0" w:type="auto"/>
            <w:vAlign w:val="center"/>
            <w:hideMark/>
          </w:tcPr>
          <w:p w14:paraId="5B36C6F5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Ainda contém “diferença estatisticamente significativa”. A hipótese trata dos parâmetros populacionais; significância é resultado do teste.</w:t>
            </w:r>
          </w:p>
        </w:tc>
        <w:tc>
          <w:tcPr>
            <w:tcW w:w="0" w:type="auto"/>
            <w:vAlign w:val="center"/>
            <w:hideMark/>
          </w:tcPr>
          <w:p w14:paraId="5F7B9B2A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“A hipótese alternativa estabelece que ao menos duas médias populacionais de retorno mensal diferem entre si.”</w:t>
            </w:r>
          </w:p>
        </w:tc>
      </w:tr>
      <w:tr w:rsidR="00C10EF3" w:rsidRPr="00C10EF3" w14:paraId="69A5CD9B" w14:textId="77777777" w:rsidTr="00C10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F724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5, independência</w:t>
            </w:r>
          </w:p>
        </w:tc>
        <w:tc>
          <w:tcPr>
            <w:tcW w:w="0" w:type="auto"/>
            <w:vAlign w:val="center"/>
            <w:hideMark/>
          </w:tcPr>
          <w:p w14:paraId="3965E277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“Justifica-se teoricamente” apresenta a simplificação como uma propriedade demonstrada.</w:t>
            </w:r>
          </w:p>
        </w:tc>
        <w:tc>
          <w:tcPr>
            <w:tcW w:w="0" w:type="auto"/>
            <w:vAlign w:val="center"/>
            <w:hideMark/>
          </w:tcPr>
          <w:p w14:paraId="14ADC686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Informar que a independência é </w:t>
            </w:r>
            <w:r w:rsidRPr="00C10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assumida para fins do exercício</w:t>
            </w: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considerando as empresas distintas.</w:t>
            </w:r>
          </w:p>
        </w:tc>
      </w:tr>
      <w:tr w:rsidR="00C10EF3" w:rsidRPr="00C10EF3" w14:paraId="408F6FDA" w14:textId="77777777" w:rsidTr="00C10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A5BA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2, descrição da tabela</w:t>
            </w:r>
          </w:p>
        </w:tc>
        <w:tc>
          <w:tcPr>
            <w:tcW w:w="0" w:type="auto"/>
            <w:vAlign w:val="center"/>
            <w:hideMark/>
          </w:tcPr>
          <w:p w14:paraId="245B920F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texto anuncia formato longo, mas a Tabela 1 apresenta o formato largo original.</w:t>
            </w:r>
          </w:p>
        </w:tc>
        <w:tc>
          <w:tcPr>
            <w:tcW w:w="0" w:type="auto"/>
            <w:vAlign w:val="center"/>
            <w:hideMark/>
          </w:tcPr>
          <w:p w14:paraId="67FF19D8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Apresentar a tabela como estrutura original e explicar a transformação para formato longo depois dela.</w:t>
            </w:r>
          </w:p>
        </w:tc>
      </w:tr>
      <w:tr w:rsidR="00C10EF3" w:rsidRPr="00C10EF3" w14:paraId="26710A4E" w14:textId="77777777" w:rsidTr="00C10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C5C0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3, retorno mensal</w:t>
            </w:r>
          </w:p>
        </w:tc>
        <w:tc>
          <w:tcPr>
            <w:tcW w:w="0" w:type="auto"/>
            <w:vAlign w:val="center"/>
            <w:hideMark/>
          </w:tcPr>
          <w:p w14:paraId="20294280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fórmula produz uma proporção em escala decimal, embora o texto a denomine variação percentual.</w:t>
            </w:r>
          </w:p>
        </w:tc>
        <w:tc>
          <w:tcPr>
            <w:tcW w:w="0" w:type="auto"/>
            <w:vAlign w:val="center"/>
            <w:hideMark/>
          </w:tcPr>
          <w:p w14:paraId="69E8E39E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Informar que o resultado é multiplicado por 100 quando expresso em porcentagem.</w:t>
            </w:r>
          </w:p>
        </w:tc>
      </w:tr>
      <w:tr w:rsidR="00C10EF3" w:rsidRPr="00C10EF3" w14:paraId="4225DBE8" w14:textId="77777777" w:rsidTr="00C10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0702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3</w:t>
            </w:r>
          </w:p>
        </w:tc>
        <w:tc>
          <w:tcPr>
            <w:tcW w:w="0" w:type="auto"/>
            <w:vAlign w:val="center"/>
            <w:hideMark/>
          </w:tcPr>
          <w:p w14:paraId="2B0ACC2B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“Antes da aplicação do testes ANOVA”.</w:t>
            </w:r>
          </w:p>
        </w:tc>
        <w:tc>
          <w:tcPr>
            <w:tcW w:w="0" w:type="auto"/>
            <w:vAlign w:val="center"/>
            <w:hideMark/>
          </w:tcPr>
          <w:p w14:paraId="58474B70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“Antes da aplicação do teste ANOVA”.</w:t>
            </w:r>
          </w:p>
        </w:tc>
      </w:tr>
      <w:tr w:rsidR="00C10EF3" w:rsidRPr="00C10EF3" w14:paraId="0A3FA63E" w14:textId="77777777" w:rsidTr="00C10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336A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14</w:t>
            </w:r>
          </w:p>
        </w:tc>
        <w:tc>
          <w:tcPr>
            <w:tcW w:w="0" w:type="auto"/>
            <w:vAlign w:val="center"/>
            <w:hideMark/>
          </w:tcPr>
          <w:p w14:paraId="552B4512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“realisar”.</w:t>
            </w:r>
          </w:p>
        </w:tc>
        <w:tc>
          <w:tcPr>
            <w:tcW w:w="0" w:type="auto"/>
            <w:vAlign w:val="center"/>
            <w:hideMark/>
          </w:tcPr>
          <w:p w14:paraId="78059C07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“realizar”.</w:t>
            </w:r>
          </w:p>
        </w:tc>
      </w:tr>
      <w:tr w:rsidR="00C10EF3" w:rsidRPr="00C10EF3" w14:paraId="1BDF2F7E" w14:textId="77777777" w:rsidTr="00C10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4901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16</w:t>
            </w:r>
          </w:p>
        </w:tc>
        <w:tc>
          <w:tcPr>
            <w:tcW w:w="0" w:type="auto"/>
            <w:vAlign w:val="center"/>
            <w:hideMark/>
          </w:tcPr>
          <w:p w14:paraId="18D272D9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“A recomendação para melhoria do estudo está relacionada às limitações estatísticas da análise.”</w:t>
            </w:r>
          </w:p>
        </w:tc>
        <w:tc>
          <w:tcPr>
            <w:tcW w:w="0" w:type="auto"/>
            <w:vAlign w:val="center"/>
            <w:hideMark/>
          </w:tcPr>
          <w:p w14:paraId="5C8CAD3F" w14:textId="77777777" w:rsidR="00C10EF3" w:rsidRPr="00C10EF3" w:rsidRDefault="00C10EF3" w:rsidP="00C10E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0EF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“A recomendação de investimento deve ser interpretada considerando as limitações estatísticas da análise.”</w:t>
            </w:r>
          </w:p>
        </w:tc>
      </w:tr>
    </w:tbl>
    <w:p w14:paraId="5C2DB3F0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Nas seções de Tukey e análise descritiva, também substituiria “será aplicado”, “serão apresentados” e “será realizada” pelo passado, pois os resultados já foram obtidos.</w:t>
      </w:r>
    </w:p>
    <w:p w14:paraId="605CDCBF" w14:textId="77777777" w:rsidR="00C10EF3" w:rsidRPr="00C10EF3" w:rsidRDefault="00C10EF3" w:rsidP="00C10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0E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A validação dos dados continua exigindo correção</w:t>
      </w:r>
    </w:p>
    <w:p w14:paraId="658D6E11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O código das páginas 3–4 ainda não sustenta integralmente as verificações declaradas:</w:t>
      </w:r>
    </w:p>
    <w:p w14:paraId="7DC4647A" w14:textId="77777777" w:rsidR="00C10EF3" w:rsidRPr="00C10EF3" w:rsidRDefault="00C10EF3" w:rsidP="00C10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Duplicidades: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texto afirma que foram verificadas, mas a função apresentada apenas conta observações e ausentes.</w:t>
      </w:r>
    </w:p>
    <w:p w14:paraId="724FA882" w14:textId="77777777" w:rsidR="00C10EF3" w:rsidRPr="00C10EF3" w:rsidRDefault="00C10EF3" w:rsidP="00C10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Valores ausentes: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verificação ocorre depois de </w:t>
      </w:r>
      <w:r w:rsidRPr="00C10EF3">
        <w:rPr>
          <w:rFonts w:ascii="Courier New" w:eastAsia="Times New Roman" w:hAnsi="Courier New" w:cs="Courier New"/>
          <w:sz w:val="20"/>
          <w:szCs w:val="20"/>
          <w:lang w:eastAsia="pt-BR"/>
        </w:rPr>
        <w:t>filter(!is.na(Retorno_Mensal))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; portanto, não demonstra ausência de problemas na base original.</w:t>
      </w:r>
    </w:p>
    <w:p w14:paraId="75007DBB" w14:textId="77777777" w:rsidR="00C10EF3" w:rsidRPr="00C10EF3" w:rsidRDefault="00C10EF3" w:rsidP="00C10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Exclusões: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“nenhuma observação foi excluída” precisa distinguir problemas nos dados da ausência estrutural do primeiro retorno cronológico.</w:t>
      </w:r>
    </w:p>
    <w:p w14:paraId="2EE46E8A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Verifique os preços antes de calcular os retornos e valide valores numéricos, finitos e positivos. Se confirmar a integridade da base, a conclusão dessa etapa pode ser:</w:t>
      </w:r>
    </w:p>
    <w:p w14:paraId="0C716480" w14:textId="77777777" w:rsidR="00C10EF3" w:rsidRPr="00C10EF3" w:rsidRDefault="00C10EF3" w:rsidP="00C10E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foram realizadas exclusões adicionais à remoção dos retornos estruturalmente indisponíveis no primeiro mês cronológico de cada ação.</w:t>
      </w:r>
    </w:p>
    <w:p w14:paraId="75293719" w14:textId="77777777" w:rsidR="00C10EF3" w:rsidRPr="00C10EF3" w:rsidRDefault="00C10EF3" w:rsidP="00C10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0E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A discussão de potência ainda está incompleta</w:t>
      </w:r>
    </w:p>
    <w:p w14:paraId="4933A78D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A versão atual recomenda uma análise de potência futura, mas não apresenta uma discussão efetiva da capacidade amostral, solicitada pelo roteiro.</w:t>
      </w:r>
    </w:p>
    <w:p w14:paraId="5DAFB499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completar esse requisito, sugiro uma subseção sobre </w:t>
      </w:r>
      <w:r w:rsidRPr="00C10E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quais diferenças seriam detectáveis com 35 retornos por ação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, considerando uma diferença mínima economicamente relevante e uma potência desejada.</w:t>
      </w:r>
    </w:p>
    <w:p w14:paraId="38B02C65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É necessário distinguir:</w:t>
      </w:r>
    </w:p>
    <w:p w14:paraId="59A3FE39" w14:textId="77777777" w:rsidR="00C10EF3" w:rsidRPr="00C10EF3" w:rsidRDefault="00C10EF3" w:rsidP="00C10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potência para detectar alguma diferença no teste global da ANOVA;</w:t>
      </w:r>
    </w:p>
    <w:p w14:paraId="035CC141" w14:textId="77777777" w:rsidR="00C10EF3" w:rsidRPr="00C10EF3" w:rsidRDefault="00C10EF3" w:rsidP="00C10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capacidade de detectar uma diferença específica entre Ações 4 e 5, com controle das comparações múltiplas.</w:t>
      </w:r>
    </w:p>
    <w:p w14:paraId="186E8759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 pode concluir que faltou potência apenas porque \(p=0{,}06738\). O intervalo de confiança já permite discutir a precisão limitada dessa comparação, mesmo antes de um cálculo amostral.</w:t>
      </w:r>
    </w:p>
    <w:p w14:paraId="634B25AA" w14:textId="77777777" w:rsidR="00C10EF3" w:rsidRPr="00C10EF3" w:rsidRDefault="00C10EF3" w:rsidP="00C10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0E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A robustez à não normalidade continua apenas justificada</w:t>
      </w:r>
    </w:p>
    <w:p w14:paraId="54F0DDC6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discussão bibliográfica permite fundamentar a manutenção da ANOVA, mas </w:t>
      </w:r>
      <w:r w:rsidRPr="00C10E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análise de sensibilidade ainda não foi executada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. Para o nível de doutorado solicitado, esse seria um complemento relevante.</w:t>
      </w:r>
    </w:p>
    <w:p w14:paraId="3778C7CD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Ela deveria verificar se uma abordagem alternativa de inferência sobre médias mantém:</w:t>
      </w:r>
    </w:p>
    <w:p w14:paraId="2F95D944" w14:textId="77777777" w:rsidR="00C10EF3" w:rsidRPr="00C10EF3" w:rsidRDefault="00C10EF3" w:rsidP="00C10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o destaque das Ações 4 e 5 frente às demais;</w:t>
      </w:r>
    </w:p>
    <w:p w14:paraId="22BCDEB8" w14:textId="77777777" w:rsidR="00C10EF3" w:rsidRPr="00C10EF3" w:rsidRDefault="00C10EF3" w:rsidP="00C10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a conclusão inconclusiva entre Ações 4 e 5.</w:t>
      </w:r>
    </w:p>
    <w:p w14:paraId="42B90A97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frase da página 8 que menciona “a homogeneidade das variâncias” também pode ser harmonizada com a interpretação corrigida do Fligner-Killeen: use </w:t>
      </w:r>
      <w:r w:rsidRPr="00C10E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“a ausência de evidência de heterogeneidade das variâncias”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FD82336" w14:textId="77777777" w:rsidR="00C10EF3" w:rsidRPr="00C10EF3" w:rsidRDefault="00C10EF3" w:rsidP="00C10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0EF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Melhorias de apresentação e interpretação</w:t>
      </w:r>
    </w:p>
    <w:p w14:paraId="31CBBF16" w14:textId="77777777" w:rsidR="00C10EF3" w:rsidRPr="00C10EF3" w:rsidRDefault="00C10EF3" w:rsidP="00C10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Acrescentar uma tabela descritiva </w:t>
      </w:r>
      <w:r w:rsidRPr="00C10E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 cinco ações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, antes dos testes, com média, desvio-padrão, mediana, mínimo e máximo.</w:t>
      </w:r>
    </w:p>
    <w:p w14:paraId="706E7B1E" w14:textId="77777777" w:rsidR="00C10EF3" w:rsidRPr="00C10EF3" w:rsidRDefault="00C10EF3" w:rsidP="00C10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Expressar as diferenças e os intervalos do Tukey em </w:t>
      </w:r>
      <w:r w:rsidRPr="00C10E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pontos percentuais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, tanto na tabela quanto no gráfico.</w:t>
      </w:r>
    </w:p>
    <w:p w14:paraId="59761CB7" w14:textId="77777777" w:rsidR="00C10EF3" w:rsidRPr="00C10EF3" w:rsidRDefault="00C10EF3" w:rsidP="00C10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Padronizar vírgulas decimais, “Tabela” em vez de “Table” e substituir os </w:t>
      </w:r>
      <w:r w:rsidRPr="00C10EF3">
        <w:rPr>
          <w:rFonts w:ascii="Courier New" w:eastAsia="Times New Roman" w:hAnsi="Courier New" w:cs="Courier New"/>
          <w:sz w:val="20"/>
          <w:szCs w:val="20"/>
          <w:lang w:eastAsia="pt-BR"/>
        </w:rPr>
        <w:t>NA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tabela ANOVA por traços.</w:t>
      </w:r>
    </w:p>
    <w:p w14:paraId="23388B33" w14:textId="77777777" w:rsidR="00C10EF3" w:rsidRPr="00C10EF3" w:rsidRDefault="00C10EF3" w:rsidP="00C10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Numerar e legendar os gráficos; ampliar os painéis dos diagnósticos.</w:t>
      </w:r>
    </w:p>
    <w:p w14:paraId="4B40DA86" w14:textId="77777777" w:rsidR="00C10EF3" w:rsidRPr="00C10EF3" w:rsidRDefault="00C10EF3" w:rsidP="00C10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Na explicação do pós-teste, substituir “margem de significância ajustada” por uma descrição mais precisa: </w:t>
      </w:r>
      <w:r w:rsidRPr="00C10E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comparações com controle da taxa de erro tipo I familiar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20C2CF6" w14:textId="77777777" w:rsidR="00C10EF3" w:rsidRPr="00C10EF3" w:rsidRDefault="00C10EF3" w:rsidP="00C10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interpretação da comparação entre Ações 4 e 5 e a recomendação descritiva da Ação 4 podem ser mantidas. </w:t>
      </w:r>
      <w:r w:rsidRPr="00C10EF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prioridades restantes são corrigir a validação declarada, completar a discussão de potência e, para fortalecer o rigor doutoral, realizar a análise de sensibilidade.</w:t>
      </w:r>
      <w:r w:rsidRPr="00C10EF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o CSV e o Rmd atualizado, esta revisão não confirma os cálculos nem a compilação reproduzível.</w:t>
      </w:r>
    </w:p>
    <w:p w14:paraId="6A992F8C" w14:textId="77777777" w:rsidR="00464483" w:rsidRDefault="00464483"/>
    <w:sectPr w:rsidR="00464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175B4"/>
    <w:multiLevelType w:val="multilevel"/>
    <w:tmpl w:val="72A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6077B"/>
    <w:multiLevelType w:val="multilevel"/>
    <w:tmpl w:val="6AB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A6CF1"/>
    <w:multiLevelType w:val="multilevel"/>
    <w:tmpl w:val="5EB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7517C"/>
    <w:multiLevelType w:val="multilevel"/>
    <w:tmpl w:val="75BA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646527">
    <w:abstractNumId w:val="0"/>
  </w:num>
  <w:num w:numId="2" w16cid:durableId="1458328766">
    <w:abstractNumId w:val="1"/>
  </w:num>
  <w:num w:numId="3" w16cid:durableId="980647239">
    <w:abstractNumId w:val="3"/>
  </w:num>
  <w:num w:numId="4" w16cid:durableId="1430388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F3"/>
    <w:rsid w:val="0020122D"/>
    <w:rsid w:val="00464483"/>
    <w:rsid w:val="00C1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2A481"/>
  <w14:defaultImageDpi w14:val="32767"/>
  <w15:chartTrackingRefBased/>
  <w15:docId w15:val="{E4EFBF34-4864-403A-BE10-62EB71B8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10E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10EF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10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10EF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10E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9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701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788</Words>
  <Characters>4261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Siqueira Campagnaro</dc:creator>
  <cp:keywords/>
  <dc:description/>
  <cp:lastModifiedBy>Beatriz Siqueira Campagnaro</cp:lastModifiedBy>
  <cp:revision>1</cp:revision>
  <dcterms:created xsi:type="dcterms:W3CDTF">2026-10-05T00:10:00Z</dcterms:created>
  <dcterms:modified xsi:type="dcterms:W3CDTF">2026-10-05T00:10:00Z</dcterms:modified>
</cp:coreProperties>
</file>