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 w:eastAsia="Aptos"/>
          <w:b/>
          <w:i w:val="0"/>
          <w:color w:val="5E7B8A"/>
          <w:sz w:val="26"/>
        </w:rPr>
        <w:t>ALFRED FINANÇAS</w:t>
      </w:r>
    </w:p>
    <w:p>
      <w:pPr>
        <w:spacing w:after="200"/>
        <w:jc w:val="center"/>
      </w:pPr>
      <w:r>
        <w:rPr>
          <w:rFonts w:ascii="Aptos" w:hAnsi="Aptos" w:eastAsia="Aptos"/>
          <w:b/>
          <w:i w:val="0"/>
          <w:color w:val="123E4A"/>
          <w:sz w:val="50"/>
        </w:rPr>
        <w:t>Mapa de Documentação do Produto</w:t>
      </w:r>
    </w:p>
    <w:p>
      <w:pPr>
        <w:spacing w:after="360" w:line="300" w:lineRule="auto"/>
        <w:jc w:val="center"/>
      </w:pPr>
      <w:r>
        <w:rPr>
          <w:rFonts w:ascii="Aptos" w:hAnsi="Aptos" w:eastAsia="Aptos"/>
          <w:b w:val="0"/>
          <w:i w:val="0"/>
          <w:color w:val="3C4D56"/>
          <w:sz w:val="23"/>
        </w:rPr>
        <w:t>Base inicial para organizar documentos do Alfred por tema, manter decisões registradas e facilitar a evolução do produto com clareza e rastreabilidade.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84"/>
            <w:shd w:fill="EAF3F8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 w:line="25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3"/>
              </w:rPr>
              <w:t>Objetivo desta biblioteca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Criar um conjunto de documentos vivos para diferentes disciplinas do produto.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Cada arquivo deve responder uma pergunta prática: o que foi decidido, por quê e qual impacto isso gera.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A proposta aqui já separa os cinco eixos pedidos: Design, LGPD/Regulamentação, Engenharia de Dados, Ciência de Dados e Contabilidade.</w:t>
            </w:r>
          </w:p>
        </w:tc>
      </w:tr>
    </w:tbl>
    <w:p/>
    <w:p>
      <w:pPr>
        <w:spacing w:before="840" w:after="0"/>
        <w:jc w:val="center"/>
      </w:pPr>
      <w:r>
        <w:rPr>
          <w:rFonts w:ascii="Aptos" w:hAnsi="Aptos" w:eastAsia="Aptos"/>
          <w:b w:val="0"/>
          <w:i w:val="0"/>
          <w:color w:val="6A7A85"/>
          <w:sz w:val="21"/>
        </w:rPr>
        <w:t>Versão 1.0  |  07/05/2026</w:t>
      </w:r>
    </w:p>
    <w:p>
      <w:r>
        <w:br w:type="page"/>
      </w:r>
    </w:p>
    <w:p>
      <w:pPr>
        <w:spacing w:before="0" w:after="120"/>
      </w:pPr>
      <w:r>
        <w:rPr>
          <w:rFonts w:ascii="Aptos" w:hAnsi="Aptos" w:eastAsia="Aptos"/>
          <w:b/>
          <w:i w:val="0"/>
          <w:color w:val="123E4A"/>
          <w:sz w:val="34"/>
        </w:rPr>
        <w:t>1. Como usar esta documentação</w:t>
      </w:r>
    </w:p>
    <w:p>
      <w:pPr>
        <w:spacing w:after="100" w:line="283" w:lineRule="auto"/>
      </w:pPr>
      <w:r>
        <w:t>Este documento funciona como um mapa de referência. A ideia não é resolver tudo de uma vez, mas organizar a produção dos próximos arquivos do produto.</w:t>
      </w:r>
    </w:p>
    <w:p>
      <w:pPr>
        <w:spacing w:after="100" w:line="283" w:lineRule="auto"/>
      </w:pPr>
      <w:r>
        <w:t>Cada área deve ter um documento próprio, com escopo claro e uma linguagem simples o bastante para apoiar decisões reais de trabalho.</w:t>
      </w:r>
    </w:p>
    <w:p>
      <w:pPr>
        <w:spacing w:after="100" w:line="283" w:lineRule="auto"/>
      </w:pPr>
      <w:r>
        <w:t>Sempre que uma decisão afetar produto, dados, compliance ou contabilidade, vale registrar o raciocínio no documento correspondente.</w:t>
      </w:r>
    </w:p>
    <w:p>
      <w:pPr>
        <w:spacing w:before="160" w:after="120"/>
      </w:pPr>
      <w:r>
        <w:rPr>
          <w:rFonts w:ascii="Aptos" w:hAnsi="Aptos" w:eastAsia="Aptos"/>
          <w:b/>
          <w:i w:val="0"/>
          <w:color w:val="123E4A"/>
          <w:sz w:val="34"/>
        </w:rPr>
        <w:t>2. Estrutura padrão para novos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48"/>
            <w:shd w:fill="123E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Elemento</w:t>
            </w:r>
          </w:p>
        </w:tc>
        <w:tc>
          <w:tcPr>
            <w:tcW w:type="dxa" w:w="6236"/>
            <w:shd w:fill="123E4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1"/>
              </w:rPr>
              <w:t>O que deve conter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Contexto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Problema que motivou o documento, cenário atual e por que o tema importa para o Alfred.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Decisões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Escolhas tomadas, alternativas descartadas e justificativas objetivas.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Impactos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Efeitos em produto, dados, operação, experiência do usuário e riscos.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Regras e exceções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Casos especiais, limites, dependências e comportamentos fora do fluxo padrão.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Referências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Links, fontes, telas, regras do negócio, legislação, métricas ou trechos de código relacionados.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Próximos passos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8FBFC"/>
          </w:tcPr>
          <w:p>
            <w:pPr>
              <w:spacing w:after="0" w:line="26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Itens pendentes, responsáveis e pontos que ainda precisam de validação.</w:t>
            </w:r>
          </w:p>
        </w:tc>
      </w:tr>
    </w:tbl>
    <w:p>
      <w:pPr>
        <w:spacing w:before="240" w:after="120"/>
      </w:pPr>
      <w:r>
        <w:rPr>
          <w:rFonts w:ascii="Aptos" w:hAnsi="Aptos" w:eastAsia="Aptos"/>
          <w:b/>
          <w:i w:val="0"/>
          <w:color w:val="123E4A"/>
          <w:sz w:val="34"/>
        </w:rPr>
        <w:t>3. Catálogo inicial de 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587"/>
            <w:shd w:fill="1F6F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381"/>
            <w:shd w:fill="1F6F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0"/>
              </w:rPr>
              <w:t>Foco principal</w:t>
            </w:r>
          </w:p>
        </w:tc>
        <w:tc>
          <w:tcPr>
            <w:tcW w:type="dxa" w:w="2778"/>
            <w:shd w:fill="1F6F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0"/>
              </w:rPr>
              <w:t>Perguntas centrais</w:t>
            </w:r>
          </w:p>
        </w:tc>
        <w:tc>
          <w:tcPr>
            <w:tcW w:type="dxa" w:w="2438"/>
            <w:shd w:fill="1F6F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20"/>
              </w:rPr>
              <w:t>Entregáveis sugeridos</w:t>
            </w:r>
          </w:p>
        </w:tc>
      </w:tr>
      <w:tr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Design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Interface, linguagem visual, hierarquia, legibilidade, fluxos e acessibilidade.</w:t>
            </w:r>
          </w:p>
        </w:tc>
        <w:tc>
          <w:tcPr>
            <w:tcW w:type="dxa" w:w="277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Como o Alfred deve parecer e se comportar? Quais telas precisam de padronização?</w:t>
            </w:r>
          </w:p>
        </w:tc>
        <w:tc>
          <w:tcPr>
            <w:tcW w:type="dxa" w:w="243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Guia visual, sistema de componentes, princípios de UX, checklist de acessibilidade.</w:t>
            </w:r>
          </w:p>
        </w:tc>
      </w:tr>
      <w:tr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8FA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LGPD / Regulamentação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8FA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Tratamento de dados pessoais, base legal, retenção, consentimento e governança.</w:t>
            </w:r>
          </w:p>
        </w:tc>
        <w:tc>
          <w:tcPr>
            <w:tcW w:type="dxa" w:w="277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8FA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Quais dados são coletados? Onde são armazenados? Por quanto tempo? Quem acessa?</w:t>
            </w:r>
          </w:p>
        </w:tc>
        <w:tc>
          <w:tcPr>
            <w:tcW w:type="dxa" w:w="243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8FA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Mapa de dados, política de retenção, checklist de conformidade, análise de risco.</w:t>
            </w:r>
          </w:p>
        </w:tc>
      </w:tr>
      <w:tr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Engenharia de Dados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Ingestão, modelagem, qualidade, integração com fontes e rastreabilidade.</w:t>
            </w:r>
          </w:p>
        </w:tc>
        <w:tc>
          <w:tcPr>
            <w:tcW w:type="dxa" w:w="277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Como os dados entram no sistema? Como validamos, versionamos e recuperamos falhas?</w:t>
            </w:r>
          </w:p>
        </w:tc>
        <w:tc>
          <w:tcPr>
            <w:tcW w:type="dxa" w:w="243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Arquitetura de dados, dicionário técnico, linhagem, runbook operacional.</w:t>
            </w:r>
          </w:p>
        </w:tc>
      </w:tr>
      <w:tr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8FA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Ciência de Dados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8FA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Métricas, análises, previsões, segmentações e insights acionáveis.</w:t>
            </w:r>
          </w:p>
        </w:tc>
        <w:tc>
          <w:tcPr>
            <w:tcW w:type="dxa" w:w="277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8FA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Quais perguntas o produto deve responder com dados? Como medir valor e comportamento?</w:t>
            </w:r>
          </w:p>
        </w:tc>
        <w:tc>
          <w:tcPr>
            <w:tcW w:type="dxa" w:w="243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8FA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Catálogo de métricas, relatórios analíticos, notebooks, hipóteses e experimentos.</w:t>
            </w:r>
          </w:p>
        </w:tc>
      </w:tr>
      <w:tr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0"/>
              </w:rPr>
              <w:t>Contabilidade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Classificação financeira, conciliações, fluxo de caixa e visão patrimonial.</w:t>
            </w:r>
          </w:p>
        </w:tc>
        <w:tc>
          <w:tcPr>
            <w:tcW w:type="dxa" w:w="277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Como os movimentos devem ser categorizados? Como garantir consistência contábil?</w:t>
            </w:r>
          </w:p>
        </w:tc>
        <w:tc>
          <w:tcPr>
            <w:tcW w:type="dxa" w:w="243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AFCFD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19"/>
              </w:rPr>
              <w:t>Plano de contas, regras de classificação, reconciliação, glossário financeiro.</w:t>
            </w:r>
          </w:p>
        </w:tc>
      </w:tr>
    </w:tbl>
    <w:p>
      <w:pPr>
        <w:spacing w:before="240" w:after="120"/>
      </w:pPr>
      <w:r>
        <w:rPr>
          <w:rFonts w:ascii="Aptos" w:hAnsi="Aptos" w:eastAsia="Aptos"/>
          <w:b/>
          <w:i w:val="0"/>
          <w:color w:val="123E4A"/>
          <w:sz w:val="34"/>
        </w:rPr>
        <w:t>4. Ordem sugerida para produzir os próximos arquivos</w:t>
      </w:r>
    </w:p>
    <w:p>
      <w:pPr>
        <w:spacing w:after="80" w:line="269" w:lineRule="auto"/>
      </w:pPr>
      <w:r>
        <w:rPr>
          <w:rFonts w:ascii="Aptos" w:hAnsi="Aptos" w:eastAsia="Aptos"/>
          <w:b/>
          <w:i w:val="0"/>
          <w:color w:val="123E4A"/>
          <w:sz w:val="22"/>
        </w:rPr>
        <w:t xml:space="preserve">1. Design </w:t>
      </w:r>
      <w:r>
        <w:rPr>
          <w:rFonts w:ascii="Aptos" w:hAnsi="Aptos" w:eastAsia="Aptos"/>
          <w:b w:val="0"/>
          <w:i w:val="0"/>
          <w:color w:val="203040"/>
          <w:sz w:val="22"/>
        </w:rPr>
        <w:t>define linguagem, hierarquia visual e experiência base do produto.</w:t>
      </w:r>
    </w:p>
    <w:p>
      <w:pPr>
        <w:spacing w:after="80" w:line="269" w:lineRule="auto"/>
      </w:pPr>
      <w:r>
        <w:rPr>
          <w:rFonts w:ascii="Aptos" w:hAnsi="Aptos" w:eastAsia="Aptos"/>
          <w:b/>
          <w:i w:val="0"/>
          <w:color w:val="123E4A"/>
          <w:sz w:val="22"/>
        </w:rPr>
        <w:t xml:space="preserve">2. LGPD / Regulamentação </w:t>
      </w:r>
      <w:r>
        <w:rPr>
          <w:rFonts w:ascii="Aptos" w:hAnsi="Aptos" w:eastAsia="Aptos"/>
          <w:b w:val="0"/>
          <w:i w:val="0"/>
          <w:color w:val="203040"/>
          <w:sz w:val="22"/>
        </w:rPr>
        <w:t>fixa limites e cuidados para o uso de dados.</w:t>
      </w:r>
    </w:p>
    <w:p>
      <w:pPr>
        <w:spacing w:after="80" w:line="269" w:lineRule="auto"/>
      </w:pPr>
      <w:r>
        <w:rPr>
          <w:rFonts w:ascii="Aptos" w:hAnsi="Aptos" w:eastAsia="Aptos"/>
          <w:b/>
          <w:i w:val="0"/>
          <w:color w:val="123E4A"/>
          <w:sz w:val="22"/>
        </w:rPr>
        <w:t xml:space="preserve">3. Engenharia de Dados </w:t>
      </w:r>
      <w:r>
        <w:rPr>
          <w:rFonts w:ascii="Aptos" w:hAnsi="Aptos" w:eastAsia="Aptos"/>
          <w:b w:val="0"/>
          <w:i w:val="0"/>
          <w:color w:val="203040"/>
          <w:sz w:val="22"/>
        </w:rPr>
        <w:t>registra a arquitetura e a qualidade da base.</w:t>
      </w:r>
    </w:p>
    <w:p>
      <w:pPr>
        <w:spacing w:after="80" w:line="269" w:lineRule="auto"/>
      </w:pPr>
      <w:r>
        <w:rPr>
          <w:rFonts w:ascii="Aptos" w:hAnsi="Aptos" w:eastAsia="Aptos"/>
          <w:b/>
          <w:i w:val="0"/>
          <w:color w:val="123E4A"/>
          <w:sz w:val="22"/>
        </w:rPr>
        <w:t xml:space="preserve">4. Ciência de Dados </w:t>
      </w:r>
      <w:r>
        <w:rPr>
          <w:rFonts w:ascii="Aptos" w:hAnsi="Aptos" w:eastAsia="Aptos"/>
          <w:b w:val="0"/>
          <w:i w:val="0"/>
          <w:color w:val="203040"/>
          <w:sz w:val="22"/>
        </w:rPr>
        <w:t>consolida métricas, análises e hipóteses de evolução.</w:t>
      </w:r>
    </w:p>
    <w:p>
      <w:pPr>
        <w:spacing w:after="80" w:line="269" w:lineRule="auto"/>
      </w:pPr>
      <w:r>
        <w:rPr>
          <w:rFonts w:ascii="Aptos" w:hAnsi="Aptos" w:eastAsia="Aptos"/>
          <w:b/>
          <w:i w:val="0"/>
          <w:color w:val="123E4A"/>
          <w:sz w:val="22"/>
        </w:rPr>
        <w:t xml:space="preserve">5. Contabilidade </w:t>
      </w:r>
      <w:r>
        <w:rPr>
          <w:rFonts w:ascii="Aptos" w:hAnsi="Aptos" w:eastAsia="Aptos"/>
          <w:b w:val="0"/>
          <w:i w:val="0"/>
          <w:color w:val="203040"/>
          <w:sz w:val="22"/>
        </w:rPr>
        <w:t>fecha a visão financeira com regras de classificação e conciliação.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184"/>
            <w:shd w:fill="EEF6F3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 w:line="259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23E4A"/>
                <w:sz w:val="23"/>
              </w:rPr>
              <w:t>Próximo passo recomendado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Criar um documento por tema a partir deste mapa, começando por Design e LGPD/Regulamentação.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Depois, usar Engenharia de Dados e Ciência de Dados para consolidar a base técnica e analítica.</w:t>
            </w:r>
          </w:p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203040"/>
                <w:sz w:val="20"/>
              </w:rPr>
              <w:t>Por fim, formalizar Contabilidade para fechar as regras financeiras e evitar interpretações divergentes.</w:t>
            </w:r>
          </w:p>
        </w:tc>
      </w:tr>
    </w:tbl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