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360"/>
        <w:jc w:val="center"/>
      </w:pPr>
      <w:r>
        <w:rPr>
          <w:b/>
          <w:bCs/>
        </w:rPr>
        <w:t xml:space="preserve">FILIPPI FERRAZ</w:t>
      </w:r>
    </w:p>
    <w:p>
      <w:pPr>
        <w:spacing w:line="360"/>
        <w:jc w:val="center"/>
      </w:pPr>
      <w:r>
        <w:rPr>
          <w:b/>
          <w:bCs/>
        </w:rPr>
        <w:t xml:space="preserve">GABRIEL CARVALHO</w:t>
      </w:r>
    </w:p>
    <w:p>
      <w:pPr>
        <w:spacing w:line="360"/>
        <w:jc w:val="center"/>
      </w:pPr>
      <w:r>
        <w:rPr>
          <w:b/>
          <w:bCs/>
        </w:rPr>
        <w:t xml:space="preserve">JEAN BRESSAN</w:t>
      </w:r>
    </w:p>
    <w:p/>
    <w:p/>
    <w:p/>
    <w:p/>
    <w:p/>
    <w:p/>
    <w:p/>
    <w:p/>
    <w:p/>
    <w:p>
      <w:pPr>
        <w:spacing w:line="360"/>
        <w:jc w:val="center"/>
      </w:pPr>
      <w:r>
        <w:rPr>
          <w:b/>
          <w:bCs/>
        </w:rPr>
        <w:t xml:space="preserve">APLICAÇÃO DA LEI GERAL DE PROTEÇÃO DE DADOS PESSOAIS (LGPD) NO SISTEMA CODE JOURNEY</w:t>
      </w:r>
    </w:p>
    <w:p/>
    <w:p>
      <w:pPr>
        <w:spacing w:line="360"/>
        <w:jc w:val="center"/>
      </w:pPr>
      <w:r>
        <w:t xml:space="preserve">Relatório técnico apresentado como anexo do Trabalho de Conclusão de Curso, identificando os pontos do sistema em que a Lei nº 13.709/2018 é aplicada.</w:t>
      </w:r>
    </w:p>
    <w:p/>
    <w:p/>
    <w:p/>
    <w:p/>
    <w:p/>
    <w:p/>
    <w:p/>
    <w:p/>
    <w:p/>
    <w:p/>
    <w:p/>
    <w:p/>
    <w:p>
      <w:pPr>
        <w:jc w:val="center"/>
      </w:pPr>
      <w:r>
        <w:t xml:space="preserve">2026</w:t>
      </w:r>
    </w:p>
    <w:p>
      <w:pPr>
        <w:sectPr>
          <w:pgSz w:w="11906" w:h="16838" w:orient="portrait"/>
          <w:pgMar w:top="1701" w:right="1134" w:bottom="1134" w:left="1701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 INTRODUÇÃO</w:t>
      </w:r>
    </w:p>
    <w:p>
      <w:pPr>
        <w:spacing w:after="0" w:line="360"/>
        <w:ind w:firstLine="709"/>
        <w:jc w:val="both"/>
      </w:pPr>
      <w:r>
        <w:t xml:space="preserve">Este relatório identifica os pontos do sistema Code Journey, aplicação web gamificada para o ensino de JavaScript, em que princípios, obrigações e direitos previstos na Lei nº 13.709, de 14 de agosto de 2018 — Lei Geral de Proteção de Dados Pessoais (LGPD) — encontram-se aplicados.</w:t>
      </w:r>
    </w:p>
    <w:p>
      <w:pPr>
        <w:spacing w:after="0" w:line="360"/>
        <w:ind w:firstLine="709"/>
        <w:jc w:val="both"/>
      </w:pPr>
      <w:r>
        <w:t xml:space="preserve">O escopo compreende o código-fonte do backend (Node.js, Express e Prisma), do frontend (React) e o esquema do banco de dados PostgreSQL, na versão de desenvolvimento de outubro de 2026. Por se tratar de uma aplicação acadêmica, não utilizada em produção com usuários externos, o documento registra também as limitações identificadas, apresentadas como trabalhos futuros.</w:t>
      </w:r>
    </w:p>
    <w:p>
      <w:pPr>
        <w:pStyle w:val="Heading1"/>
      </w:pPr>
      <w:r>
        <w:t xml:space="preserve">2 METODOLOGIA</w:t>
      </w:r>
    </w:p>
    <w:p>
      <w:pPr>
        <w:spacing w:after="0" w:line="360"/>
        <w:ind w:firstLine="709"/>
        <w:jc w:val="both"/>
      </w:pPr>
      <w:r>
        <w:t xml:space="preserve">A análise foi conduzida em três etapas: (i) leitura estática do código-fonte e do histórico de versionamento; (ii) revisão do esquema de dados (schema.prisma), para identificar os dados pessoais armazenados; e (iii) testes das regras implementadas, por meio de requisições HTTP a um servidor local e de testes automatizados das regras de validação de campos.</w:t>
      </w:r>
    </w:p>
    <w:p>
      <w:pPr>
        <w:spacing w:after="0" w:line="360"/>
        <w:ind w:firstLine="709"/>
        <w:jc w:val="both"/>
      </w:pPr>
      <w:r>
        <w:t xml:space="preserve">Cada ponto apresentado como aplicado é acompanhado de evidência no formato arquivo:linha. Pontos cuja aplicação não pôde ser comprovada no código foram classificados na seção 5, de limitações.</w:t>
      </w:r>
    </w:p>
    <w:p>
      <w:pPr>
        <w:pStyle w:val="Heading1"/>
      </w:pPr>
      <w:r>
        <w:t xml:space="preserve">3 DADOS PESSOAIS TRATADOS</w:t>
      </w:r>
    </w:p>
    <w:p>
      <w:pPr>
        <w:spacing w:after="0" w:line="360"/>
        <w:ind w:firstLine="709"/>
        <w:jc w:val="both"/>
      </w:pPr>
      <w:r>
        <w:t xml:space="preserve">O Quadro 1 apresenta o inventário dos dados pessoais tratados pelo sistema, com a finalidade, a base legal (art. 7º da LGPD), o local de armazenamento e o prazo de retenção de cada um. Nenhum dado pessoal sensível, na acepção do art. 5º, II, é coletado.</w:t>
      </w:r>
    </w:p>
    <w:p>
      <w:pPr>
        <w:keepNext/>
        <w:spacing w:after="120" w:before="240" w:line="240"/>
        <w:jc w:val="center"/>
      </w:pPr>
      <w:r>
        <w:rPr>
          <w:sz w:val="20"/>
          <w:szCs w:val="20"/>
        </w:rPr>
        <w:t xml:space="preserve">Quadro 1 – Inventário de dados pessoais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97"/>
        <w:gridCol w:w="2451"/>
        <w:gridCol w:w="1552"/>
        <w:gridCol w:w="1634"/>
        <w:gridCol w:w="1637"/>
      </w:tblGrid>
      <w:tr>
        <w:trPr>
          <w:cantSplit/>
          <w:tblHeader/>
        </w:trPr>
        <w:tc>
          <w:tcPr>
            <w:tcW w:type="dxa" w:w="17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Dado</w:t>
            </w:r>
          </w:p>
        </w:tc>
        <w:tc>
          <w:tcPr>
            <w:tcW w:type="dxa" w:w="24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Finalidade</w:t>
            </w:r>
          </w:p>
        </w:tc>
        <w:tc>
          <w:tcPr>
            <w:tcW w:type="dxa" w:w="15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Base legal</w:t>
            </w:r>
          </w:p>
        </w:tc>
        <w:tc>
          <w:tcPr>
            <w:tcW w:type="dxa" w:w="16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Armazenamento</w:t>
            </w:r>
          </w:p>
        </w:tc>
        <w:tc>
          <w:tcPr>
            <w:tcW w:type="dxa" w:w="1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Retenção</w:t>
            </w:r>
          </w:p>
        </w:tc>
      </w:tr>
      <w:tr>
        <w:trPr>
          <w:cantSplit/>
        </w:trPr>
        <w:tc>
          <w:tcPr>
            <w:tcW w:type="dxa" w:w="17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 w:line="240"/>
              <w:jc w:val="left"/>
            </w:pPr>
            <w:r>
              <w:rPr>
                <w:sz w:val="20"/>
                <w:szCs w:val="20"/>
              </w:rPr>
              <w:t xml:space="preserve">Nome</w:t>
            </w:r>
          </w:p>
        </w:tc>
        <w:tc>
          <w:tcPr>
            <w:tcW w:type="dxa" w:w="24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 w:line="240"/>
              <w:jc w:val="left"/>
            </w:pPr>
            <w:r>
              <w:rPr>
                <w:sz w:val="20"/>
                <w:szCs w:val="20"/>
              </w:rPr>
              <w:t xml:space="preserve">Identificação do jogador no perfil e no ranking</w:t>
            </w:r>
          </w:p>
        </w:tc>
        <w:tc>
          <w:tcPr>
            <w:tcW w:type="dxa" w:w="15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 w:line="240"/>
              <w:jc w:val="left"/>
            </w:pPr>
            <w:r>
              <w:rPr>
                <w:sz w:val="20"/>
                <w:szCs w:val="20"/>
              </w:rPr>
              <w:t xml:space="preserve">Art. 7º, V</w:t>
            </w:r>
          </w:p>
        </w:tc>
        <w:tc>
          <w:tcPr>
            <w:tcW w:type="dxa" w:w="16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 w:line="240"/>
              <w:jc w:val="left"/>
            </w:pPr>
            <w:r>
              <w:rPr>
                <w:sz w:val="20"/>
                <w:szCs w:val="20"/>
              </w:rPr>
              <w:t xml:space="preserve">Tabela usuarios</w:t>
            </w:r>
          </w:p>
        </w:tc>
        <w:tc>
          <w:tcPr>
            <w:tcW w:type="dxa" w:w="1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 w:line="240"/>
              <w:jc w:val="left"/>
            </w:pPr>
            <w:r>
              <w:rPr>
                <w:sz w:val="20"/>
                <w:szCs w:val="20"/>
              </w:rPr>
              <w:t xml:space="preserve">Enquanto a conta existir</w:t>
            </w:r>
          </w:p>
        </w:tc>
      </w:tr>
      <w:tr>
        <w:trPr>
          <w:cantSplit/>
        </w:trPr>
        <w:tc>
          <w:tcPr>
            <w:tcW w:type="dxa" w:w="17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 w:line="240"/>
              <w:jc w:val="left"/>
            </w:pPr>
            <w:r>
              <w:rPr>
                <w:sz w:val="20"/>
                <w:szCs w:val="20"/>
              </w:rPr>
              <w:t xml:space="preserve">E-mail</w:t>
            </w:r>
          </w:p>
        </w:tc>
        <w:tc>
          <w:tcPr>
            <w:tcW w:type="dxa" w:w="24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 w:line="240"/>
              <w:jc w:val="left"/>
            </w:pPr>
            <w:r>
              <w:rPr>
                <w:sz w:val="20"/>
                <w:szCs w:val="20"/>
              </w:rPr>
              <w:t xml:space="preserve">Login e envio de códigos de confirmação</w:t>
            </w:r>
          </w:p>
        </w:tc>
        <w:tc>
          <w:tcPr>
            <w:tcW w:type="dxa" w:w="15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 w:line="240"/>
              <w:jc w:val="left"/>
            </w:pPr>
            <w:r>
              <w:rPr>
                <w:sz w:val="20"/>
                <w:szCs w:val="20"/>
              </w:rPr>
              <w:t xml:space="preserve">Art. 7º, V</w:t>
            </w:r>
          </w:p>
        </w:tc>
        <w:tc>
          <w:tcPr>
            <w:tcW w:type="dxa" w:w="16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 w:line="240"/>
              <w:jc w:val="left"/>
            </w:pPr>
            <w:r>
              <w:rPr>
                <w:sz w:val="20"/>
                <w:szCs w:val="20"/>
              </w:rPr>
              <w:t xml:space="preserve">Tabela usuarios</w:t>
            </w:r>
          </w:p>
        </w:tc>
        <w:tc>
          <w:tcPr>
            <w:tcW w:type="dxa" w:w="1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 w:line="240"/>
              <w:jc w:val="left"/>
            </w:pPr>
            <w:r>
              <w:rPr>
                <w:sz w:val="20"/>
                <w:szCs w:val="20"/>
              </w:rPr>
              <w:t xml:space="preserve">Enquanto a conta existir</w:t>
            </w:r>
          </w:p>
        </w:tc>
      </w:tr>
      <w:tr>
        <w:trPr>
          <w:cantSplit/>
        </w:trPr>
        <w:tc>
          <w:tcPr>
            <w:tcW w:type="dxa" w:w="17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 w:line="240"/>
              <w:jc w:val="left"/>
            </w:pPr>
            <w:r>
              <w:rPr>
                <w:sz w:val="20"/>
                <w:szCs w:val="20"/>
              </w:rPr>
              <w:t xml:space="preserve">Senha</w:t>
            </w:r>
          </w:p>
        </w:tc>
        <w:tc>
          <w:tcPr>
            <w:tcW w:type="dxa" w:w="24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 w:line="240"/>
              <w:jc w:val="left"/>
            </w:pPr>
            <w:r>
              <w:rPr>
                <w:sz w:val="20"/>
                <w:szCs w:val="20"/>
              </w:rPr>
              <w:t xml:space="preserve">Autenticação (armazenada apenas como hash bcrypt)</w:t>
            </w:r>
          </w:p>
        </w:tc>
        <w:tc>
          <w:tcPr>
            <w:tcW w:type="dxa" w:w="15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 w:line="240"/>
              <w:jc w:val="left"/>
            </w:pPr>
            <w:r>
              <w:rPr>
                <w:sz w:val="20"/>
                <w:szCs w:val="20"/>
              </w:rPr>
              <w:t xml:space="preserve">Art. 7º, V</w:t>
            </w:r>
          </w:p>
        </w:tc>
        <w:tc>
          <w:tcPr>
            <w:tcW w:type="dxa" w:w="16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 w:line="240"/>
              <w:jc w:val="left"/>
            </w:pPr>
            <w:r>
              <w:rPr>
                <w:sz w:val="20"/>
                <w:szCs w:val="20"/>
              </w:rPr>
              <w:t xml:space="preserve">Tabela usuarios</w:t>
            </w:r>
          </w:p>
        </w:tc>
        <w:tc>
          <w:tcPr>
            <w:tcW w:type="dxa" w:w="1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 w:line="240"/>
              <w:jc w:val="left"/>
            </w:pPr>
            <w:r>
              <w:rPr>
                <w:sz w:val="20"/>
                <w:szCs w:val="20"/>
              </w:rPr>
              <w:t xml:space="preserve">Enquanto a conta existir</w:t>
            </w:r>
          </w:p>
        </w:tc>
      </w:tr>
      <w:tr>
        <w:trPr>
          <w:cantSplit/>
        </w:trPr>
        <w:tc>
          <w:tcPr>
            <w:tcW w:type="dxa" w:w="17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 w:line="240"/>
              <w:jc w:val="left"/>
            </w:pPr>
            <w:r>
              <w:rPr>
                <w:sz w:val="20"/>
                <w:szCs w:val="20"/>
              </w:rPr>
              <w:t xml:space="preserve">Idade</w:t>
            </w:r>
          </w:p>
        </w:tc>
        <w:tc>
          <w:tcPr>
            <w:tcW w:type="dxa" w:w="24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 w:line="240"/>
              <w:jc w:val="left"/>
            </w:pPr>
            <w:r>
              <w:rPr>
                <w:sz w:val="20"/>
                <w:szCs w:val="20"/>
              </w:rPr>
              <w:t xml:space="preserve">Verificação de idade mínima e estatística agregada no painel administrativo</w:t>
            </w:r>
          </w:p>
        </w:tc>
        <w:tc>
          <w:tcPr>
            <w:tcW w:type="dxa" w:w="15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 w:line="240"/>
              <w:jc w:val="left"/>
            </w:pPr>
            <w:r>
              <w:rPr>
                <w:sz w:val="20"/>
                <w:szCs w:val="20"/>
              </w:rPr>
              <w:t xml:space="preserve">Art. 7º, V</w:t>
            </w:r>
          </w:p>
        </w:tc>
        <w:tc>
          <w:tcPr>
            <w:tcW w:type="dxa" w:w="16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 w:line="240"/>
              <w:jc w:val="left"/>
            </w:pPr>
            <w:r>
              <w:rPr>
                <w:sz w:val="20"/>
                <w:szCs w:val="20"/>
              </w:rPr>
              <w:t xml:space="preserve">Tabela usuarios</w:t>
            </w:r>
          </w:p>
        </w:tc>
        <w:tc>
          <w:tcPr>
            <w:tcW w:type="dxa" w:w="1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 w:line="240"/>
              <w:jc w:val="left"/>
            </w:pPr>
            <w:r>
              <w:rPr>
                <w:sz w:val="20"/>
                <w:szCs w:val="20"/>
              </w:rPr>
              <w:t xml:space="preserve">Enquanto a conta existir</w:t>
            </w:r>
          </w:p>
        </w:tc>
      </w:tr>
      <w:tr>
        <w:trPr>
          <w:cantSplit/>
        </w:trPr>
        <w:tc>
          <w:tcPr>
            <w:tcW w:type="dxa" w:w="17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 w:line="240"/>
              <w:jc w:val="left"/>
            </w:pPr>
            <w:r>
              <w:rPr>
                <w:sz w:val="20"/>
                <w:szCs w:val="20"/>
              </w:rPr>
              <w:t xml:space="preserve">Códigos de 6 dígitos</w:t>
            </w:r>
          </w:p>
        </w:tc>
        <w:tc>
          <w:tcPr>
            <w:tcW w:type="dxa" w:w="24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 w:line="240"/>
              <w:jc w:val="left"/>
            </w:pPr>
            <w:r>
              <w:rPr>
                <w:sz w:val="20"/>
                <w:szCs w:val="20"/>
              </w:rPr>
              <w:t xml:space="preserve">Confirmar a titularidade do e-mail (cadastro, recuperação de senha e troca de e-mail)</w:t>
            </w:r>
          </w:p>
        </w:tc>
        <w:tc>
          <w:tcPr>
            <w:tcW w:type="dxa" w:w="15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 w:line="240"/>
              <w:jc w:val="left"/>
            </w:pPr>
            <w:r>
              <w:rPr>
                <w:sz w:val="20"/>
                <w:szCs w:val="20"/>
              </w:rPr>
              <w:t xml:space="preserve">Art. 7º, V</w:t>
            </w:r>
          </w:p>
        </w:tc>
        <w:tc>
          <w:tcPr>
            <w:tcW w:type="dxa" w:w="16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 w:line="240"/>
              <w:jc w:val="left"/>
            </w:pPr>
            <w:r>
              <w:rPr>
                <w:sz w:val="20"/>
                <w:szCs w:val="20"/>
              </w:rPr>
              <w:t xml:space="preserve">Tabela usuarios</w:t>
            </w:r>
          </w:p>
        </w:tc>
        <w:tc>
          <w:tcPr>
            <w:tcW w:type="dxa" w:w="1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 w:line="240"/>
              <w:jc w:val="left"/>
            </w:pPr>
            <w:r>
              <w:rPr>
                <w:sz w:val="20"/>
                <w:szCs w:val="20"/>
              </w:rPr>
              <w:t xml:space="preserve">15 minutos; apagados após o uso</w:t>
            </w:r>
          </w:p>
        </w:tc>
      </w:tr>
      <w:tr>
        <w:trPr>
          <w:cantSplit/>
        </w:trPr>
        <w:tc>
          <w:tcPr>
            <w:tcW w:type="dxa" w:w="17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 w:line="240"/>
              <w:jc w:val="left"/>
            </w:pPr>
            <w:r>
              <w:rPr>
                <w:sz w:val="20"/>
                <w:szCs w:val="20"/>
              </w:rPr>
              <w:t xml:space="preserve">Progresso, XP e personagem</w:t>
            </w:r>
          </w:p>
        </w:tc>
        <w:tc>
          <w:tcPr>
            <w:tcW w:type="dxa" w:w="24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 w:line="240"/>
              <w:jc w:val="left"/>
            </w:pPr>
            <w:r>
              <w:rPr>
                <w:sz w:val="20"/>
                <w:szCs w:val="20"/>
              </w:rPr>
              <w:t xml:space="preserve">Funcionamento do jogo</w:t>
            </w:r>
          </w:p>
        </w:tc>
        <w:tc>
          <w:tcPr>
            <w:tcW w:type="dxa" w:w="15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 w:line="240"/>
              <w:jc w:val="left"/>
            </w:pPr>
            <w:r>
              <w:rPr>
                <w:sz w:val="20"/>
                <w:szCs w:val="20"/>
              </w:rPr>
              <w:t xml:space="preserve">Art. 7º, V</w:t>
            </w:r>
          </w:p>
        </w:tc>
        <w:tc>
          <w:tcPr>
            <w:tcW w:type="dxa" w:w="16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 w:line="240"/>
              <w:jc w:val="left"/>
            </w:pPr>
            <w:r>
              <w:rPr>
                <w:sz w:val="20"/>
                <w:szCs w:val="20"/>
              </w:rPr>
              <w:t xml:space="preserve">Tabelas progresso, personagens e itens_personagem</w:t>
            </w:r>
          </w:p>
        </w:tc>
        <w:tc>
          <w:tcPr>
            <w:tcW w:type="dxa" w:w="1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 w:line="240"/>
              <w:jc w:val="left"/>
            </w:pPr>
            <w:r>
              <w:rPr>
                <w:sz w:val="20"/>
                <w:szCs w:val="20"/>
              </w:rPr>
              <w:t xml:space="preserve">Enquanto a conta existir</w:t>
            </w:r>
          </w:p>
        </w:tc>
      </w:tr>
      <w:tr>
        <w:trPr>
          <w:cantSplit/>
        </w:trPr>
        <w:tc>
          <w:tcPr>
            <w:tcW w:type="dxa" w:w="17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 w:line="240"/>
              <w:jc w:val="left"/>
            </w:pPr>
            <w:r>
              <w:rPr>
                <w:sz w:val="20"/>
                <w:szCs w:val="20"/>
              </w:rPr>
              <w:t xml:space="preserve">Histórico de login (e-mail digitado, IP, navegador e resultado)</w:t>
            </w:r>
          </w:p>
        </w:tc>
        <w:tc>
          <w:tcPr>
            <w:tcW w:type="dxa" w:w="24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 w:line="240"/>
              <w:jc w:val="left"/>
            </w:pPr>
            <w:r>
              <w:rPr>
                <w:sz w:val="20"/>
                <w:szCs w:val="20"/>
              </w:rPr>
              <w:t xml:space="preserve">Segurança e prevenção de acessos indevidos</w:t>
            </w:r>
          </w:p>
        </w:tc>
        <w:tc>
          <w:tcPr>
            <w:tcW w:type="dxa" w:w="15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 w:line="240"/>
              <w:jc w:val="left"/>
            </w:pPr>
            <w:r>
              <w:rPr>
                <w:sz w:val="20"/>
                <w:szCs w:val="20"/>
              </w:rPr>
              <w:t xml:space="preserve">Art. 7º, IX</w:t>
            </w:r>
          </w:p>
        </w:tc>
        <w:tc>
          <w:tcPr>
            <w:tcW w:type="dxa" w:w="16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 w:line="240"/>
              <w:jc w:val="left"/>
            </w:pPr>
            <w:r>
              <w:rPr>
                <w:sz w:val="20"/>
                <w:szCs w:val="20"/>
              </w:rPr>
              <w:t xml:space="preserve">Tabela login_historico</w:t>
            </w:r>
          </w:p>
        </w:tc>
        <w:tc>
          <w:tcPr>
            <w:tcW w:type="dxa" w:w="1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 w:line="240"/>
              <w:jc w:val="left"/>
            </w:pPr>
            <w:r>
              <w:rPr>
                <w:sz w:val="20"/>
                <w:szCs w:val="20"/>
              </w:rPr>
              <w:t xml:space="preserve">Não definida (ver seção 5)</w:t>
            </w:r>
          </w:p>
        </w:tc>
      </w:tr>
      <w:tr>
        <w:trPr>
          <w:cantSplit/>
        </w:trPr>
        <w:tc>
          <w:tcPr>
            <w:tcW w:type="dxa" w:w="17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 w:line="240"/>
              <w:jc w:val="left"/>
            </w:pPr>
            <w:r>
              <w:rPr>
                <w:sz w:val="20"/>
                <w:szCs w:val="20"/>
              </w:rPr>
              <w:t xml:space="preserve">Registro de ações administrativas</w:t>
            </w:r>
          </w:p>
        </w:tc>
        <w:tc>
          <w:tcPr>
            <w:tcW w:type="dxa" w:w="24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 w:line="240"/>
              <w:jc w:val="left"/>
            </w:pPr>
            <w:r>
              <w:rPr>
                <w:sz w:val="20"/>
                <w:szCs w:val="20"/>
              </w:rPr>
              <w:t xml:space="preserve">Rastreabilidade das alterações feitas pelo painel</w:t>
            </w:r>
          </w:p>
        </w:tc>
        <w:tc>
          <w:tcPr>
            <w:tcW w:type="dxa" w:w="15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 w:line="240"/>
              <w:jc w:val="left"/>
            </w:pPr>
            <w:r>
              <w:rPr>
                <w:sz w:val="20"/>
                <w:szCs w:val="20"/>
              </w:rPr>
              <w:t xml:space="preserve">Art. 7º, IX</w:t>
            </w:r>
          </w:p>
        </w:tc>
        <w:tc>
          <w:tcPr>
            <w:tcW w:type="dxa" w:w="16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 w:line="240"/>
              <w:jc w:val="left"/>
            </w:pPr>
            <w:r>
              <w:rPr>
                <w:sz w:val="20"/>
                <w:szCs w:val="20"/>
              </w:rPr>
              <w:t xml:space="preserve">Tabela logs_admin</w:t>
            </w:r>
          </w:p>
        </w:tc>
        <w:tc>
          <w:tcPr>
            <w:tcW w:type="dxa" w:w="1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 w:line="240"/>
              <w:jc w:val="left"/>
            </w:pPr>
            <w:r>
              <w:rPr>
                <w:sz w:val="20"/>
                <w:szCs w:val="20"/>
              </w:rPr>
              <w:t xml:space="preserve">Não definida (ver seção 5)</w:t>
            </w:r>
          </w:p>
        </w:tc>
      </w:tr>
      <w:tr>
        <w:trPr>
          <w:cantSplit/>
        </w:trPr>
        <w:tc>
          <w:tcPr>
            <w:tcW w:type="dxa" w:w="17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 w:line="240"/>
              <w:jc w:val="left"/>
            </w:pPr>
            <w:r>
              <w:rPr>
                <w:sz w:val="20"/>
                <w:szCs w:val="20"/>
              </w:rPr>
              <w:t xml:space="preserve">Resposta escrita dos desafios dissertativos</w:t>
            </w:r>
          </w:p>
        </w:tc>
        <w:tc>
          <w:tcPr>
            <w:tcW w:type="dxa" w:w="24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 w:line="240"/>
              <w:jc w:val="left"/>
            </w:pPr>
            <w:r>
              <w:rPr>
                <w:sz w:val="20"/>
                <w:szCs w:val="20"/>
              </w:rPr>
              <w:t xml:space="preserve">Correção automática por inteligência artificial</w:t>
            </w:r>
          </w:p>
        </w:tc>
        <w:tc>
          <w:tcPr>
            <w:tcW w:type="dxa" w:w="15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 w:line="240"/>
              <w:jc w:val="left"/>
            </w:pPr>
            <w:r>
              <w:rPr>
                <w:sz w:val="20"/>
                <w:szCs w:val="20"/>
              </w:rPr>
              <w:t xml:space="preserve">Art. 7º, V</w:t>
            </w:r>
          </w:p>
        </w:tc>
        <w:tc>
          <w:tcPr>
            <w:tcW w:type="dxa" w:w="16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 w:line="240"/>
              <w:jc w:val="left"/>
            </w:pPr>
            <w:r>
              <w:rPr>
                <w:sz w:val="20"/>
                <w:szCs w:val="20"/>
              </w:rPr>
              <w:t xml:space="preserve">Não é armazenada</w:t>
            </w:r>
          </w:p>
        </w:tc>
        <w:tc>
          <w:tcPr>
            <w:tcW w:type="dxa" w:w="1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 w:line="240"/>
              <w:jc w:val="left"/>
            </w:pPr>
            <w:r>
              <w:rPr>
                <w:sz w:val="20"/>
                <w:szCs w:val="20"/>
              </w:rPr>
              <w:t xml:space="preserve">Apenas durante a correção</w:t>
            </w:r>
          </w:p>
        </w:tc>
      </w:tr>
    </w:tbl>
    <w:p>
      <w:pPr>
        <w:spacing w:after="240" w:before="80" w:line="240"/>
      </w:pPr>
      <w:r>
        <w:rPr>
          <w:sz w:val="20"/>
          <w:szCs w:val="20"/>
        </w:rPr>
        <w:t xml:space="preserve">Fonte: Elaborado pelos autores (2026).</w:t>
      </w:r>
    </w:p>
    <w:p>
      <w:pPr>
        <w:spacing w:after="0" w:line="360"/>
        <w:ind w:firstLine="709"/>
        <w:jc w:val="both"/>
      </w:pPr>
      <w:r>
        <w:t xml:space="preserve">O banco de dados é hospedado no serviço Neon, na região sa-east-1 (São Paulo), de modo que os dados armazenados permanecem em território nacional.</w:t>
      </w:r>
    </w:p>
    <w:p>
      <w:pPr>
        <w:pStyle w:val="Heading1"/>
      </w:pPr>
      <w:r>
        <w:t xml:space="preserve">4 PONTOS DE APLICAÇÃO DA LGPD</w:t>
      </w:r>
    </w:p>
    <w:p>
      <w:pPr>
        <w:pStyle w:val="Heading2"/>
      </w:pPr>
      <w:r>
        <w:t xml:space="preserve">4.1 Princípios (art. 6º)</w:t>
      </w:r>
    </w:p>
    <w:p>
      <w:pPr>
        <w:spacing w:after="0" w:line="360"/>
        <w:ind w:firstLine="709"/>
        <w:jc w:val="both"/>
      </w:pPr>
      <w:r>
        <w:t xml:space="preserve">O Quadro 2 relaciona os princípios do art. 6º da LGPD aos mecanismos do sistema que os concretizam.</w:t>
      </w:r>
    </w:p>
    <w:p>
      <w:pPr>
        <w:keepNext/>
        <w:spacing w:after="120" w:before="240" w:line="240"/>
        <w:jc w:val="center"/>
      </w:pPr>
      <w:r>
        <w:rPr>
          <w:sz w:val="20"/>
          <w:szCs w:val="20"/>
        </w:rPr>
        <w:t xml:space="preserve">Quadro 2 – Princípios da LGPD aplicados no sistema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97"/>
        <w:gridCol w:w="4535"/>
        <w:gridCol w:w="2739"/>
      </w:tblGrid>
      <w:tr>
        <w:trPr>
          <w:cantSplit/>
          <w:tblHeader/>
        </w:trPr>
        <w:tc>
          <w:tcPr>
            <w:tcW w:type="dxa" w:w="17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Princípio</w:t>
            </w:r>
          </w:p>
        </w:tc>
        <w:tc>
          <w:tcPr>
            <w:tcW w:type="dxa" w:w="45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Aplicação no Code Journey</w:t>
            </w:r>
          </w:p>
        </w:tc>
        <w:tc>
          <w:tcPr>
            <w:tcW w:type="dxa" w:w="27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Evidência</w:t>
            </w:r>
          </w:p>
        </w:tc>
      </w:tr>
      <w:tr>
        <w:trPr>
          <w:cantSplit/>
        </w:trPr>
        <w:tc>
          <w:tcPr>
            <w:tcW w:type="dxa" w:w="17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 w:line="240"/>
              <w:jc w:val="left"/>
            </w:pPr>
            <w:r>
              <w:rPr>
                <w:sz w:val="20"/>
                <w:szCs w:val="20"/>
              </w:rPr>
              <w:t xml:space="preserve">Finalidade e adequação (I e II)</w:t>
            </w:r>
          </w:p>
        </w:tc>
        <w:tc>
          <w:tcPr>
            <w:tcW w:type="dxa" w:w="45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 w:line="240"/>
              <w:jc w:val="left"/>
            </w:pPr>
            <w:r>
              <w:rPr>
                <w:sz w:val="20"/>
                <w:szCs w:val="20"/>
              </w:rPr>
              <w:t xml:space="preserve">Cada dado coletado tem uso definido na aplicação (Quadro 1). O cadastro solicita apenas nome, e-mail, senha e idade.</w:t>
            </w:r>
          </w:p>
        </w:tc>
        <w:tc>
          <w:tcPr>
            <w:tcW w:type="dxa" w:w="27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validacoes/esquemas.js</w:t>
            </w:r>
          </w:p>
          <w:p>
            <w:pPr>
              <w:spacing w:after="40" w:before="4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(esquema auth.cadastro)</w:t>
            </w:r>
          </w:p>
        </w:tc>
      </w:tr>
      <w:tr>
        <w:trPr>
          <w:cantSplit/>
        </w:trPr>
        <w:tc>
          <w:tcPr>
            <w:tcW w:type="dxa" w:w="17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 w:line="240"/>
              <w:jc w:val="left"/>
            </w:pPr>
            <w:r>
              <w:rPr>
                <w:sz w:val="20"/>
                <w:szCs w:val="20"/>
              </w:rPr>
              <w:t xml:space="preserve">Necessidade (III)</w:t>
            </w:r>
          </w:p>
        </w:tc>
        <w:tc>
          <w:tcPr>
            <w:tcW w:type="dxa" w:w="45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 w:line="240"/>
              <w:jc w:val="left"/>
            </w:pPr>
            <w:r>
              <w:rPr>
                <w:sz w:val="20"/>
                <w:szCs w:val="20"/>
              </w:rPr>
              <w:t xml:space="preserve">Cada rota da API declara os campos que aceita; campos não declarados são descartados antes de chegar à lógica de negócio. Todo texto possui tamanho máximo. O endereço de imagem do personagem deixou de ser aceito por não ter uso. O perfil público de um jogador não expõe e-mail nem papel.</w:t>
            </w:r>
          </w:p>
        </w:tc>
        <w:tc>
          <w:tcPr>
            <w:tcW w:type="dxa" w:w="27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validacao.middleware.js:30</w:t>
            </w:r>
          </w:p>
          <w:p>
            <w:pPr>
              <w:spacing w:after="40" w:before="4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esquemas.js:93</w:t>
            </w:r>
          </w:p>
          <w:p>
            <w:pPr>
              <w:spacing w:after="40" w:before="4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perfil.service.js:112</w:t>
            </w:r>
          </w:p>
        </w:tc>
      </w:tr>
      <w:tr>
        <w:trPr>
          <w:cantSplit/>
        </w:trPr>
        <w:tc>
          <w:tcPr>
            <w:tcW w:type="dxa" w:w="17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 w:line="240"/>
              <w:jc w:val="left"/>
            </w:pPr>
            <w:r>
              <w:rPr>
                <w:sz w:val="20"/>
                <w:szCs w:val="20"/>
              </w:rPr>
              <w:t xml:space="preserve">Qualidade dos dados (V)</w:t>
            </w:r>
          </w:p>
        </w:tc>
        <w:tc>
          <w:tcPr>
            <w:tcW w:type="dxa" w:w="45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 w:line="240"/>
              <w:jc w:val="left"/>
            </w:pPr>
            <w:r>
              <w:rPr>
                <w:sz w:val="20"/>
                <w:szCs w:val="20"/>
              </w:rPr>
              <w:t xml:space="preserve">Os dados são padronizados antes da gravação: e-mail sem espaços e em letras minúsculas, nome sem espaços repetidos e números convertidos para o tipo correto, evitando contas duplicadas para o mesmo endereço.</w:t>
            </w:r>
          </w:p>
        </w:tc>
        <w:tc>
          <w:tcPr>
            <w:tcW w:type="dxa" w:w="27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validacoes/regras.js:79</w:t>
            </w:r>
          </w:p>
          <w:p>
            <w:pPr>
              <w:spacing w:after="40" w:before="4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auth.service.js:28</w:t>
            </w:r>
          </w:p>
        </w:tc>
      </w:tr>
      <w:tr>
        <w:trPr>
          <w:cantSplit/>
        </w:trPr>
        <w:tc>
          <w:tcPr>
            <w:tcW w:type="dxa" w:w="17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 w:line="240"/>
              <w:jc w:val="left"/>
            </w:pPr>
            <w:r>
              <w:rPr>
                <w:sz w:val="20"/>
                <w:szCs w:val="20"/>
              </w:rPr>
              <w:t xml:space="preserve">Segurança e prevenção (VII e VIII)</w:t>
            </w:r>
          </w:p>
        </w:tc>
        <w:tc>
          <w:tcPr>
            <w:tcW w:type="dxa" w:w="45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 w:line="240"/>
              <w:jc w:val="left"/>
            </w:pPr>
            <w:r>
              <w:rPr>
                <w:sz w:val="20"/>
                <w:szCs w:val="20"/>
              </w:rPr>
              <w:t xml:space="preserve">Conjunto de medidas técnicas detalhado na seção 4.2.</w:t>
            </w:r>
          </w:p>
        </w:tc>
        <w:tc>
          <w:tcPr>
            <w:tcW w:type="dxa" w:w="27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 w:line="240"/>
              <w:jc w:val="left"/>
            </w:pPr>
            <w:r>
              <w:rPr>
                <w:sz w:val="20"/>
                <w:szCs w:val="20"/>
              </w:rPr>
              <w:t xml:space="preserve">Quadro 3</w:t>
            </w:r>
          </w:p>
        </w:tc>
      </w:tr>
      <w:tr>
        <w:trPr>
          <w:cantSplit/>
        </w:trPr>
        <w:tc>
          <w:tcPr>
            <w:tcW w:type="dxa" w:w="17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 w:line="240"/>
              <w:jc w:val="left"/>
            </w:pPr>
            <w:r>
              <w:rPr>
                <w:sz w:val="20"/>
                <w:szCs w:val="20"/>
              </w:rPr>
              <w:t xml:space="preserve">Não discriminação (IX)</w:t>
            </w:r>
          </w:p>
        </w:tc>
        <w:tc>
          <w:tcPr>
            <w:tcW w:type="dxa" w:w="45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 w:line="240"/>
              <w:jc w:val="left"/>
            </w:pPr>
            <w:r>
              <w:rPr>
                <w:sz w:val="20"/>
                <w:szCs w:val="20"/>
              </w:rPr>
              <w:t xml:space="preserve">Nenhum dado é utilizado para tratamento diferenciado de usuários; a idade é usada apenas para a verificação de idade mínima e em estatística agregada.</w:t>
            </w:r>
          </w:p>
        </w:tc>
        <w:tc>
          <w:tcPr>
            <w:tcW w:type="dxa" w:w="27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validacoes/regras.js</w:t>
            </w:r>
          </w:p>
          <w:p>
            <w:pPr>
              <w:spacing w:after="40" w:before="4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(regra idade)</w:t>
            </w:r>
          </w:p>
        </w:tc>
      </w:tr>
      <w:tr>
        <w:trPr>
          <w:cantSplit/>
        </w:trPr>
        <w:tc>
          <w:tcPr>
            <w:tcW w:type="dxa" w:w="17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 w:line="240"/>
              <w:jc w:val="left"/>
            </w:pPr>
            <w:r>
              <w:rPr>
                <w:sz w:val="20"/>
                <w:szCs w:val="20"/>
              </w:rPr>
              <w:t xml:space="preserve">Responsabilização e prestação de contas (X)</w:t>
            </w:r>
          </w:p>
        </w:tc>
        <w:tc>
          <w:tcPr>
            <w:tcW w:type="dxa" w:w="45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 w:line="240"/>
              <w:jc w:val="left"/>
            </w:pPr>
            <w:r>
              <w:rPr>
                <w:sz w:val="20"/>
                <w:szCs w:val="20"/>
              </w:rPr>
              <w:t xml:space="preserve">Toda alteração feita pelo painel administrativo é registrada com autor, data e diferença campo a campo. As tentativas de login também são registradas. Este relatório documenta as medidas adotadas.</w:t>
            </w:r>
          </w:p>
        </w:tc>
        <w:tc>
          <w:tcPr>
            <w:tcW w:type="dxa" w:w="27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log.service.js:10</w:t>
            </w:r>
          </w:p>
          <w:p>
            <w:pPr>
              <w:spacing w:after="40" w:before="4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schema.prisma:91</w:t>
            </w:r>
          </w:p>
          <w:p>
            <w:pPr>
              <w:spacing w:after="40" w:before="4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schema.prisma:126</w:t>
            </w:r>
          </w:p>
        </w:tc>
      </w:tr>
    </w:tbl>
    <w:p>
      <w:pPr>
        <w:spacing w:after="240" w:before="80" w:line="240"/>
      </w:pPr>
      <w:r>
        <w:rPr>
          <w:sz w:val="20"/>
          <w:szCs w:val="20"/>
        </w:rPr>
        <w:t xml:space="preserve">Fonte: Elaborado pelos autores (2026).</w:t>
      </w:r>
    </w:p>
    <w:p>
      <w:pPr>
        <w:spacing w:after="0" w:line="360"/>
        <w:ind w:firstLine="709"/>
        <w:jc w:val="both"/>
      </w:pPr>
      <w:r>
        <w:t xml:space="preserve">O trecho abaixo, do middleware de validação, ilustra a aplicação do princípio da necessidade: somente os campos declarados no esquema da rota são repassados ao restante do sistema.</w:t>
      </w:r>
    </w:p>
    <w:p>
      <w:pPr>
        <w:shd w:fill="F2F2F2" w:color="auto" w:val="clear"/>
        <w:spacing w:after="0" w:before="120" w:line="240"/>
        <w:ind w:left="709"/>
      </w:pPr>
      <w:r>
        <w:rPr>
          <w:rFonts w:ascii="Courier New" w:cs="Courier New" w:eastAsia="Courier New" w:hAnsi="Courier New"/>
          <w:sz w:val="18"/>
          <w:szCs w:val="18"/>
        </w:rPr>
        <w:t xml:space="preserve">const validado = {};</w:t>
      </w:r>
    </w:p>
    <w:p>
      <w:pPr>
        <w:shd w:fill="F2F2F2" w:color="auto" w:val="clear"/>
        <w:spacing w:after="0" w:before="0" w:line="240"/>
        <w:ind w:left="709"/>
      </w:pPr>
      <w:r>
        <w:rPr>
          <w:rFonts w:ascii="Courier New" w:cs="Courier New" w:eastAsia="Courier New" w:hAnsi="Courier New"/>
          <w:sz w:val="18"/>
          <w:szCs w:val="18"/>
        </w:rPr>
        <w:t xml:space="preserve">for (const [nomeCampo, { regra, rotulo }] of Object.entries(campos)) {</w:t>
      </w:r>
    </w:p>
    <w:p>
      <w:pPr>
        <w:shd w:fill="F2F2F2" w:color="auto" w:val="clear"/>
        <w:spacing w:after="0" w:before="0" w:line="240"/>
        <w:ind w:left="709"/>
      </w:pPr>
      <w:r>
        <w:rPr>
          <w:rFonts w:ascii="Courier New" w:cs="Courier New" w:eastAsia="Courier New" w:hAnsi="Courier New"/>
          <w:sz w:val="18"/>
          <w:szCs w:val="18"/>
        </w:rPr>
        <w:t xml:space="preserve">  const valor = regra(entrada[nomeCampo], rotulo);</w:t>
      </w:r>
    </w:p>
    <w:p>
      <w:pPr>
        <w:shd w:fill="F2F2F2" w:color="auto" w:val="clear"/>
        <w:spacing w:after="0" w:before="0" w:line="240"/>
        <w:ind w:left="709"/>
      </w:pPr>
      <w:r>
        <w:rPr>
          <w:rFonts w:ascii="Courier New" w:cs="Courier New" w:eastAsia="Courier New" w:hAnsi="Courier New"/>
          <w:sz w:val="18"/>
          <w:szCs w:val="18"/>
        </w:rPr>
        <w:t xml:space="preserve">  if (valor !== undefined) validado[nomeCampo] = valor;</w:t>
      </w:r>
    </w:p>
    <w:p>
      <w:pPr>
        <w:shd w:fill="F2F2F2" w:color="auto" w:val="clear"/>
        <w:spacing w:after="0" w:before="0" w:line="240"/>
        <w:ind w:left="709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2F2F2" w:color="auto" w:val="clear"/>
        <w:spacing w:after="120" w:before="0" w:line="240"/>
        <w:ind w:left="709"/>
      </w:pPr>
      <w:r>
        <w:rPr>
          <w:rFonts w:ascii="Courier New" w:cs="Courier New" w:eastAsia="Courier New" w:hAnsi="Courier New"/>
          <w:sz w:val="18"/>
          <w:szCs w:val="18"/>
        </w:rPr>
        <w:t xml:space="preserve">req[origem] = validado; // campos não declarados são descartados</w:t>
      </w:r>
    </w:p>
    <w:p>
      <w:pPr>
        <w:pStyle w:val="Heading2"/>
      </w:pPr>
      <w:r>
        <w:t xml:space="preserve">4.2 Segurança da informação (arts. 46 a 49)</w:t>
      </w:r>
    </w:p>
    <w:p>
      <w:pPr>
        <w:spacing w:after="0" w:line="360"/>
        <w:ind w:firstLine="709"/>
        <w:jc w:val="both"/>
      </w:pPr>
      <w:r>
        <w:t xml:space="preserve">O art. 46 determina a adoção de medidas de segurança, técnicas e administrativas, aptas a proteger os dados pessoais de acessos não autorizados. O Quadro 3 apresenta as medidas implementadas no sistema.</w:t>
      </w:r>
    </w:p>
    <w:p>
      <w:pPr>
        <w:keepNext/>
        <w:spacing w:after="120" w:before="240" w:line="240"/>
        <w:jc w:val="center"/>
      </w:pPr>
      <w:r>
        <w:rPr>
          <w:sz w:val="20"/>
          <w:szCs w:val="20"/>
        </w:rPr>
        <w:t xml:space="preserve">Quadro 3 – Medidas de segurança implementadas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80"/>
        <w:gridCol w:w="3256"/>
        <w:gridCol w:w="1007"/>
        <w:gridCol w:w="2328"/>
      </w:tblGrid>
      <w:tr>
        <w:trPr>
          <w:cantSplit/>
          <w:tblHeader/>
        </w:trPr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Medida</w:t>
            </w:r>
          </w:p>
        </w:tc>
        <w:tc>
          <w:tcPr>
            <w:tcW w:type="dxa" w:w="3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Finalidade</w:t>
            </w:r>
          </w:p>
        </w:tc>
        <w:tc>
          <w:tcPr>
            <w:tcW w:type="dxa" w:w="10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Artigo</w:t>
            </w:r>
          </w:p>
        </w:tc>
        <w:tc>
          <w:tcPr>
            <w:tcW w:type="dxa" w:w="23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Arquivo</w:t>
            </w:r>
          </w:p>
        </w:tc>
      </w:tr>
      <w:tr>
        <w:trPr>
          <w:cantSplit/>
        </w:trPr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 w:line="240"/>
              <w:jc w:val="left"/>
            </w:pPr>
            <w:r>
              <w:rPr>
                <w:sz w:val="20"/>
                <w:szCs w:val="20"/>
              </w:rPr>
              <w:t xml:space="preserve">Senhas armazenadas com hash bcrypt (custo 10)</w:t>
            </w:r>
          </w:p>
        </w:tc>
        <w:tc>
          <w:tcPr>
            <w:tcW w:type="dxa" w:w="3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 w:line="240"/>
              <w:jc w:val="left"/>
            </w:pPr>
            <w:r>
              <w:rPr>
                <w:sz w:val="20"/>
                <w:szCs w:val="20"/>
              </w:rPr>
              <w:t xml:space="preserve">Impedir a recuperação da senha original mesmo em caso de vazamento do banco</w:t>
            </w:r>
          </w:p>
        </w:tc>
        <w:tc>
          <w:tcPr>
            <w:tcW w:type="dxa" w:w="10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 w:line="240"/>
              <w:jc w:val="left"/>
            </w:pPr>
            <w:r>
              <w:rPr>
                <w:sz w:val="20"/>
                <w:szCs w:val="20"/>
              </w:rPr>
              <w:t xml:space="preserve">Art. 46</w:t>
            </w:r>
          </w:p>
        </w:tc>
        <w:tc>
          <w:tcPr>
            <w:tcW w:type="dxa" w:w="23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auth.service.js:7</w:t>
            </w:r>
          </w:p>
        </w:tc>
      </w:tr>
      <w:tr>
        <w:trPr>
          <w:cantSplit/>
        </w:trPr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 w:line="240"/>
              <w:jc w:val="left"/>
            </w:pPr>
            <w:r>
              <w:rPr>
                <w:sz w:val="20"/>
                <w:szCs w:val="20"/>
              </w:rPr>
              <w:t xml:space="preserve">Senha e códigos nunca retornados pela API</w:t>
            </w:r>
          </w:p>
        </w:tc>
        <w:tc>
          <w:tcPr>
            <w:tcW w:type="dxa" w:w="3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 w:line="240"/>
              <w:jc w:val="left"/>
            </w:pPr>
            <w:r>
              <w:rPr>
                <w:sz w:val="20"/>
                <w:szCs w:val="20"/>
              </w:rPr>
              <w:t xml:space="preserve">Evitar a exposição de credenciais nas respostas</w:t>
            </w:r>
          </w:p>
        </w:tc>
        <w:tc>
          <w:tcPr>
            <w:tcW w:type="dxa" w:w="10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 w:line="240"/>
              <w:jc w:val="left"/>
            </w:pPr>
            <w:r>
              <w:rPr>
                <w:sz w:val="20"/>
                <w:szCs w:val="20"/>
              </w:rPr>
              <w:t xml:space="preserve">Art. 46</w:t>
            </w:r>
          </w:p>
        </w:tc>
        <w:tc>
          <w:tcPr>
            <w:tcW w:type="dxa" w:w="23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auth.service.js:176</w:t>
            </w:r>
          </w:p>
        </w:tc>
      </w:tr>
      <w:tr>
        <w:trPr>
          <w:cantSplit/>
        </w:trPr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 w:line="240"/>
              <w:jc w:val="left"/>
            </w:pPr>
            <w:r>
              <w:rPr>
                <w:sz w:val="20"/>
                <w:szCs w:val="20"/>
              </w:rPr>
              <w:t xml:space="preserve">Confirmação de e-mail obrigatória antes do primeiro acesso</w:t>
            </w:r>
          </w:p>
        </w:tc>
        <w:tc>
          <w:tcPr>
            <w:tcW w:type="dxa" w:w="3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 w:line="240"/>
              <w:jc w:val="left"/>
            </w:pPr>
            <w:r>
              <w:rPr>
                <w:sz w:val="20"/>
                <w:szCs w:val="20"/>
              </w:rPr>
              <w:t xml:space="preserve">Garantir que a conta pertence ao titular do e-mail</w:t>
            </w:r>
          </w:p>
        </w:tc>
        <w:tc>
          <w:tcPr>
            <w:tcW w:type="dxa" w:w="10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 w:line="240"/>
              <w:jc w:val="left"/>
            </w:pPr>
            <w:r>
              <w:rPr>
                <w:sz w:val="20"/>
                <w:szCs w:val="20"/>
              </w:rPr>
              <w:t xml:space="preserve">Art. 46</w:t>
            </w:r>
          </w:p>
        </w:tc>
        <w:tc>
          <w:tcPr>
            <w:tcW w:type="dxa" w:w="23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auth.service.js:147</w:t>
            </w:r>
          </w:p>
        </w:tc>
      </w:tr>
      <w:tr>
        <w:trPr>
          <w:cantSplit/>
        </w:trPr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 w:line="240"/>
              <w:jc w:val="left"/>
            </w:pPr>
            <w:r>
              <w:rPr>
                <w:sz w:val="20"/>
                <w:szCs w:val="20"/>
              </w:rPr>
              <w:t xml:space="preserve">Códigos de 6 dígitos válidos por 15 minutos e apagados após o uso</w:t>
            </w:r>
          </w:p>
        </w:tc>
        <w:tc>
          <w:tcPr>
            <w:tcW w:type="dxa" w:w="3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 w:line="240"/>
              <w:jc w:val="left"/>
            </w:pPr>
            <w:r>
              <w:rPr>
                <w:sz w:val="20"/>
                <w:szCs w:val="20"/>
              </w:rPr>
              <w:t xml:space="preserve">Limitar a janela de uso indevido dos códigos</w:t>
            </w:r>
          </w:p>
        </w:tc>
        <w:tc>
          <w:tcPr>
            <w:tcW w:type="dxa" w:w="10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 w:line="240"/>
              <w:jc w:val="left"/>
            </w:pPr>
            <w:r>
              <w:rPr>
                <w:sz w:val="20"/>
                <w:szCs w:val="20"/>
              </w:rPr>
              <w:t xml:space="preserve">Art. 46</w:t>
            </w:r>
          </w:p>
        </w:tc>
        <w:tc>
          <w:tcPr>
            <w:tcW w:type="dxa" w:w="23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auth.service.js:8</w:t>
            </w:r>
          </w:p>
          <w:p>
            <w:pPr>
              <w:spacing w:after="40" w:before="4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auth.service.js:303</w:t>
            </w:r>
          </w:p>
        </w:tc>
      </w:tr>
      <w:tr>
        <w:trPr>
          <w:cantSplit/>
        </w:trPr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 w:line="240"/>
              <w:jc w:val="left"/>
            </w:pPr>
            <w:r>
              <w:rPr>
                <w:sz w:val="20"/>
                <w:szCs w:val="20"/>
              </w:rPr>
              <w:t xml:space="preserve">Respostas genéricas na recuperação de senha</w:t>
            </w:r>
          </w:p>
        </w:tc>
        <w:tc>
          <w:tcPr>
            <w:tcW w:type="dxa" w:w="3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 w:line="240"/>
              <w:jc w:val="left"/>
            </w:pPr>
            <w:r>
              <w:rPr>
                <w:sz w:val="20"/>
                <w:szCs w:val="20"/>
              </w:rPr>
              <w:t xml:space="preserve">Não revelar quais e-mails possuem conta</w:t>
            </w:r>
          </w:p>
        </w:tc>
        <w:tc>
          <w:tcPr>
            <w:tcW w:type="dxa" w:w="10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 w:line="240"/>
              <w:jc w:val="left"/>
            </w:pPr>
            <w:r>
              <w:rPr>
                <w:sz w:val="20"/>
                <w:szCs w:val="20"/>
              </w:rPr>
              <w:t xml:space="preserve">Art. 46</w:t>
            </w:r>
          </w:p>
        </w:tc>
        <w:tc>
          <w:tcPr>
            <w:tcW w:type="dxa" w:w="23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auth.service.js:252</w:t>
            </w:r>
          </w:p>
        </w:tc>
      </w:tr>
      <w:tr>
        <w:trPr>
          <w:cantSplit/>
        </w:trPr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 w:line="240"/>
              <w:jc w:val="left"/>
            </w:pPr>
            <w:r>
              <w:rPr>
                <w:sz w:val="20"/>
                <w:szCs w:val="20"/>
              </w:rPr>
              <w:t xml:space="preserve">Token JWT com validade de 7 dias e segredo em variável de ambiente</w:t>
            </w:r>
          </w:p>
        </w:tc>
        <w:tc>
          <w:tcPr>
            <w:tcW w:type="dxa" w:w="3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 w:line="240"/>
              <w:jc w:val="left"/>
            </w:pPr>
            <w:r>
              <w:rPr>
                <w:sz w:val="20"/>
                <w:szCs w:val="20"/>
              </w:rPr>
              <w:t xml:space="preserve">Limitar a duração das sessões e proteger a chave de assinatura</w:t>
            </w:r>
          </w:p>
        </w:tc>
        <w:tc>
          <w:tcPr>
            <w:tcW w:type="dxa" w:w="10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 w:line="240"/>
              <w:jc w:val="left"/>
            </w:pPr>
            <w:r>
              <w:rPr>
                <w:sz w:val="20"/>
                <w:szCs w:val="20"/>
              </w:rPr>
              <w:t xml:space="preserve">Art. 46</w:t>
            </w:r>
          </w:p>
        </w:tc>
        <w:tc>
          <w:tcPr>
            <w:tcW w:type="dxa" w:w="23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utils/jwt.js:4</w:t>
            </w:r>
          </w:p>
        </w:tc>
      </w:tr>
      <w:tr>
        <w:trPr>
          <w:cantSplit/>
        </w:trPr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 w:line="240"/>
              <w:jc w:val="left"/>
            </w:pPr>
            <w:r>
              <w:rPr>
                <w:sz w:val="20"/>
                <w:szCs w:val="20"/>
              </w:rPr>
              <w:t xml:space="preserve">Autenticação em todas as rotas com dados do usuário; identificador obtido do token</w:t>
            </w:r>
          </w:p>
        </w:tc>
        <w:tc>
          <w:tcPr>
            <w:tcW w:type="dxa" w:w="3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 w:line="240"/>
              <w:jc w:val="left"/>
            </w:pPr>
            <w:r>
              <w:rPr>
                <w:sz w:val="20"/>
                <w:szCs w:val="20"/>
              </w:rPr>
              <w:t xml:space="preserve">Impedir que um usuário acesse dados de outro alterando um identificador na URL</w:t>
            </w:r>
          </w:p>
        </w:tc>
        <w:tc>
          <w:tcPr>
            <w:tcW w:type="dxa" w:w="10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 w:line="240"/>
              <w:jc w:val="left"/>
            </w:pPr>
            <w:r>
              <w:rPr>
                <w:sz w:val="20"/>
                <w:szCs w:val="20"/>
              </w:rPr>
              <w:t xml:space="preserve">Art. 46</w:t>
            </w:r>
          </w:p>
        </w:tc>
        <w:tc>
          <w:tcPr>
            <w:tcW w:type="dxa" w:w="23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auth.middleware.js:36</w:t>
            </w:r>
          </w:p>
          <w:p>
            <w:pPr>
              <w:spacing w:after="40" w:before="4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personagem.service.js:60</w:t>
            </w:r>
          </w:p>
        </w:tc>
      </w:tr>
      <w:tr>
        <w:trPr>
          <w:cantSplit/>
        </w:trPr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 w:line="240"/>
              <w:jc w:val="left"/>
            </w:pPr>
            <w:r>
              <w:rPr>
                <w:sz w:val="20"/>
                <w:szCs w:val="20"/>
              </w:rPr>
              <w:t xml:space="preserve">Conta excluída perde o acesso imediatamente</w:t>
            </w:r>
          </w:p>
        </w:tc>
        <w:tc>
          <w:tcPr>
            <w:tcW w:type="dxa" w:w="3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 w:line="240"/>
              <w:jc w:val="left"/>
            </w:pPr>
            <w:r>
              <w:rPr>
                <w:sz w:val="20"/>
                <w:szCs w:val="20"/>
              </w:rPr>
              <w:t xml:space="preserve">Encerrar o tratamento quando o titular exclui a conta</w:t>
            </w:r>
          </w:p>
        </w:tc>
        <w:tc>
          <w:tcPr>
            <w:tcW w:type="dxa" w:w="10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 w:line="240"/>
              <w:jc w:val="left"/>
            </w:pPr>
            <w:r>
              <w:rPr>
                <w:sz w:val="20"/>
                <w:szCs w:val="20"/>
              </w:rPr>
              <w:t xml:space="preserve">Arts. 15 e 46</w:t>
            </w:r>
          </w:p>
        </w:tc>
        <w:tc>
          <w:tcPr>
            <w:tcW w:type="dxa" w:w="23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auth.middleware.js:30</w:t>
            </w:r>
          </w:p>
        </w:tc>
      </w:tr>
      <w:tr>
        <w:trPr>
          <w:cantSplit/>
        </w:trPr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 w:line="240"/>
              <w:jc w:val="left"/>
            </w:pPr>
            <w:r>
              <w:rPr>
                <w:sz w:val="20"/>
                <w:szCs w:val="20"/>
              </w:rPr>
              <w:t xml:space="preserve">Papel de administrador conferido no banco a cada requisição</w:t>
            </w:r>
          </w:p>
        </w:tc>
        <w:tc>
          <w:tcPr>
            <w:tcW w:type="dxa" w:w="3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 w:line="240"/>
              <w:jc w:val="left"/>
            </w:pPr>
            <w:r>
              <w:rPr>
                <w:sz w:val="20"/>
                <w:szCs w:val="20"/>
              </w:rPr>
              <w:t xml:space="preserve">Restringir as telas administrativas a pessoas autorizadas</w:t>
            </w:r>
          </w:p>
        </w:tc>
        <w:tc>
          <w:tcPr>
            <w:tcW w:type="dxa" w:w="10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 w:line="240"/>
              <w:jc w:val="left"/>
            </w:pPr>
            <w:r>
              <w:rPr>
                <w:sz w:val="20"/>
                <w:szCs w:val="20"/>
              </w:rPr>
              <w:t xml:space="preserve">Art. 46</w:t>
            </w:r>
          </w:p>
        </w:tc>
        <w:tc>
          <w:tcPr>
            <w:tcW w:type="dxa" w:w="23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admin.routes.js:28</w:t>
            </w:r>
          </w:p>
          <w:p>
            <w:pPr>
              <w:spacing w:after="40" w:before="4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admin.middleware.js:16</w:t>
            </w:r>
          </w:p>
        </w:tc>
      </w:tr>
      <w:tr>
        <w:trPr>
          <w:cantSplit/>
        </w:trPr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 w:line="240"/>
              <w:jc w:val="left"/>
            </w:pPr>
            <w:r>
              <w:rPr>
                <w:sz w:val="20"/>
                <w:szCs w:val="20"/>
              </w:rPr>
              <w:t xml:space="preserve">Rotas protegidas na interface e encerramento automático de sessão inválida</w:t>
            </w:r>
          </w:p>
        </w:tc>
        <w:tc>
          <w:tcPr>
            <w:tcW w:type="dxa" w:w="3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 w:line="240"/>
              <w:jc w:val="left"/>
            </w:pPr>
            <w:r>
              <w:rPr>
                <w:sz w:val="20"/>
                <w:szCs w:val="20"/>
              </w:rPr>
              <w:t xml:space="preserve">Impedir o acesso às telas internas digitando a URL</w:t>
            </w:r>
          </w:p>
        </w:tc>
        <w:tc>
          <w:tcPr>
            <w:tcW w:type="dxa" w:w="10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 w:line="240"/>
              <w:jc w:val="left"/>
            </w:pPr>
            <w:r>
              <w:rPr>
                <w:sz w:val="20"/>
                <w:szCs w:val="20"/>
              </w:rPr>
              <w:t xml:space="preserve">Art. 46</w:t>
            </w:r>
          </w:p>
        </w:tc>
        <w:tc>
          <w:tcPr>
            <w:tcW w:type="dxa" w:w="23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Rotas.jsx:33</w:t>
            </w:r>
          </w:p>
          <w:p>
            <w:pPr>
              <w:spacing w:after="40" w:before="4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services/api.js:24</w:t>
            </w:r>
          </w:p>
        </w:tc>
      </w:tr>
      <w:tr>
        <w:trPr>
          <w:cantSplit/>
        </w:trPr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 w:line="240"/>
              <w:jc w:val="left"/>
            </w:pPr>
            <w:r>
              <w:rPr>
                <w:sz w:val="20"/>
                <w:szCs w:val="20"/>
              </w:rPr>
              <w:t xml:space="preserve">Limite de tentativas por IP em login, códigos e envio de e-mail</w:t>
            </w:r>
          </w:p>
        </w:tc>
        <w:tc>
          <w:tcPr>
            <w:tcW w:type="dxa" w:w="3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 w:line="240"/>
              <w:jc w:val="left"/>
            </w:pPr>
            <w:r>
              <w:rPr>
                <w:sz w:val="20"/>
                <w:szCs w:val="20"/>
              </w:rPr>
              <w:t xml:space="preserve">Impedir ataques de força bruta e envio de e-mails em massa</w:t>
            </w:r>
          </w:p>
        </w:tc>
        <w:tc>
          <w:tcPr>
            <w:tcW w:type="dxa" w:w="10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 w:line="240"/>
              <w:jc w:val="left"/>
            </w:pPr>
            <w:r>
              <w:rPr>
                <w:sz w:val="20"/>
                <w:szCs w:val="20"/>
              </w:rPr>
              <w:t xml:space="preserve">Art. 46</w:t>
            </w:r>
          </w:p>
        </w:tc>
        <w:tc>
          <w:tcPr>
            <w:tcW w:type="dxa" w:w="23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rateLimit.middleware.js:24</w:t>
            </w:r>
          </w:p>
        </w:tc>
      </w:tr>
      <w:tr>
        <w:trPr>
          <w:cantSplit/>
        </w:trPr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 w:line="240"/>
              <w:jc w:val="left"/>
            </w:pPr>
            <w:r>
              <w:rPr>
                <w:sz w:val="20"/>
                <w:szCs w:val="20"/>
              </w:rPr>
              <w:t xml:space="preserve">Validação de todos os campos de entrada (27 rotas)</w:t>
            </w:r>
          </w:p>
        </w:tc>
        <w:tc>
          <w:tcPr>
            <w:tcW w:type="dxa" w:w="3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 w:line="240"/>
              <w:jc w:val="left"/>
            </w:pPr>
            <w:r>
              <w:rPr>
                <w:sz w:val="20"/>
                <w:szCs w:val="20"/>
              </w:rPr>
              <w:t xml:space="preserve">Recusar dados malformados e tentativas de injeção</w:t>
            </w:r>
          </w:p>
        </w:tc>
        <w:tc>
          <w:tcPr>
            <w:tcW w:type="dxa" w:w="10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 w:line="240"/>
              <w:jc w:val="left"/>
            </w:pPr>
            <w:r>
              <w:rPr>
                <w:sz w:val="20"/>
                <w:szCs w:val="20"/>
              </w:rPr>
              <w:t xml:space="preserve">Arts. 6º, III e 46</w:t>
            </w:r>
          </w:p>
        </w:tc>
        <w:tc>
          <w:tcPr>
            <w:tcW w:type="dxa" w:w="23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validacoes/regras.js</w:t>
            </w:r>
          </w:p>
          <w:p>
            <w:pPr>
              <w:spacing w:after="40" w:before="4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validacoes/esquemas.js</w:t>
            </w:r>
          </w:p>
        </w:tc>
      </w:tr>
      <w:tr>
        <w:trPr>
          <w:cantSplit/>
        </w:trPr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 w:line="240"/>
              <w:jc w:val="left"/>
            </w:pPr>
            <w:r>
              <w:rPr>
                <w:sz w:val="20"/>
                <w:szCs w:val="20"/>
              </w:rPr>
              <w:t xml:space="preserve">Senha nova com no mínimo 8 caracteres e no máximo 72 bytes</w:t>
            </w:r>
          </w:p>
        </w:tc>
        <w:tc>
          <w:tcPr>
            <w:tcW w:type="dxa" w:w="3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 w:line="240"/>
              <w:jc w:val="left"/>
            </w:pPr>
            <w:r>
              <w:rPr>
                <w:sz w:val="20"/>
                <w:szCs w:val="20"/>
              </w:rPr>
              <w:t xml:space="preserve">Garantir senhas fortes, dentro do limite processado pelo bcrypt</w:t>
            </w:r>
          </w:p>
        </w:tc>
        <w:tc>
          <w:tcPr>
            <w:tcW w:type="dxa" w:w="10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 w:line="240"/>
              <w:jc w:val="left"/>
            </w:pPr>
            <w:r>
              <w:rPr>
                <w:sz w:val="20"/>
                <w:szCs w:val="20"/>
              </w:rPr>
              <w:t xml:space="preserve">Art. 46</w:t>
            </w:r>
          </w:p>
        </w:tc>
        <w:tc>
          <w:tcPr>
            <w:tcW w:type="dxa" w:w="23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regras.js:96</w:t>
            </w:r>
          </w:p>
          <w:p>
            <w:pPr>
              <w:spacing w:after="40" w:before="4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regras.js:110</w:t>
            </w:r>
          </w:p>
        </w:tc>
      </w:tr>
      <w:tr>
        <w:trPr>
          <w:cantSplit/>
        </w:trPr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 w:line="240"/>
              <w:jc w:val="left"/>
            </w:pPr>
            <w:r>
              <w:rPr>
                <w:sz w:val="20"/>
                <w:szCs w:val="20"/>
              </w:rPr>
              <w:t xml:space="preserve">Cabeçalhos de segurança (helmet) e CORS restrito à origem do frontend</w:t>
            </w:r>
          </w:p>
        </w:tc>
        <w:tc>
          <w:tcPr>
            <w:tcW w:type="dxa" w:w="3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 w:line="240"/>
              <w:jc w:val="left"/>
            </w:pPr>
            <w:r>
              <w:rPr>
                <w:sz w:val="20"/>
                <w:szCs w:val="20"/>
              </w:rPr>
              <w:t xml:space="preserve">Reduzir a superfície de ataque no navegador</w:t>
            </w:r>
          </w:p>
        </w:tc>
        <w:tc>
          <w:tcPr>
            <w:tcW w:type="dxa" w:w="10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 w:line="240"/>
              <w:jc w:val="left"/>
            </w:pPr>
            <w:r>
              <w:rPr>
                <w:sz w:val="20"/>
                <w:szCs w:val="20"/>
              </w:rPr>
              <w:t xml:space="preserve">Art. 46</w:t>
            </w:r>
          </w:p>
        </w:tc>
        <w:tc>
          <w:tcPr>
            <w:tcW w:type="dxa" w:w="23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app.js:13</w:t>
            </w:r>
          </w:p>
          <w:p>
            <w:pPr>
              <w:spacing w:after="40" w:before="4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app.js:23</w:t>
            </w:r>
          </w:p>
        </w:tc>
      </w:tr>
      <w:tr>
        <w:trPr>
          <w:cantSplit/>
        </w:trPr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 w:line="240"/>
              <w:jc w:val="left"/>
            </w:pPr>
            <w:r>
              <w:rPr>
                <w:sz w:val="20"/>
                <w:szCs w:val="20"/>
              </w:rPr>
              <w:t xml:space="preserve">Mensagens de erro sem detalhes internos</w:t>
            </w:r>
          </w:p>
        </w:tc>
        <w:tc>
          <w:tcPr>
            <w:tcW w:type="dxa" w:w="3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 w:line="240"/>
              <w:jc w:val="left"/>
            </w:pPr>
            <w:r>
              <w:rPr>
                <w:sz w:val="20"/>
                <w:szCs w:val="20"/>
              </w:rPr>
              <w:t xml:space="preserve">Não expor estrutura do banco ou do servidor</w:t>
            </w:r>
          </w:p>
        </w:tc>
        <w:tc>
          <w:tcPr>
            <w:tcW w:type="dxa" w:w="10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 w:line="240"/>
              <w:jc w:val="left"/>
            </w:pPr>
            <w:r>
              <w:rPr>
                <w:sz w:val="20"/>
                <w:szCs w:val="20"/>
              </w:rPr>
              <w:t xml:space="preserve">Art. 46</w:t>
            </w:r>
          </w:p>
        </w:tc>
        <w:tc>
          <w:tcPr>
            <w:tcW w:type="dxa" w:w="23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error.middleware.js:5</w:t>
            </w:r>
          </w:p>
        </w:tc>
      </w:tr>
      <w:tr>
        <w:trPr>
          <w:cantSplit/>
        </w:trPr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 w:line="240"/>
              <w:jc w:val="left"/>
            </w:pPr>
            <w:r>
              <w:rPr>
                <w:sz w:val="20"/>
                <w:szCs w:val="20"/>
              </w:rPr>
              <w:t xml:space="preserve">Arquivo de credenciais fora do versionamento</w:t>
            </w:r>
          </w:p>
        </w:tc>
        <w:tc>
          <w:tcPr>
            <w:tcW w:type="dxa" w:w="3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 w:line="240"/>
              <w:jc w:val="left"/>
            </w:pPr>
            <w:r>
              <w:rPr>
                <w:sz w:val="20"/>
                <w:szCs w:val="20"/>
              </w:rPr>
              <w:t xml:space="preserve">Evitar a publicação de senhas e chaves no repositório</w:t>
            </w:r>
          </w:p>
        </w:tc>
        <w:tc>
          <w:tcPr>
            <w:tcW w:type="dxa" w:w="10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 w:line="240"/>
              <w:jc w:val="left"/>
            </w:pPr>
            <w:r>
              <w:rPr>
                <w:sz w:val="20"/>
                <w:szCs w:val="20"/>
              </w:rPr>
              <w:t xml:space="preserve">Art. 46</w:t>
            </w:r>
          </w:p>
        </w:tc>
        <w:tc>
          <w:tcPr>
            <w:tcW w:type="dxa" w:w="23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backend/.gitignore:2</w:t>
            </w:r>
          </w:p>
        </w:tc>
      </w:tr>
      <w:tr>
        <w:trPr>
          <w:cantSplit/>
        </w:trPr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 w:line="240"/>
              <w:jc w:val="left"/>
            </w:pPr>
            <w:r>
              <w:rPr>
                <w:sz w:val="20"/>
                <w:szCs w:val="20"/>
              </w:rPr>
              <w:t xml:space="preserve">Proteção do corretor por IA contra manipulação e limite de 2.000 caracteres</w:t>
            </w:r>
          </w:p>
        </w:tc>
        <w:tc>
          <w:tcPr>
            <w:tcW w:type="dxa" w:w="3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 w:line="240"/>
              <w:jc w:val="left"/>
            </w:pPr>
            <w:r>
              <w:rPr>
                <w:sz w:val="20"/>
                <w:szCs w:val="20"/>
              </w:rPr>
              <w:t xml:space="preserve">Impedir que o texto do usuário altere o comportamento do corretor ou extraia o gabarito</w:t>
            </w:r>
          </w:p>
        </w:tc>
        <w:tc>
          <w:tcPr>
            <w:tcW w:type="dxa" w:w="10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 w:line="240"/>
              <w:jc w:val="left"/>
            </w:pPr>
            <w:r>
              <w:rPr>
                <w:sz w:val="20"/>
                <w:szCs w:val="20"/>
              </w:rPr>
              <w:t xml:space="preserve">Art. 46</w:t>
            </w:r>
          </w:p>
        </w:tc>
        <w:tc>
          <w:tcPr>
            <w:tcW w:type="dxa" w:w="23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ia.service.js:146</w:t>
            </w:r>
          </w:p>
          <w:p>
            <w:pPr>
              <w:spacing w:after="40" w:before="4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ia.service.js:154</w:t>
            </w:r>
          </w:p>
        </w:tc>
      </w:tr>
    </w:tbl>
    <w:p>
      <w:pPr>
        <w:spacing w:after="240" w:before="80" w:line="240"/>
      </w:pPr>
      <w:r>
        <w:rPr>
          <w:sz w:val="20"/>
          <w:szCs w:val="20"/>
        </w:rPr>
        <w:t xml:space="preserve">Fonte: Elaborado pelos autores (2026).</w:t>
      </w:r>
    </w:p>
    <w:p>
      <w:pPr>
        <w:spacing w:after="0" w:line="360"/>
        <w:ind w:firstLine="709"/>
        <w:jc w:val="both"/>
      </w:pPr>
      <w:r>
        <w:t xml:space="preserve">O histórico do repositório foi verificado em busca de credenciais (endereço do banco com senha, chaves de API e segredos de assinatura de token). Nenhum valor real foi encontrado: o único arquivo de variáveis de ambiente versionado no passado continha apenas campos vazios e foi removido posteriormente.</w:t>
      </w:r>
    </w:p>
    <w:p>
      <w:pPr>
        <w:spacing w:after="0" w:line="360"/>
        <w:ind w:firstLine="709"/>
        <w:jc w:val="both"/>
      </w:pPr>
      <w:r>
        <w:t xml:space="preserve">As medidas foram verificadas por meio dos testes resumidos no Quadro 4.</w:t>
      </w:r>
    </w:p>
    <w:p>
      <w:pPr>
        <w:keepNext/>
        <w:spacing w:after="120" w:before="240" w:line="240"/>
        <w:jc w:val="center"/>
      </w:pPr>
      <w:r>
        <w:rPr>
          <w:sz w:val="20"/>
          <w:szCs w:val="20"/>
        </w:rPr>
        <w:t xml:space="preserve">Quadro 4 – Testes de verificação das medidas de segurança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92"/>
        <w:gridCol w:w="2850"/>
        <w:gridCol w:w="1729"/>
      </w:tblGrid>
      <w:tr>
        <w:trPr>
          <w:cantSplit/>
          <w:tblHeader/>
        </w:trPr>
        <w:tc>
          <w:tcPr>
            <w:tcW w:type="dxa" w:w="44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Teste realizado</w:t>
            </w:r>
          </w:p>
        </w:tc>
        <w:tc>
          <w:tcPr>
            <w:tcW w:type="dxa" w:w="2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17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Resultado obtido</w:t>
            </w:r>
          </w:p>
        </w:tc>
      </w:tr>
      <w:tr>
        <w:trPr>
          <w:cantSplit/>
        </w:trPr>
        <w:tc>
          <w:tcPr>
            <w:tcW w:type="dxa" w:w="44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 w:line="240"/>
              <w:jc w:val="left"/>
            </w:pPr>
            <w:r>
              <w:rPr>
                <w:sz w:val="20"/>
                <w:szCs w:val="20"/>
              </w:rPr>
              <w:t xml:space="preserve">Acesso a rota privada sem token</w:t>
            </w:r>
          </w:p>
        </w:tc>
        <w:tc>
          <w:tcPr>
            <w:tcW w:type="dxa" w:w="2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 w:line="240"/>
              <w:jc w:val="left"/>
            </w:pPr>
            <w:r>
              <w:rPr>
                <w:sz w:val="20"/>
                <w:szCs w:val="20"/>
              </w:rPr>
              <w:t xml:space="preserve">Recusa (401)</w:t>
            </w:r>
          </w:p>
        </w:tc>
        <w:tc>
          <w:tcPr>
            <w:tcW w:type="dxa" w:w="17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 w:line="240"/>
              <w:jc w:val="left"/>
            </w:pPr>
            <w:r>
              <w:rPr>
                <w:sz w:val="20"/>
                <w:szCs w:val="20"/>
              </w:rPr>
              <w:t xml:space="preserve">401 – Token não informado</w:t>
            </w:r>
          </w:p>
        </w:tc>
      </w:tr>
      <w:tr>
        <w:trPr>
          <w:cantSplit/>
        </w:trPr>
        <w:tc>
          <w:tcPr>
            <w:tcW w:type="dxa" w:w="44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 w:line="240"/>
              <w:jc w:val="left"/>
            </w:pPr>
            <w:r>
              <w:rPr>
                <w:sz w:val="20"/>
                <w:szCs w:val="20"/>
              </w:rPr>
              <w:t xml:space="preserve">Cadastro com nome de 1 caractere, e-mail sem domínio, senha fraca e idade inferior a 13 anos</w:t>
            </w:r>
          </w:p>
        </w:tc>
        <w:tc>
          <w:tcPr>
            <w:tcW w:type="dxa" w:w="2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 w:line="240"/>
              <w:jc w:val="left"/>
            </w:pPr>
            <w:r>
              <w:rPr>
                <w:sz w:val="20"/>
                <w:szCs w:val="20"/>
              </w:rPr>
              <w:t xml:space="preserve">Recusa (400) com mensagem explicativa</w:t>
            </w:r>
          </w:p>
        </w:tc>
        <w:tc>
          <w:tcPr>
            <w:tcW w:type="dxa" w:w="17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 w:line="240"/>
              <w:jc w:val="left"/>
            </w:pPr>
            <w:r>
              <w:rPr>
                <w:sz w:val="20"/>
                <w:szCs w:val="20"/>
              </w:rPr>
              <w:t xml:space="preserve">400 em todos os casos</w:t>
            </w:r>
          </w:p>
        </w:tc>
      </w:tr>
      <w:tr>
        <w:trPr>
          <w:cantSplit/>
        </w:trPr>
        <w:tc>
          <w:tcPr>
            <w:tcW w:type="dxa" w:w="44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 w:line="240"/>
              <w:jc w:val="left"/>
            </w:pPr>
            <w:r>
              <w:rPr>
                <w:sz w:val="20"/>
                <w:szCs w:val="20"/>
              </w:rPr>
              <w:t xml:space="preserve">Login enviando um objeto no lugar do e-mail (tentativa de injeção)</w:t>
            </w:r>
          </w:p>
        </w:tc>
        <w:tc>
          <w:tcPr>
            <w:tcW w:type="dxa" w:w="2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 w:line="240"/>
              <w:jc w:val="left"/>
            </w:pPr>
            <w:r>
              <w:rPr>
                <w:sz w:val="20"/>
                <w:szCs w:val="20"/>
              </w:rPr>
              <w:t xml:space="preserve">Recusa (400)</w:t>
            </w:r>
          </w:p>
        </w:tc>
        <w:tc>
          <w:tcPr>
            <w:tcW w:type="dxa" w:w="17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 w:line="240"/>
              <w:jc w:val="left"/>
            </w:pPr>
            <w:r>
              <w:rPr>
                <w:sz w:val="20"/>
                <w:szCs w:val="20"/>
              </w:rPr>
              <w:t xml:space="preserve">400 – Informe um e-mail válido</w:t>
            </w:r>
          </w:p>
        </w:tc>
      </w:tr>
      <w:tr>
        <w:trPr>
          <w:cantSplit/>
        </w:trPr>
        <w:tc>
          <w:tcPr>
            <w:tcW w:type="dxa" w:w="44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 w:line="240"/>
              <w:jc w:val="left"/>
            </w:pPr>
            <w:r>
              <w:rPr>
                <w:sz w:val="20"/>
                <w:szCs w:val="20"/>
              </w:rPr>
              <w:t xml:space="preserve">Cadastro com campos extras (role: administrador, xpTotal)</w:t>
            </w:r>
          </w:p>
        </w:tc>
        <w:tc>
          <w:tcPr>
            <w:tcW w:type="dxa" w:w="2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 w:line="240"/>
              <w:jc w:val="left"/>
            </w:pPr>
            <w:r>
              <w:rPr>
                <w:sz w:val="20"/>
                <w:szCs w:val="20"/>
              </w:rPr>
              <w:t xml:space="preserve">Campos descartados</w:t>
            </w:r>
          </w:p>
        </w:tc>
        <w:tc>
          <w:tcPr>
            <w:tcW w:type="dxa" w:w="17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 w:line="240"/>
              <w:jc w:val="left"/>
            </w:pPr>
            <w:r>
              <w:rPr>
                <w:sz w:val="20"/>
                <w:szCs w:val="20"/>
              </w:rPr>
              <w:t xml:space="preserve">Campos descartados</w:t>
            </w:r>
          </w:p>
        </w:tc>
      </w:tr>
      <w:tr>
        <w:trPr>
          <w:cantSplit/>
        </w:trPr>
        <w:tc>
          <w:tcPr>
            <w:tcW w:type="dxa" w:w="44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 w:line="240"/>
              <w:jc w:val="left"/>
            </w:pPr>
            <w:r>
              <w:rPr>
                <w:sz w:val="20"/>
                <w:szCs w:val="20"/>
              </w:rPr>
              <w:t xml:space="preserve">Identificador não numérico ou acima do limite do banco</w:t>
            </w:r>
          </w:p>
        </w:tc>
        <w:tc>
          <w:tcPr>
            <w:tcW w:type="dxa" w:w="2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 w:line="240"/>
              <w:jc w:val="left"/>
            </w:pPr>
            <w:r>
              <w:rPr>
                <w:sz w:val="20"/>
                <w:szCs w:val="20"/>
              </w:rPr>
              <w:t xml:space="preserve">Recusa (400)</w:t>
            </w:r>
          </w:p>
        </w:tc>
        <w:tc>
          <w:tcPr>
            <w:tcW w:type="dxa" w:w="17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 w:line="240"/>
              <w:jc w:val="left"/>
            </w:pPr>
            <w:r>
              <w:rPr>
                <w:sz w:val="20"/>
                <w:szCs w:val="20"/>
              </w:rPr>
              <w:t xml:space="preserve">400 (anteriormente erro 500)</w:t>
            </w:r>
          </w:p>
        </w:tc>
      </w:tr>
      <w:tr>
        <w:trPr>
          <w:cantSplit/>
        </w:trPr>
        <w:tc>
          <w:tcPr>
            <w:tcW w:type="dxa" w:w="44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 w:line="240"/>
              <w:jc w:val="left"/>
            </w:pPr>
            <w:r>
              <w:rPr>
                <w:sz w:val="20"/>
                <w:szCs w:val="20"/>
              </w:rPr>
              <w:t xml:space="preserve">11 códigos de verificação incorretos seguidos</w:t>
            </w:r>
          </w:p>
        </w:tc>
        <w:tc>
          <w:tcPr>
            <w:tcW w:type="dxa" w:w="2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 w:line="240"/>
              <w:jc w:val="left"/>
            </w:pPr>
            <w:r>
              <w:rPr>
                <w:sz w:val="20"/>
                <w:szCs w:val="20"/>
              </w:rPr>
              <w:t xml:space="preserve">Bloqueio temporário (429)</w:t>
            </w:r>
          </w:p>
        </w:tc>
        <w:tc>
          <w:tcPr>
            <w:tcW w:type="dxa" w:w="17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 w:line="240"/>
              <w:jc w:val="left"/>
            </w:pPr>
            <w:r>
              <w:rPr>
                <w:sz w:val="20"/>
                <w:szCs w:val="20"/>
              </w:rPr>
              <w:t xml:space="preserve">429 na 11ª tentativa</w:t>
            </w:r>
          </w:p>
        </w:tc>
      </w:tr>
      <w:tr>
        <w:trPr>
          <w:cantSplit/>
        </w:trPr>
        <w:tc>
          <w:tcPr>
            <w:tcW w:type="dxa" w:w="44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 w:line="240"/>
              <w:jc w:val="left"/>
            </w:pPr>
            <w:r>
              <w:rPr>
                <w:sz w:val="20"/>
                <w:szCs w:val="20"/>
              </w:rPr>
              <w:t xml:space="preserve">Requisição vinda de origem não autorizada</w:t>
            </w:r>
          </w:p>
        </w:tc>
        <w:tc>
          <w:tcPr>
            <w:tcW w:type="dxa" w:w="2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 w:line="240"/>
              <w:jc w:val="left"/>
            </w:pPr>
            <w:r>
              <w:rPr>
                <w:sz w:val="20"/>
                <w:szCs w:val="20"/>
              </w:rPr>
              <w:t xml:space="preserve">Sem permissão de CORS</w:t>
            </w:r>
          </w:p>
        </w:tc>
        <w:tc>
          <w:tcPr>
            <w:tcW w:type="dxa" w:w="17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 w:line="240"/>
              <w:jc w:val="left"/>
            </w:pPr>
            <w:r>
              <w:rPr>
                <w:sz w:val="20"/>
                <w:szCs w:val="20"/>
              </w:rPr>
              <w:t xml:space="preserve">Bloqueada</w:t>
            </w:r>
          </w:p>
        </w:tc>
      </w:tr>
      <w:tr>
        <w:trPr>
          <w:cantSplit/>
        </w:trPr>
        <w:tc>
          <w:tcPr>
            <w:tcW w:type="dxa" w:w="44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 w:line="240"/>
              <w:jc w:val="left"/>
            </w:pPr>
            <w:r>
              <w:rPr>
                <w:sz w:val="20"/>
                <w:szCs w:val="20"/>
              </w:rPr>
              <w:t xml:space="preserve">Presença dos cabeçalhos de segurança</w:t>
            </w:r>
          </w:p>
        </w:tc>
        <w:tc>
          <w:tcPr>
            <w:tcW w:type="dxa" w:w="2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 w:line="240"/>
              <w:jc w:val="left"/>
            </w:pPr>
            <w:r>
              <w:rPr>
                <w:sz w:val="20"/>
                <w:szCs w:val="20"/>
              </w:rPr>
              <w:t xml:space="preserve">Cabeçalhos presentes</w:t>
            </w:r>
          </w:p>
        </w:tc>
        <w:tc>
          <w:tcPr>
            <w:tcW w:type="dxa" w:w="17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 w:line="240"/>
              <w:jc w:val="left"/>
            </w:pPr>
            <w:r>
              <w:rPr>
                <w:sz w:val="20"/>
                <w:szCs w:val="20"/>
              </w:rPr>
              <w:t xml:space="preserve">X-Frame-Options, X-Content-Type-Options e Strict-Transport-Security presentes</w:t>
            </w:r>
          </w:p>
        </w:tc>
      </w:tr>
      <w:tr>
        <w:trPr>
          <w:cantSplit/>
        </w:trPr>
        <w:tc>
          <w:tcPr>
            <w:tcW w:type="dxa" w:w="44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 w:line="240"/>
              <w:jc w:val="left"/>
            </w:pPr>
            <w:r>
              <w:rPr>
                <w:sz w:val="20"/>
                <w:szCs w:val="20"/>
              </w:rPr>
              <w:t xml:space="preserve">13 tentativas de manipulação do corretor por IA e 6 respostas legítimas</w:t>
            </w:r>
          </w:p>
        </w:tc>
        <w:tc>
          <w:tcPr>
            <w:tcW w:type="dxa" w:w="2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 w:line="240"/>
              <w:jc w:val="left"/>
            </w:pPr>
            <w:r>
              <w:rPr>
                <w:sz w:val="20"/>
                <w:szCs w:val="20"/>
              </w:rPr>
              <w:t xml:space="preserve">Manipulações barradas; respostas legítimas aceitas</w:t>
            </w:r>
          </w:p>
        </w:tc>
        <w:tc>
          <w:tcPr>
            <w:tcW w:type="dxa" w:w="17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 w:line="240"/>
              <w:jc w:val="left"/>
            </w:pPr>
            <w:r>
              <w:rPr>
                <w:sz w:val="20"/>
                <w:szCs w:val="20"/>
              </w:rPr>
              <w:t xml:space="preserve">13 barradas e 6 aceitas</w:t>
            </w:r>
          </w:p>
        </w:tc>
      </w:tr>
      <w:tr>
        <w:trPr>
          <w:cantSplit/>
        </w:trPr>
        <w:tc>
          <w:tcPr>
            <w:tcW w:type="dxa" w:w="44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 w:line="240"/>
              <w:jc w:val="left"/>
            </w:pPr>
            <w:r>
              <w:rPr>
                <w:sz w:val="20"/>
                <w:szCs w:val="20"/>
              </w:rPr>
              <w:t xml:space="preserve">37 casos de validação de campos (válidos e inválidos)</w:t>
            </w:r>
          </w:p>
        </w:tc>
        <w:tc>
          <w:tcPr>
            <w:tcW w:type="dxa" w:w="2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 w:line="240"/>
              <w:jc w:val="left"/>
            </w:pPr>
            <w:r>
              <w:rPr>
                <w:sz w:val="20"/>
                <w:szCs w:val="20"/>
              </w:rPr>
              <w:t xml:space="preserve">Comportamento conforme a regra</w:t>
            </w:r>
          </w:p>
        </w:tc>
        <w:tc>
          <w:tcPr>
            <w:tcW w:type="dxa" w:w="17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 w:line="240"/>
              <w:jc w:val="left"/>
            </w:pPr>
            <w:r>
              <w:rPr>
                <w:sz w:val="20"/>
                <w:szCs w:val="20"/>
              </w:rPr>
              <w:t xml:space="preserve">37 aprovados</w:t>
            </w:r>
          </w:p>
        </w:tc>
      </w:tr>
    </w:tbl>
    <w:p>
      <w:pPr>
        <w:spacing w:after="240" w:before="80" w:line="240"/>
      </w:pPr>
      <w:r>
        <w:rPr>
          <w:sz w:val="20"/>
          <w:szCs w:val="20"/>
        </w:rPr>
        <w:t xml:space="preserve">Fonte: Elaborado pelos autores (2026).</w:t>
      </w:r>
    </w:p>
    <w:p>
      <w:pPr>
        <w:pStyle w:val="Heading2"/>
      </w:pPr>
      <w:r>
        <w:t xml:space="preserve">4.3 Direitos do titular (art. 18)</w:t>
      </w:r>
    </w:p>
    <w:p>
      <w:pPr>
        <w:spacing w:after="0" w:line="360"/>
        <w:ind w:firstLine="709"/>
        <w:jc w:val="both"/>
      </w:pPr>
      <w:r>
        <w:t xml:space="preserve">O Quadro 5 apresenta os direitos do titular atendidos por funcionalidades disponíveis ao próprio usuário, sem necessidade de intervenção da equipe.</w:t>
      </w:r>
    </w:p>
    <w:p>
      <w:pPr>
        <w:keepNext/>
        <w:spacing w:after="120" w:before="240" w:line="240"/>
        <w:jc w:val="center"/>
      </w:pPr>
      <w:r>
        <w:rPr>
          <w:sz w:val="20"/>
          <w:szCs w:val="20"/>
        </w:rPr>
        <w:t xml:space="preserve">Quadro 5 – Direitos do titular atendidos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24"/>
        <w:gridCol w:w="4621"/>
        <w:gridCol w:w="2226"/>
      </w:tblGrid>
      <w:tr>
        <w:trPr>
          <w:cantSplit/>
          <w:tblHeader/>
        </w:trPr>
        <w:tc>
          <w:tcPr>
            <w:tcW w:type="dxa" w:w="22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Direito</w:t>
            </w:r>
          </w:p>
        </w:tc>
        <w:tc>
          <w:tcPr>
            <w:tcW w:type="dxa" w:w="46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Como o sistema atende</w:t>
            </w:r>
          </w:p>
        </w:tc>
        <w:tc>
          <w:tcPr>
            <w:tcW w:type="dxa" w:w="2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Evidência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 w:line="240"/>
              <w:jc w:val="left"/>
            </w:pPr>
            <w:r>
              <w:rPr>
                <w:sz w:val="20"/>
                <w:szCs w:val="20"/>
              </w:rPr>
              <w:t xml:space="preserve">Confirmação e acesso (I e II)</w:t>
            </w:r>
          </w:p>
        </w:tc>
        <w:tc>
          <w:tcPr>
            <w:tcW w:type="dxa" w:w="46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 w:line="240"/>
              <w:jc w:val="left"/>
            </w:pPr>
            <w:r>
              <w:rPr>
                <w:sz w:val="20"/>
                <w:szCs w:val="20"/>
              </w:rPr>
              <w:t xml:space="preserve">As telas Perfil e Minha Conta exibem os dados da conta, o progresso, o XP e o personagem do próprio usuário.</w:t>
            </w:r>
          </w:p>
        </w:tc>
        <w:tc>
          <w:tcPr>
            <w:tcW w:type="dxa" w:w="2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conta.service.js:69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 w:line="240"/>
              <w:jc w:val="left"/>
            </w:pPr>
            <w:r>
              <w:rPr>
                <w:sz w:val="20"/>
                <w:szCs w:val="20"/>
              </w:rPr>
              <w:t xml:space="preserve">Correção (III)</w:t>
            </w:r>
          </w:p>
        </w:tc>
        <w:tc>
          <w:tcPr>
            <w:tcW w:type="dxa" w:w="46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 w:line="240"/>
              <w:jc w:val="left"/>
            </w:pPr>
            <w:r>
              <w:rPr>
                <w:sz w:val="20"/>
                <w:szCs w:val="20"/>
              </w:rPr>
              <w:t xml:space="preserve">O usuário altera o próprio nome e e-mail na tela Minha Conta. A troca de e-mail exige a senha atual e só é efetivada após a confirmação de um código enviado ao novo endereço, evitando a perda da conta por erro de digitação.</w:t>
            </w:r>
          </w:p>
        </w:tc>
        <w:tc>
          <w:tcPr>
            <w:tcW w:type="dxa" w:w="2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conta.service.js:103</w:t>
            </w:r>
          </w:p>
          <w:p>
            <w:pPr>
              <w:spacing w:after="40" w:before="4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conta.service.js:117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 w:line="240"/>
              <w:jc w:val="left"/>
            </w:pPr>
            <w:r>
              <w:rPr>
                <w:sz w:val="20"/>
                <w:szCs w:val="20"/>
              </w:rPr>
              <w:t xml:space="preserve">Eliminação (VI)</w:t>
            </w:r>
          </w:p>
        </w:tc>
        <w:tc>
          <w:tcPr>
            <w:tcW w:type="dxa" w:w="46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 w:line="240"/>
              <w:jc w:val="left"/>
            </w:pPr>
            <w:r>
              <w:rPr>
                <w:sz w:val="20"/>
                <w:szCs w:val="20"/>
              </w:rPr>
              <w:t xml:space="preserve">O usuário exclui a própria conta mediante senha e confirmação por escrito; a conta deixa de aparecer no jogo, no ranking e na busca, e o acesso é bloqueado imediatamente.</w:t>
            </w:r>
          </w:p>
        </w:tc>
        <w:tc>
          <w:tcPr>
            <w:tcW w:type="dxa" w:w="2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conta.service.js:208</w:t>
            </w:r>
          </w:p>
          <w:p>
            <w:pPr>
              <w:spacing w:after="40" w:before="4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auth.middleware.js:30</w:t>
            </w:r>
          </w:p>
        </w:tc>
      </w:tr>
    </w:tbl>
    <w:p>
      <w:pPr>
        <w:spacing w:after="240" w:before="80" w:line="240"/>
      </w:pPr>
      <w:r>
        <w:rPr>
          <w:sz w:val="20"/>
          <w:szCs w:val="20"/>
        </w:rPr>
        <w:t xml:space="preserve">Fonte: Elaborado pelos autores (2026).</w:t>
      </w:r>
    </w:p>
    <w:p>
      <w:pPr>
        <w:pStyle w:val="Heading2"/>
      </w:pPr>
      <w:r>
        <w:t xml:space="preserve">4.4 Compartilhamento com terceiros e minimização</w:t>
      </w:r>
    </w:p>
    <w:p>
      <w:pPr>
        <w:spacing w:after="0" w:line="360"/>
        <w:ind w:firstLine="709"/>
        <w:jc w:val="both"/>
      </w:pPr>
      <w:r>
        <w:t xml:space="preserve">Na correção dos desafios dissertativos, o sistema envia ao provedor de inteligência artificial apenas o enunciado, os critérios de correção e o texto da resposta. </w:t>
      </w:r>
      <w:r>
        <w:rPr>
          <w:b/>
          <w:bCs/>
        </w:rPr>
        <w:t xml:space="preserve">Nenhum dado identificável do usuário</w:t>
      </w:r>
      <w:r>
        <w:t xml:space="preserve"> — nome, e-mail ou identificador — é incluído na mensagem, e a resposta não é armazenada no banco de dados (</w:t>
      </w:r>
      <w:r>
        <w:rPr>
          <w:rFonts w:ascii="Courier New" w:cs="Courier New" w:eastAsia="Courier New" w:hAnsi="Courier New"/>
          <w:sz w:val="20"/>
          <w:szCs w:val="20"/>
        </w:rPr>
        <w:t xml:space="preserve">ia.service.js:183</w:t>
      </w:r>
      <w:r>
        <w:t xml:space="preserve">). Trata-se de aplicação direta do princípio da necessidade ao compartilhamento com terceiros.</w:t>
      </w:r>
    </w:p>
    <w:p>
      <w:pPr>
        <w:spacing w:after="0" w:line="360"/>
        <w:ind w:firstLine="709"/>
        <w:jc w:val="both"/>
      </w:pPr>
      <w:r>
        <w:t xml:space="preserve">O serviço de e-mail é utilizado exclusivamente para o envio dos códigos de confirmação, e as chaves de acesso aos serviços externos ficam restritas ao servidor, sem exposição ao navegador.</w:t>
      </w:r>
    </w:p>
    <w:p>
      <w:pPr>
        <w:pStyle w:val="Heading1"/>
      </w:pPr>
      <w:r>
        <w:t xml:space="preserve">5 LIMITAÇÕES E TRABALHOS FUTUROS</w:t>
      </w:r>
    </w:p>
    <w:p>
      <w:pPr>
        <w:spacing w:after="0" w:line="360"/>
        <w:ind w:firstLine="709"/>
        <w:jc w:val="both"/>
      </w:pPr>
      <w:r>
        <w:t xml:space="preserve">Os pontos a seguir não foram plenamente atendidos na versão analisada e constituem recomendações para a evolução do sistema: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b/>
          <w:bCs/>
        </w:rPr>
        <w:t xml:space="preserve">Transparência (arts. 6º, VI, 8º e 9º): </w:t>
      </w:r>
      <w:r>
        <w:t xml:space="preserve">não há Política de Privacidade nem Termos de Uso disponíveis na interface, tampouco registro do aceite no cadastro.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b/>
          <w:bCs/>
        </w:rPr>
        <w:t xml:space="preserve">Eliminação (art. 18, VI): </w:t>
      </w:r>
      <w:r>
        <w:t xml:space="preserve">a exclusão é lógica (soft delete) — os dados permanecem no banco e a conta pode ser reativada pela administração. Recomenda-se anonimizar os dados pessoais na exclusão solicitada pelo titular.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b/>
          <w:bCs/>
        </w:rPr>
        <w:t xml:space="preserve">Portabilidade (art. 18, V): </w:t>
      </w:r>
      <w:r>
        <w:t xml:space="preserve">não há exportação dos dados do usuário em formato estruturado.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b/>
          <w:bCs/>
        </w:rPr>
        <w:t xml:space="preserve">Necessidade (art. 6º, III): </w:t>
      </w:r>
      <w:r>
        <w:t xml:space="preserve">o identificador público do perfil é derivado do e-mail, e a opção de ocultar a posição no ranking existe no banco mas não é aplicada na listagem.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b/>
          <w:bCs/>
        </w:rPr>
        <w:t xml:space="preserve">Retenção (arts. 15 e 16): </w:t>
      </w:r>
      <w:r>
        <w:t xml:space="preserve">não há prazo definido para o histórico de login, para os registros administrativos nem para contas cujo e-mail nunca foi confirmado.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b/>
          <w:bCs/>
        </w:rPr>
        <w:t xml:space="preserve">Segurança (art. 46): </w:t>
      </w:r>
      <w:r>
        <w:t xml:space="preserve">os códigos de 6 dígitos são gerados com Math.random, recomendando-se crypto.randomInt; não há limite de tentativas por conta, apenas por IP; o token de sessão fica no localStorage do navegador (exposto em caso de XSS) e não é invalidado após a troca de senha.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b/>
          <w:bCs/>
        </w:rPr>
        <w:t xml:space="preserve">Transferência internacional (art. 33): </w:t>
      </w:r>
      <w:r>
        <w:t xml:space="preserve">os serviços de e-mail e de inteligência artificial são prestados por empresas com servidores no exterior, sem que isso seja informado ao usuário. No plano gratuito do provedor de IA, os termos de uso podem permitir o uso do conteúdo enviado para aprimoramento do serviço.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b/>
          <w:bCs/>
        </w:rPr>
        <w:t xml:space="preserve">Crianças e adolescentes (art. 14): </w:t>
      </w:r>
      <w:r>
        <w:t xml:space="preserve">o cadastro é permitido a partir de 13 anos, sem mecanismo de consentimento dos responsáveis. A definição da faixa etária do público cabe à equipe do projeto.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b/>
          <w:bCs/>
        </w:rPr>
        <w:t xml:space="preserve">Governança (arts. 41 e 48): </w:t>
      </w:r>
      <w:r>
        <w:t xml:space="preserve">não há encarregado pelo tratamento de dados indicado nem procedimento documentado de comunicação de incidentes de segurança.</w:t>
      </w:r>
    </w:p>
    <w:p>
      <w:pPr>
        <w:pStyle w:val="Heading1"/>
      </w:pPr>
      <w:r>
        <w:t xml:space="preserve">6 CONCLUSÃO</w:t>
      </w:r>
    </w:p>
    <w:p>
      <w:pPr>
        <w:spacing w:after="0" w:line="360"/>
        <w:ind w:firstLine="709"/>
        <w:jc w:val="both"/>
      </w:pPr>
      <w:r>
        <w:t xml:space="preserve">A análise evidencia que o Code Journey aplica a LGPD de forma concreta em seu código-fonte, sobretudo nos princípios da necessidade, da qualidade dos dados, da segurança e da responsabilização, e nos direitos de acesso, correção e eliminação. As medidas de segurança abrangem armazenamento seguro de senhas, controle de acesso por token, validação de todos os campos de entrada, limitação de tentativas e minimização dos dados compartilhados com o provedor de inteligência artificial, todas verificadas por testes.</w:t>
      </w:r>
    </w:p>
    <w:p>
      <w:pPr>
        <w:spacing w:after="0" w:line="360"/>
        <w:ind w:firstLine="709"/>
        <w:jc w:val="both"/>
      </w:pPr>
      <w:r>
        <w:t xml:space="preserve">As limitações registradas na seção 5 concentram-se em aspectos de transparência, retenção e governança, e constituem o roteiro de evolução do sistema para um eventual uso fora do ambiente acadêmico.</w:t>
      </w:r>
    </w:p>
    <w:p>
      <w:r>
        <w:br w:type="page"/>
      </w:r>
    </w:p>
    <w:p>
      <w:pPr>
        <w:spacing w:after="240"/>
        <w:jc w:val="center"/>
      </w:pPr>
      <w:r>
        <w:rPr>
          <w:b/>
          <w:bCs/>
        </w:rPr>
        <w:t xml:space="preserve">REFERÊNCIAS</w:t>
      </w:r>
    </w:p>
    <w:p>
      <w:pPr>
        <w:spacing w:after="240" w:line="240"/>
        <w:jc w:val="left"/>
      </w:pPr>
      <w:r>
        <w:t xml:space="preserve">BRASIL. Lei nº 13.709, de 14 de agosto de 2018. Lei Geral de Proteção de Dados Pessoais (LGPD). </w:t>
      </w:r>
      <w:r>
        <w:rPr>
          <w:b/>
          <w:bCs/>
        </w:rPr>
        <w:t xml:space="preserve">Diário Oficial da União</w:t>
      </w:r>
      <w:r>
        <w:t xml:space="preserve">: seção 1, Brasília, DF, 15 ago. 2018. Disponível em: https://www.planalto.gov.br/ccivil_03/_ato2015-2018/2018/lei/l13709.htm. Acesso em: 6 out. 2026.</w:t>
      </w:r>
    </w:p>
    <w:p>
      <w:pPr>
        <w:spacing w:after="240" w:line="240"/>
        <w:jc w:val="left"/>
      </w:pPr>
      <w:r>
        <w:t xml:space="preserve">OWASP FOUNDATION. </w:t>
      </w:r>
      <w:r>
        <w:rPr>
          <w:b/>
          <w:bCs/>
        </w:rPr>
        <w:t xml:space="preserve">OWASP Top 10: 2021</w:t>
      </w:r>
      <w:r>
        <w:t xml:space="preserve">. [S. l.]: OWASP Foundation, 2021. Disponível em: https://owasp.org/Top10/. Acesso em: 6 out. 2026.</w:t>
      </w:r>
    </w:p>
    <w:sectPr>
      <w:headerReference w:type="default" r:id="rId6"/>
      <w:pgSz w:w="11906" w:h="16838" w:orient="portrait"/>
      <w:pgMar w:top="1701" w:right="1134" w:bottom="1134" w:left="1701" w:header="1134" w:footer="708" w:gutter="0"/>
      <w:pgNumType w:start="2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40" w:before="360" w:line="360"/>
      <w:outlineLvl w:val="0"/>
    </w:pPr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spacing w:after="120" w:before="240" w:line="360"/>
      <w:outlineLvl w:val="1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Aplicação da LGPD no sistema Code Journey</dc:title>
  <dc:creator>Filippi Ferraz, Gabriel Carvalho, Jean Bressan</dc:creator>
  <cp:lastModifiedBy>Un-named</cp:lastModifiedBy>
  <cp:revision>1</cp:revision>
  <dcterms:created xsi:type="dcterms:W3CDTF">2026-10-06T19:05:36.157Z</dcterms:created>
  <dcterms:modified xsi:type="dcterms:W3CDTF">2026-10-06T19:05:36.158Z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