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77777777"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314B2291" w14:textId="77777777" w:rsidR="003B215E" w:rsidRPr="008020B1" w:rsidRDefault="003B215E" w:rsidP="003B215E">
      <w:pPr>
        <w:spacing w:after="0" w:line="276" w:lineRule="auto"/>
        <w:ind w:left="708"/>
        <w:jc w:val="both"/>
      </w:pPr>
      <w:r>
        <w:t>[to be continued]</w:t>
      </w:r>
    </w:p>
    <w:p w14:paraId="2A79D81D" w14:textId="77777777" w:rsidR="008020B1" w:rsidRPr="00AB1229" w:rsidRDefault="008020B1" w:rsidP="00944CE1">
      <w:pPr>
        <w:pStyle w:val="Paragrafoelenco"/>
        <w:spacing w:after="0" w:line="276" w:lineRule="auto"/>
        <w:jc w:val="both"/>
        <w:rPr>
          <w:b/>
          <w:color w:val="4472C4" w:themeColor="accent1"/>
          <w:sz w:val="28"/>
        </w:rPr>
      </w:pP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lastRenderedPageBreak/>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bookmarkStart w:id="0" w:name="_GoBack"/>
      <w:bookmarkEnd w:id="0"/>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lastRenderedPageBreak/>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28D81EFF" w14:textId="77777777" w:rsidR="008020B1" w:rsidRPr="008020B1" w:rsidRDefault="008020B1" w:rsidP="00944CE1">
      <w:pPr>
        <w:pStyle w:val="Paragrafoelenco"/>
        <w:spacing w:after="0" w:line="276" w:lineRule="auto"/>
        <w:jc w:val="both"/>
      </w:pPr>
      <w:r w:rsidRPr="008020B1">
        <w:t>a</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43A86">
      <w:pPr>
        <w:pStyle w:val="Paragrafoelenco"/>
        <w:ind w:left="360"/>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Pr="00443A86" w:rsidRDefault="00443A86" w:rsidP="00443A86">
      <w:pPr>
        <w:ind w:left="360"/>
        <w:rPr>
          <w:vertAlign w:val="superscript"/>
        </w:rPr>
      </w:pPr>
      <w:r>
        <w:rPr>
          <w:noProof/>
          <w:lang w:eastAsia="it-IT"/>
        </w:rPr>
        <w:drawing>
          <wp:inline distT="0" distB="0" distL="0" distR="0" wp14:anchorId="7F0E691D" wp14:editId="62E8D87E">
            <wp:extent cx="3005189" cy="3429000"/>
            <wp:effectExtent l="0" t="0" r="5080" b="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3015760" cy="3441062"/>
                    </a:xfrm>
                    <a:prstGeom prst="rect">
                      <a:avLst/>
                    </a:prstGeom>
                  </pic:spPr>
                </pic:pic>
              </a:graphicData>
            </a:graphic>
          </wp:inline>
        </w:drawing>
      </w: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Testing del software</w:t>
      </w:r>
    </w:p>
    <w:p w14:paraId="6CA20DB2" w14:textId="77777777" w:rsidR="008020B1" w:rsidRPr="008020B1" w:rsidRDefault="008020B1" w:rsidP="00944CE1">
      <w:pPr>
        <w:pStyle w:val="Paragrafoelenco"/>
        <w:spacing w:after="0" w:line="276" w:lineRule="auto"/>
        <w:jc w:val="both"/>
      </w:pPr>
      <w:r w:rsidRPr="008020B1">
        <w:t>a</w:t>
      </w: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77777777" w:rsidR="00443A86" w:rsidRDefault="00443A86" w:rsidP="00443A86">
      <w:pPr>
        <w:pStyle w:val="Paragrafoelenco"/>
        <w:ind w:left="0"/>
      </w:pPr>
      <w:r>
        <w:t>La manutenzione del software si è 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w:t>
      </w:r>
      <w:proofErr w:type="gramStart"/>
      <w:r>
        <w:t xml:space="preserve">una </w:t>
      </w:r>
      <w:r w:rsidR="00443A86">
        <w:t>superclasse</w:t>
      </w:r>
      <w:proofErr w:type="gramEnd"/>
      <w:r w:rsidR="00443A86">
        <w:t xml:space="preserv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77777777" w:rsidR="00443A86" w:rsidRDefault="00443A86" w:rsidP="00443A86">
      <w:r>
        <w:t>Inoltre, essa è stata effettuata in maggior parte in fase di sviluppo andando ad attuare al meglio le esigenze del cliente e andando a ridurre il più possibile gli errori che si sono presentati.</w:t>
      </w:r>
    </w:p>
    <w:p w14:paraId="35241FD6" w14:textId="5FF252AD" w:rsidR="00443A86" w:rsidRDefault="00443A86" w:rsidP="00443A86">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11C0B48A" w14:textId="44987BB5" w:rsidR="008020B1" w:rsidRPr="008020B1" w:rsidRDefault="008020B1" w:rsidP="00944CE1">
      <w:pPr>
        <w:pStyle w:val="Paragrafoelenco"/>
        <w:spacing w:after="0" w:line="276" w:lineRule="auto"/>
        <w:jc w:val="both"/>
      </w:pP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21D9F"/>
    <w:rsid w:val="003B215E"/>
    <w:rsid w:val="00443A86"/>
    <w:rsid w:val="00493CC3"/>
    <w:rsid w:val="00583F88"/>
    <w:rsid w:val="0059411A"/>
    <w:rsid w:val="005C0596"/>
    <w:rsid w:val="005C0D6F"/>
    <w:rsid w:val="00632302"/>
    <w:rsid w:val="00654C97"/>
    <w:rsid w:val="00673056"/>
    <w:rsid w:val="006A344C"/>
    <w:rsid w:val="00727B71"/>
    <w:rsid w:val="008020B1"/>
    <w:rsid w:val="00807D54"/>
    <w:rsid w:val="00944CE1"/>
    <w:rsid w:val="009B5E34"/>
    <w:rsid w:val="00A05BF5"/>
    <w:rsid w:val="00A95F87"/>
    <w:rsid w:val="00AB1229"/>
    <w:rsid w:val="00AC5746"/>
    <w:rsid w:val="00C10B0C"/>
    <w:rsid w:val="00CC4E94"/>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1361</Words>
  <Characters>7759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13</cp:revision>
  <dcterms:created xsi:type="dcterms:W3CDTF">2024-01-12T15:20:00Z</dcterms:created>
  <dcterms:modified xsi:type="dcterms:W3CDTF">2024-01-15T09:11:00Z</dcterms:modified>
</cp:coreProperties>
</file>