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jc w:val="center"/>
        <w:tblLook w:firstRow="1" w:lastRow="0" w:firstColumn="0" w:lastColumn="0" w:noHBand="0" w:noVBand="0" w:val="0020"/>
        <w:tblBorders>
          <w:top w:val="single" w:sz="4" w:space="0" w:color="CBD5E1"/>
          <w:bottom w:val="single" w:sz="4" w:space="0" w:color="CBD5E1"/>
          <w:insideH w:val="single" w:sz="4" w:space="0" w:color="CBD5E1"/>
          <w:insideV w:val="none"/>
          <w:left w:val="none"/>
          <w:right w:val="none"/>
        </w:tblBorders>
      </w:tblPr>
      <w:tblGrid>
        <w:gridCol w:w="2640"/>
        <w:gridCol w:w="2640"/>
        <w:gridCol w:w="264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HYDROBASIN STUDIO</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ESTUDIO HIDROLÓGICO Y MORFOMÉTRICO</w:t>
            </w:r>
            <w:r>
              <w:rPr>
                <w:rFonts w:ascii="Calibri" w:hAnsi="Calibri"/>
                <w:b/>
                <w:color w:val="FFFFFF"/>
                <w:sz w:val="19"/>
              </w:rPr>
              <w:br/>
            </w:r>
            <w:r>
              <w:rPr>
                <w:rFonts w:ascii="Calibri" w:hAnsi="Calibri"/>
                <w:b/>
                <w:color w:val="FFFFFF"/>
                <w:sz w:val="19"/>
              </w:rPr>
              <w:t xml:space="preserve">Zarzal</w:t>
            </w:r>
          </w:p>
        </w:tc>
        <w:tc>
          <w:tcPr>
            <w:vAlign w:val="center"/>
            <w:tcMar>
              <w:top w:w="100" w:type="dxa"/>
              <w:bottom w:w="100" w:type="dxa"/>
              <w:left w:w="140" w:type="dxa"/>
              <w:right w:w="140" w:type="dxa"/>
            </w:tcMar>
            <w:shd w:fill="1F9D8F"/>
          </w:tcPr>
          <w:p>
            <w:pPr>
              <w:pStyle w:val="Compact"/>
              <w:jc w:val="left"/>
            </w:pPr>
            <w:r>
              <w:rPr>
                <w:rFonts w:ascii="Calibri" w:hAnsi="Calibri"/>
                <w:b/>
                <w:color w:val="FFFFFF"/>
                <w:sz w:val="19"/>
              </w:rPr>
              <w:t xml:space="preserve">Versión 1.0</w:t>
            </w:r>
            <w:r>
              <w:rPr>
                <w:rFonts w:ascii="Calibri" w:hAnsi="Calibri"/>
                <w:b/>
                <w:color w:val="FFFFFF"/>
                <w:sz w:val="19"/>
              </w:rPr>
              <w:br/>
            </w:r>
            <w:r>
              <w:rPr>
                <w:rFonts w:ascii="Calibri" w:hAnsi="Calibri"/>
                <w:b/>
                <w:color w:val="FFFFFF"/>
                <w:sz w:val="19"/>
              </w:rPr>
              <w:t xml:space="preserve">21/08/2026</w:t>
            </w:r>
          </w:p>
        </w:tc>
      </w:tr>
    </w:tbl>
    <w:p>
      <w:pPr>
        <w:pStyle w:val="BodyText"/>
        <w:spacing w:line="276" w:lineRule="auto"/>
      </w:pPr>
      <w:r>
        <w:rPr>
          <w:rFonts w:ascii="Calibri" w:hAnsi="Calibri"/>
          <w:color w:val="0F172A"/>
          <w:sz w:val="21"/>
        </w:rPr>
        <w:br/>
      </w:r>
    </w:p>
    <w:p>
      <w:pPr>
        <w:pStyle w:val="BodyText"/>
        <w:spacing w:line="276" w:lineRule="auto"/>
      </w:pPr>
      <w:r>
        <w:rPr>
          <w:rFonts w:ascii="Calibri" w:hAnsi="Calibri"/>
          <w:b/>
          <w:bCs/>
          <w:color w:val="0F172A"/>
          <w:sz w:val="21"/>
        </w:rPr>
        <w:t xml:space="preserve">INFORME DE DELIMITACIÓN Y CARACTERIZACIÓN MORFOMÉTRICA DE CUENCA</w:t>
      </w:r>
      <w:r>
        <w:rPr>
          <w:rFonts w:ascii="Calibri" w:hAnsi="Calibri"/>
          <w:color w:val="0F172A"/>
          <w:sz w:val="21"/>
        </w:rPr>
        <w:br/>
      </w:r>
      <w:r>
        <w:rPr>
          <w:rFonts w:ascii="Calibri" w:hAnsi="Calibri"/>
          <w:b/>
          <w:bCs/>
          <w:color w:val="0F172A"/>
          <w:sz w:val="21"/>
        </w:rPr>
        <w:t xml:space="preserve">Zarzal</w:t>
      </w:r>
      <w:r>
        <w:rPr>
          <w:rFonts w:ascii="Calibri" w:hAnsi="Calibri"/>
          <w:color w:val="0F172A"/>
          <w:sz w:val="21"/>
        </w:rPr>
        <w:br/>
      </w:r>
      <w:r>
        <w:rPr>
          <w:rFonts w:ascii="Calibri" w:hAnsi="Calibri"/>
          <w:color w:val="0F172A"/>
          <w:sz w:val="21"/>
        </w:rPr>
        <w:t xml:space="preserve">Barrancabermeja, Santander, Colombia</w:t>
      </w:r>
      <w:r>
        <w:rPr>
          <w:rFonts w:ascii="Calibri" w:hAnsi="Calibri"/>
          <w:color w:val="0F172A"/>
          <w:sz w:val="21"/>
        </w:rPr>
        <w:br/>
      </w:r>
      <w:r>
        <w:rPr>
          <w:rFonts w:ascii="Calibri" w:hAnsi="Calibri"/>
          <w:b/>
          <w:bCs/>
          <w:color w:val="0F172A"/>
          <w:sz w:val="21"/>
        </w:rPr>
        <w:t xml:space="preserve">RELACIÓN DE REVISIÓN Y AUTORÍA</w:t>
      </w:r>
      <w:r>
        <w:rPr>
          <w:rFonts w:ascii="Calibri" w:hAnsi="Calibri"/>
          <w:color w:val="0F172A"/>
          <w:sz w:val="21"/>
        </w:rPr>
        <w:br/>
      </w:r>
    </w:p>
    <w:tbl>
      <w:tblPr>
        <w:tblStyle w:val="Table"/>
        <w:tblW w:type="auto" w:w="0"/>
        <w:jc w:val="center"/>
        <w:tblLook w:firstRow="1" w:lastRow="0" w:firstColumn="0" w:lastColumn="0" w:noHBand="0" w:noVBand="0" w:val="0020"/>
        <w:tblBorders>
          <w:top w:val="single" w:sz="4" w:space="0" w:color="CBD5E1"/>
          <w:bottom w:val="single" w:sz="4" w:space="0" w:color="CBD5E1"/>
          <w:insideH w:val="single" w:sz="4" w:space="0" w:color="CBD5E1"/>
          <w:insideV w:val="none"/>
          <w:left w:val="none"/>
          <w:right w:val="none"/>
        </w:tblBorders>
      </w:tblPr>
      <w:tblGrid>
        <w:gridCol w:w="2640"/>
        <w:gridCol w:w="2640"/>
        <w:gridCol w:w="264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ELABORÓ:</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REVISÓ:</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FECHA:</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Jana Criollo</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Mario Díaz</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21/08/2026</w:t>
            </w:r>
          </w:p>
        </w:tc>
      </w:tr>
      <w:tr>
        <w:tc>
          <w:tcPr>
            <w:gridSpan w:val="2"/>
            <w:vAlign w:val="center"/>
            <w:tcMar>
              <w:top w:w="100" w:type="dxa"/>
              <w:bottom w:w="100" w:type="dxa"/>
              <w:left w:w="140" w:type="dxa"/>
              <w:right w:w="140" w:type="dxa"/>
            </w:tcMar>
            <w:shd w:fill="FFFFFF"/>
            <w:tcMar>
              <w:top w:w="100" w:type="dxa"/>
              <w:bottom w:w="100" w:type="dxa"/>
              <w:left w:w="140" w:type="dxa"/>
              <w:right w:w="140" w:type="dxa"/>
            </w:tcMar>
            <w:shd w:fill="FFFFFF"/>
          </w:tcPr>
          <w:p>
            <w:pPr>
              <w:pStyle w:val="Compact"/>
              <w:jc w:val="left"/>
            </w:pPr>
            <w:r>
              <w:rPr>
                <w:rFonts w:ascii="Calibri" w:hAnsi="Calibri"/>
                <w:b/>
                <w:bCs/>
                <w:color w:val="0F172A"/>
                <w:sz w:val="18"/>
              </w:rPr>
              <w:t xml:space="preserve">CLIENTE / ENTIDAD:</w:t>
            </w:r>
            <w:r>
              <w:rPr>
                <w:rFonts w:ascii="Calibri" w:hAnsi="Calibri"/>
                <w:color w:val="0F172A"/>
                <w:sz w:val="18"/>
              </w:rPr>
              <w:t xml:space="preserve"> </w:t>
            </w:r>
            <w:r>
              <w:rPr>
                <w:rFonts w:ascii="Calibri" w:hAnsi="Calibri"/>
                <w:color w:val="0F172A"/>
                <w:sz w:val="18"/>
              </w:rPr>
              <w:t xml:space="preserve">IDOM</w:t>
            </w:r>
          </w:p>
        </w:tc>
        <w:tc>
          <w:tcPr>
            <w:vAlign w:val="center"/>
            <w:tcMar>
              <w:top w:w="100" w:type="dxa"/>
              <w:bottom w:w="100" w:type="dxa"/>
              <w:left w:w="140" w:type="dxa"/>
              <w:right w:w="140" w:type="dxa"/>
            </w:tcMar>
            <w:shd w:fill="FFFFFF"/>
          </w:tcPr>
          <w:p>
            <w:pPr>
              <w:pStyle w:val="Compact"/>
              <w:jc w:val="left"/>
            </w:pPr>
            <w:r>
              <w:rPr>
                <w:rFonts w:ascii="Calibri" w:hAnsi="Calibri"/>
                <w:b/>
                <w:bCs/>
                <w:color w:val="0F172A"/>
                <w:sz w:val="18"/>
              </w:rPr>
              <w:t xml:space="preserve">ESTADO:</w:t>
            </w:r>
            <w:r>
              <w:rPr>
                <w:rFonts w:ascii="Calibri" w:hAnsi="Calibri"/>
                <w:color w:val="0F172A"/>
                <w:sz w:val="18"/>
              </w:rPr>
              <w:t xml:space="preserve"> </w:t>
            </w:r>
            <w:r>
              <w:rPr>
                <w:rFonts w:ascii="Calibri" w:hAnsi="Calibri"/>
                <w:color w:val="0F172A"/>
                <w:sz w:val="18"/>
              </w:rPr>
              <w:t xml:space="preserve">Aprobado</w:t>
            </w:r>
          </w:p>
        </w:tc>
      </w:tr>
    </w:tbl>
    <w:p>
      <w:pPr>
        <w:pStyle w:val="BodyText"/>
        <w:spacing w:line="276" w:lineRule="auto"/>
      </w:pPr>
      <w:r>
        <w:rPr>
          <w:rFonts w:ascii="Calibri" w:hAnsi="Calibri"/>
          <w:color w:val="0F172A"/>
          <w:sz w:val="21"/>
        </w:rPr>
        <w:t xml:space="preserve">Documento técnico de ingeniería hidrológica generado por HydroBasin Studio. Prohibida su alteración no autorizada.</w:t>
      </w:r>
    </w:p>
    <w:bookmarkStart w:id="9" w:name="introducción"/>
    <w:p>
      <w:pPr>
        <w:pStyle w:val="Heading1"/>
        <w:spacing w:before="280" w:after="120"/>
      </w:pPr>
      <w:r>
        <w:rPr>
          <w:rFonts w:ascii="Calibri" w:hAnsi="Calibri"/>
          <w:b/>
          <w:color w:val="176B73"/>
          <w:sz w:val="30"/>
        </w:rPr>
        <w:t xml:space="preserve">Introducción</w:t>
      </w:r>
    </w:p>
    <w:p>
      <w:pPr>
        <w:pStyle w:val="FirstParagraph"/>
        <w:spacing w:line="276" w:lineRule="auto"/>
      </w:pPr>
      <w:r>
        <w:rPr>
          <w:rFonts w:ascii="Calibri" w:hAnsi="Calibri"/>
          <w:color w:val="0F172A"/>
          <w:sz w:val="21"/>
        </w:rPr>
        <w:t xml:space="preserve">El presente documento corresponde al informe técnico del estudio hidrológico y geomorfológico desarrollado para el proyecto</w:t>
      </w:r>
      <w:r>
        <w:rPr>
          <w:rFonts w:ascii="Calibri" w:hAnsi="Calibri"/>
          <w:color w:val="0F172A"/>
          <w:sz w:val="21"/>
        </w:rPr>
        <w:t xml:space="preserve"> </w:t>
      </w:r>
      <w:r>
        <w:rPr>
          <w:rFonts w:ascii="Calibri" w:hAnsi="Calibri"/>
          <w:b/>
          <w:bCs/>
          <w:color w:val="0F172A"/>
          <w:sz w:val="21"/>
        </w:rPr>
        <w:t xml:space="preserve">Zarzal</w:t>
      </w:r>
      <w:r>
        <w:rPr>
          <w:rFonts w:ascii="Calibri" w:hAnsi="Calibri"/>
          <w:color w:val="0F172A"/>
          <w:sz w:val="21"/>
        </w:rPr>
        <w:t xml:space="preserve">, localizado en el municipio de</w:t>
      </w:r>
      <w:r>
        <w:rPr>
          <w:rFonts w:ascii="Calibri" w:hAnsi="Calibri"/>
          <w:color w:val="0F172A"/>
          <w:sz w:val="21"/>
        </w:rPr>
        <w:t xml:space="preserve"> </w:t>
      </w:r>
      <w:r>
        <w:rPr>
          <w:rFonts w:ascii="Calibri" w:hAnsi="Calibri"/>
          <w:b/>
          <w:bCs/>
          <w:color w:val="0F172A"/>
          <w:sz w:val="21"/>
        </w:rPr>
        <w:t xml:space="preserve">Barrancabermeja, Santander, Colombia</w:t>
      </w:r>
      <w:r>
        <w:rPr>
          <w:rFonts w:ascii="Calibri" w:hAnsi="Calibri"/>
          <w:color w:val="0F172A"/>
          <w:sz w:val="21"/>
        </w:rPr>
        <w:t xml:space="preserve">. El estudio comprende la delimitación precisa de la divisoria de aguas, caracterización física de la cuenca, consulta y análisis de la red de estaciones meteorológicas oficiales del IDEAM, cálculo de polígonos de Thiessen, curvas Intensidad–Duración–Frecuencia (IDF), determinación del Número de Curva SCS (CN) y modelación de hidrogramas y caudales máximos de escorrentía para diversos periodos de retorno.</w:t>
      </w:r>
    </w:p>
    <w:bookmarkEnd w:id="9"/>
    <w:bookmarkStart w:id="13" w:name="objetivos-y-alcance"/>
    <w:p>
      <w:pPr>
        <w:pStyle w:val="Heading1"/>
        <w:spacing w:before="280" w:after="120"/>
      </w:pPr>
      <w:r>
        <w:rPr>
          <w:rFonts w:ascii="Calibri" w:hAnsi="Calibri"/>
          <w:b/>
          <w:color w:val="176B73"/>
          <w:sz w:val="30"/>
        </w:rPr>
        <w:t xml:space="preserve">Objetivos y Alcance</w:t>
      </w:r>
    </w:p>
    <w:bookmarkStart w:id="10" w:name="objetivo-general"/>
    <w:p>
      <w:pPr>
        <w:pStyle w:val="Heading2"/>
        <w:spacing w:before="200" w:after="80"/>
      </w:pPr>
      <w:r>
        <w:rPr>
          <w:rFonts w:ascii="Calibri" w:hAnsi="Calibri"/>
          <w:b/>
          <w:color w:val="1F9D8F"/>
          <w:sz w:val="25"/>
        </w:rPr>
        <w:t xml:space="preserve">Objetivo General</w:t>
      </w:r>
    </w:p>
    <w:p>
      <w:pPr>
        <w:pStyle w:val="FirstParagraph"/>
        <w:spacing w:line="276" w:lineRule="auto"/>
      </w:pPr>
      <w:r>
        <w:rPr>
          <w:rFonts w:ascii="Calibri" w:hAnsi="Calibri"/>
          <w:color w:val="0F172A"/>
          <w:sz w:val="21"/>
        </w:rPr>
        <w:t xml:space="preserve">Delimitar y caracterizar geomorfológica e hidrológicamente la cuenca aportante al punto de interés del proyecto</w:t>
      </w:r>
      <w:r>
        <w:rPr>
          <w:rFonts w:ascii="Calibri" w:hAnsi="Calibri"/>
          <w:color w:val="0F172A"/>
          <w:sz w:val="21"/>
        </w:rPr>
        <w:t xml:space="preserve"> </w:t>
      </w:r>
      <w:r>
        <w:rPr>
          <w:rFonts w:ascii="Calibri" w:hAnsi="Calibri"/>
          <w:b/>
          <w:bCs/>
          <w:color w:val="0F172A"/>
          <w:sz w:val="21"/>
        </w:rPr>
        <w:t xml:space="preserve">Zarzal</w:t>
      </w:r>
      <w:r>
        <w:rPr>
          <w:rFonts w:ascii="Calibri" w:hAnsi="Calibri"/>
          <w:color w:val="0F172A"/>
          <w:sz w:val="21"/>
        </w:rPr>
        <w:t xml:space="preserve">, determinando sus parámetros morfométricos, red de drenaje, tiempos de concentración y caudales de diseño hacia el exutorio.</w:t>
      </w:r>
    </w:p>
    <w:bookmarkEnd w:id="10"/>
    <w:bookmarkStart w:id="11" w:name="objetivos-específicos"/>
    <w:p>
      <w:pPr>
        <w:pStyle w:val="Heading2"/>
        <w:spacing w:before="200" w:after="80"/>
      </w:pPr>
      <w:r>
        <w:rPr>
          <w:rFonts w:ascii="Calibri" w:hAnsi="Calibri"/>
          <w:b/>
          <w:color w:val="1F9D8F"/>
          <w:sz w:val="25"/>
        </w:rPr>
        <w:t xml:space="preserve">Objetivos Específicos</w:t>
      </w:r>
    </w:p>
    <w:p>
      <w:pPr>
        <w:numPr>
          <w:ilvl w:val="0"/>
          <w:numId w:val="1001"/>
        </w:numPr>
        <w:spacing w:line="276" w:lineRule="auto"/>
      </w:pPr>
      <w:r>
        <w:rPr>
          <w:rFonts w:ascii="Calibri" w:hAnsi="Calibri"/>
          <w:color w:val="0F172A"/>
          <w:sz w:val="21"/>
        </w:rPr>
        <w:t xml:space="preserve">Delimitar la cuenca hidrográfica y su red de drenaje a partir de modelos de elevación digital corregidos hidrológicamente.</w:t>
      </w:r>
    </w:p>
    <w:p>
      <w:pPr>
        <w:numPr>
          <w:ilvl w:val="0"/>
          <w:numId w:val="1001"/>
        </w:numPr>
        <w:spacing w:line="276" w:lineRule="auto"/>
      </w:pPr>
      <w:r>
        <w:rPr>
          <w:rFonts w:ascii="Calibri" w:hAnsi="Calibri"/>
          <w:color w:val="0F172A"/>
          <w:sz w:val="21"/>
        </w:rPr>
        <w:t xml:space="preserve">Calcular los parámetros morfométricos de forma, relieve y red fluvial (Horton, Gravelius, Miller, Strahler).</w:t>
      </w:r>
    </w:p>
    <w:p>
      <w:pPr>
        <w:numPr>
          <w:ilvl w:val="0"/>
          <w:numId w:val="1001"/>
        </w:numPr>
        <w:spacing w:line="276" w:lineRule="auto"/>
      </w:pPr>
      <w:r>
        <w:rPr>
          <w:rFonts w:ascii="Calibri" w:hAnsi="Calibri"/>
          <w:color w:val="0F172A"/>
          <w:sz w:val="21"/>
        </w:rPr>
        <w:t xml:space="preserve">Subdividir la cuenca en subcuencas tributarias y caracterizar el cauce principal con su perfil altimétrico.</w:t>
      </w:r>
    </w:p>
    <w:p>
      <w:pPr>
        <w:numPr>
          <w:ilvl w:val="0"/>
          <w:numId w:val="1001"/>
        </w:numPr>
        <w:spacing w:line="276" w:lineRule="auto"/>
      </w:pPr>
      <w:r>
        <w:rPr>
          <w:rFonts w:ascii="Calibri" w:hAnsi="Calibri"/>
          <w:color w:val="0F172A"/>
          <w:sz w:val="21"/>
        </w:rPr>
        <w:t xml:space="preserve">Consultar la red pluviométrica del IDEAM en el área de influencia y ponderar su representatividad mediante Polígonos de Thiessen.</w:t>
      </w:r>
    </w:p>
    <w:p>
      <w:pPr>
        <w:numPr>
          <w:ilvl w:val="0"/>
          <w:numId w:val="1001"/>
        </w:numPr>
        <w:spacing w:line="276" w:lineRule="auto"/>
      </w:pPr>
      <w:r>
        <w:rPr>
          <w:rFonts w:ascii="Calibri" w:hAnsi="Calibri"/>
          <w:color w:val="0F172A"/>
          <w:sz w:val="21"/>
        </w:rPr>
        <w:t xml:space="preserve">Formular las curvas IDF y determinar el Número de Curva ponderado (SCS-CN) a partir de coberturas y suelos.</w:t>
      </w:r>
    </w:p>
    <w:p>
      <w:pPr>
        <w:numPr>
          <w:ilvl w:val="0"/>
          <w:numId w:val="1001"/>
        </w:numPr>
        <w:spacing w:line="276" w:lineRule="auto"/>
      </w:pPr>
      <w:r>
        <w:rPr>
          <w:rFonts w:ascii="Calibri" w:hAnsi="Calibri"/>
          <w:color w:val="0F172A"/>
          <w:sz w:val="21"/>
        </w:rPr>
        <w:t xml:space="preserve">Estimar los tiempos de concentración y modelar los caudales máximos de diseño para periodos de retorno de 2.33, 5, 10, 25, 50 y 100 años.</w:t>
      </w:r>
    </w:p>
    <w:bookmarkEnd w:id="11"/>
    <w:bookmarkStart w:id="12" w:name="alcance-del-estudio"/>
    <w:p>
      <w:pPr>
        <w:pStyle w:val="Heading2"/>
        <w:spacing w:before="200" w:after="80"/>
      </w:pPr>
      <w:r>
        <w:rPr>
          <w:rFonts w:ascii="Calibri" w:hAnsi="Calibri"/>
          <w:b/>
          <w:color w:val="1F9D8F"/>
          <w:sz w:val="25"/>
        </w:rPr>
        <w:t xml:space="preserve">Alcance del Estudio</w:t>
      </w:r>
    </w:p>
    <w:p>
      <w:pPr>
        <w:pStyle w:val="FirstParagraph"/>
        <w:spacing w:line="276" w:lineRule="auto"/>
      </w:pPr>
      <w:r>
        <w:rPr>
          <w:rFonts w:ascii="Calibri" w:hAnsi="Calibri"/>
          <w:color w:val="0F172A"/>
          <w:sz w:val="21"/>
        </w:rPr>
        <w:t xml:space="preserve">El alcance comprende el análisis geomorfométrico automatizado, la modelación hidrometeorológica regional con datos oficiales del IDEAM y la formulación hidrológica mediante el método del Hidrograma Unitario del SCS y el Método Racional para el dimensionamiento de obras civiles y manejo de aguas.</w:t>
      </w:r>
    </w:p>
    <w:bookmarkEnd w:id="12"/>
    <w:bookmarkEnd w:id="13"/>
    <w:bookmarkStart w:id="18" w:name="localización-y-ubicación-general"/>
    <w:p>
      <w:pPr>
        <w:pStyle w:val="Heading1"/>
        <w:spacing w:before="280" w:after="120"/>
      </w:pPr>
      <w:r>
        <w:rPr>
          <w:rFonts w:ascii="Calibri" w:hAnsi="Calibri"/>
          <w:b/>
          <w:color w:val="176B73"/>
          <w:sz w:val="30"/>
        </w:rPr>
        <w:t xml:space="preserve">Localización y Ubicación General</w:t>
      </w:r>
    </w:p>
    <w:p>
      <w:pPr>
        <w:pStyle w:val="FirstParagraph"/>
        <w:spacing w:line="276" w:lineRule="auto"/>
      </w:pPr>
      <w:r>
        <w:rPr>
          <w:rFonts w:ascii="Calibri" w:hAnsi="Calibri"/>
          <w:color w:val="0F172A"/>
          <w:sz w:val="21"/>
        </w:rPr>
        <w:t xml:space="preserve">Las actividades que engloban el estudio se localizan en la jurisdicción de</w:t>
      </w:r>
      <w:r>
        <w:rPr>
          <w:rFonts w:ascii="Calibri" w:hAnsi="Calibri"/>
          <w:color w:val="0F172A"/>
          <w:sz w:val="21"/>
        </w:rPr>
        <w:t xml:space="preserve"> </w:t>
      </w:r>
      <w:r>
        <w:rPr>
          <w:rFonts w:ascii="Calibri" w:hAnsi="Calibri"/>
          <w:b/>
          <w:bCs/>
          <w:color w:val="0F172A"/>
          <w:sz w:val="21"/>
        </w:rPr>
        <w:t xml:space="preserve">Barrancabermeja, Santander, Colombia</w:t>
      </w:r>
      <w:r>
        <w:rPr>
          <w:rFonts w:ascii="Calibri" w:hAnsi="Calibri"/>
          <w:color w:val="0F172A"/>
          <w:sz w:val="21"/>
        </w:rPr>
        <w:t xml:space="preserve">. El punto de cierre o exutorio fijado para la cuenca se ubica en las coordenadas geográficas</w:t>
      </w:r>
      <w:r>
        <w:rPr>
          <w:rFonts w:ascii="Calibri" w:hAnsi="Calibri"/>
          <w:color w:val="0F172A"/>
          <w:sz w:val="21"/>
        </w:rPr>
        <w:t xml:space="preserve"> </w:t>
      </w:r>
      <w:r>
        <w:rPr>
          <w:rFonts w:ascii="Calibri" w:hAnsi="Calibri"/>
          <w:b/>
          <w:bCs/>
          <w:color w:val="0F172A"/>
          <w:sz w:val="21"/>
        </w:rPr>
        <w:t xml:space="preserve">7.064095</w:t>
      </w:r>
      <m:oMath>
        <m:sSup>
          <m:e>
            <m:r>
              <m:t>​</m:t>
            </m:r>
          </m:e>
          <m:sup>
            <m:r>
              <m:rPr>
                <m:sty m:val="p"/>
              </m:rPr>
              <m:t>∘</m:t>
            </m:r>
          </m:sup>
        </m:sSup>
      </m:oMath>
      <w:r>
        <w:rPr>
          <w:rFonts w:ascii="Calibri" w:hAnsi="Calibri"/>
          <w:b/>
          <w:bCs/>
          <w:color w:val="0F172A"/>
          <w:sz w:val="21"/>
        </w:rPr>
        <w:t xml:space="preserve"> </w:t>
      </w:r>
      <w:r>
        <w:rPr>
          <w:rFonts w:ascii="Calibri" w:hAnsi="Calibri"/>
          <w:b/>
          <w:bCs/>
          <w:color w:val="0F172A"/>
          <w:sz w:val="21"/>
        </w:rPr>
        <w:t xml:space="preserve">Latitud Norte, -73.749877</w:t>
      </w:r>
      <m:oMath>
        <m:sSup>
          <m:e>
            <m:r>
              <m:t>​</m:t>
            </m:r>
          </m:e>
          <m:sup>
            <m:r>
              <m:rPr>
                <m:sty m:val="p"/>
              </m:rPr>
              <m:t>∘</m:t>
            </m:r>
          </m:sup>
        </m:sSup>
      </m:oMath>
      <w:r>
        <w:rPr>
          <w:rFonts w:ascii="Calibri" w:hAnsi="Calibri"/>
          <w:b/>
          <w:bCs/>
          <w:color w:val="0F172A"/>
          <w:sz w:val="21"/>
        </w:rPr>
        <w:t xml:space="preserve"> </w:t>
      </w:r>
      <w:r>
        <w:rPr>
          <w:rFonts w:ascii="Calibri" w:hAnsi="Calibri"/>
          <w:b/>
          <w:bCs/>
          <w:color w:val="0F172A"/>
          <w:sz w:val="21"/>
        </w:rPr>
        <w:t xml:space="preserve">Longitud Oeste</w:t>
      </w:r>
      <w:r>
        <w:rPr>
          <w:rFonts w:ascii="Calibri" w:hAnsi="Calibri"/>
          <w:color w:val="0F172A"/>
          <w:sz w:val="21"/>
        </w:rPr>
        <w:t xml:space="preserve"> </w:t>
      </w:r>
      <w:r>
        <w:rPr>
          <w:rFonts w:ascii="Calibri" w:hAnsi="Calibri"/>
          <w:color w:val="0F172A"/>
          <w:sz w:val="21"/>
        </w:rPr>
        <w:t xml:space="preserve">(WGS84), a una cota de</w:t>
      </w:r>
      <w:r>
        <w:rPr>
          <w:rFonts w:ascii="Calibri" w:hAnsi="Calibri"/>
          <w:color w:val="0F172A"/>
          <w:sz w:val="21"/>
        </w:rPr>
        <w:t xml:space="preserve"> </w:t>
      </w:r>
      <w:r>
        <w:rPr>
          <w:rFonts w:ascii="Calibri" w:hAnsi="Calibri"/>
          <w:b/>
          <w:bCs/>
          <w:color w:val="0F172A"/>
          <w:sz w:val="21"/>
        </w:rPr>
        <w:t xml:space="preserve">72.2 msnm</w:t>
      </w:r>
      <w:r>
        <w:rPr>
          <w:rFonts w:ascii="Calibri" w:hAnsi="Calibri"/>
          <w:color w:val="0F172A"/>
          <w:sz w:val="21"/>
        </w:rPr>
        <w:t xml:space="preserve">.</w:t>
      </w:r>
    </w:p>
    <w:p>
      <w:pPr>
        <w:pStyle w:val="BodyText"/>
        <w:spacing w:line="276" w:lineRule="auto"/>
      </w:pPr>
      <w:r>
        <w:rPr>
          <w:rFonts w:ascii="Calibri" w:hAnsi="Calibri"/>
          <w:color w:val="0F172A"/>
          <w:sz w:val="21"/>
        </w:rPr>
        <w:t xml:space="preserve">En la Figura </w:t>
      </w:r>
      <w:hyperlink w:anchor="fig:satelite">
        <w:r>
          <w:rPr>
            <w:rStyle w:val="Hyperlink"/>
          </w:rPr>
          <w:t xml:space="preserve">1</w:t>
        </w:r>
      </w:hyperlink>
      <w:r>
        <w:rPr>
          <w:rFonts w:ascii="Calibri" w:hAnsi="Calibri"/>
          <w:color w:val="0F172A"/>
          <w:sz w:val="21"/>
        </w:rPr>
        <w:t xml:space="preserve"> </w:t>
      </w:r>
      <w:r>
        <w:rPr>
          <w:rFonts w:ascii="Calibri" w:hAnsi="Calibri"/>
          <w:color w:val="0F172A"/>
          <w:sz w:val="21"/>
        </w:rPr>
        <w:t xml:space="preserve">se ilustra la localización regional del área de estudio sobre imagen satelital con la posición del punto de aforo.</w:t>
      </w:r>
    </w:p>
    <w:bookmarkStart w:id="17" w:name="fig:satelite"/>
    <w:p>
      <w:pPr>
        <w:pStyle w:val="CaptionedFigure"/>
        <w:spacing w:after="160"/>
        <w:jc w:val="center"/>
      </w:pPr>
      <w:r>
        <w:rPr>
          <w:rFonts w:ascii="Calibri" w:hAnsi="Calibri"/>
          <w:i/>
          <w:color w:val="64748B"/>
          <w:sz w:val="18"/>
        </w:rPr>
        <w:drawing>
          <wp:inline>
            <wp:extent cx="4587240" cy="3710473"/>
            <wp:effectExtent b="0" l="0" r="0" t="0"/>
            <wp:docPr descr="" title="" id="15" name="Picture"/>
            <a:graphic>
              <a:graphicData uri="http://schemas.openxmlformats.org/drawingml/2006/picture">
                <pic:pic>
                  <pic:nvPicPr>
                    <pic:cNvPr descr="figuras/00_ubicacion_satelital.png" id="16" name="Picture"/>
                    <pic:cNvPicPr>
                      <a:picLocks noChangeArrowheads="1" noChangeAspect="1"/>
                    </pic:cNvPicPr>
                  </pic:nvPicPr>
                  <pic:blipFill>
                    <a:blip r:embed="rId14"/>
                    <a:stretch>
                      <a:fillRect/>
                    </a:stretch>
                  </pic:blipFill>
                  <pic:spPr bwMode="auto">
                    <a:xfrm>
                      <a:off x="0" y="0"/>
                      <a:ext cx="4587240" cy="3710473"/>
                    </a:xfrm>
                    <a:prstGeom prst="rect">
                      <a:avLst/>
                    </a:prstGeom>
                    <a:noFill/>
                    <a:ln w="9525">
                      <a:noFill/>
                      <a:headEnd/>
                      <a:tailEnd/>
                    </a:ln>
                  </pic:spPr>
                </pic:pic>
              </a:graphicData>
            </a:graphic>
          </wp:inline>
        </w:drawing>
      </w:r>
    </w:p>
    <w:p>
      <w:pPr>
        <w:pStyle w:val="ImageCaption"/>
        <w:spacing w:after="160"/>
        <w:jc w:val="center"/>
      </w:pPr>
      <w:r>
        <w:rPr>
          <w:rFonts w:ascii="Calibri" w:hAnsi="Calibri"/>
          <w:i/>
          <w:color w:val="64748B"/>
          <w:sz w:val="18"/>
        </w:rPr>
        <w:t xml:space="preserve">Localización regional del área de estudio sobre imagen satelital Esri World Imagery.</w:t>
      </w:r>
    </w:p>
    <w:bookmarkEnd w:id="17"/>
    <w:bookmarkEnd w:id="18"/>
    <w:bookmarkStart w:id="19" w:name="X69074cf76f0f36fe6bc84f22a7965307dcc2203"/>
    <w:p>
      <w:pPr>
        <w:pStyle w:val="Heading1"/>
        <w:spacing w:before="280" w:after="120"/>
      </w:pPr>
      <w:r>
        <w:rPr>
          <w:rFonts w:ascii="Calibri" w:hAnsi="Calibri"/>
          <w:b/>
          <w:color w:val="176B73"/>
          <w:sz w:val="30"/>
        </w:rPr>
        <w:t xml:space="preserve">Información Topográfica y Acondicionamiento del Terreno</w:t>
      </w:r>
    </w:p>
    <w:p>
      <w:pPr>
        <w:pStyle w:val="FirstParagraph"/>
        <w:spacing w:line="276" w:lineRule="auto"/>
      </w:pPr>
      <w:r>
        <w:rPr>
          <w:rFonts w:ascii="Calibri" w:hAnsi="Calibri"/>
          <w:color w:val="0F172A"/>
          <w:sz w:val="21"/>
        </w:rPr>
        <w:t xml:space="preserve">La caracterización geomorfológica se fundamentó en el Modelo Digital de Elevación (DEM)</w:t>
      </w:r>
      <w:r>
        <w:rPr>
          <w:rFonts w:ascii="Calibri" w:hAnsi="Calibri"/>
          <w:color w:val="0F172A"/>
          <w:sz w:val="21"/>
        </w:rPr>
        <w:t xml:space="preserve"> </w:t>
      </w:r>
      <w:r>
        <w:rPr>
          <w:rFonts w:ascii="Calibri" w:hAnsi="Calibri"/>
          <w:i/>
          <w:iCs/>
          <w:color w:val="0F172A"/>
          <w:sz w:val="21"/>
        </w:rPr>
        <w:t xml:space="preserve">DEM Satelital</w:t>
      </w:r>
      <w:r>
        <w:rPr>
          <w:rFonts w:ascii="Calibri" w:hAnsi="Calibri"/>
          <w:color w:val="0F172A"/>
          <w:sz w:val="21"/>
        </w:rPr>
        <w:t xml:space="preserve">, con una resolución métrica de 30.0 m. Para asegurar la continuidad física del escurrimiento, la superficie topográfica fue sometida a un acondicionamiento hidrológico mediante el relleno de depresiones cerradas (</w:t>
      </w:r>
      <w:r>
        <w:rPr>
          <w:rFonts w:ascii="Calibri" w:hAnsi="Calibri"/>
          <w:i/>
          <w:iCs/>
          <w:color w:val="0F172A"/>
          <w:sz w:val="21"/>
        </w:rPr>
        <w:t xml:space="preserve">sinks/pits</w:t>
      </w:r>
      <w:r>
        <w:rPr>
          <w:rFonts w:ascii="Calibri" w:hAnsi="Calibri"/>
          <w:color w:val="0F172A"/>
          <w:sz w:val="21"/>
        </w:rPr>
        <w:t xml:space="preserve">) y corrección de zonas planas, garantizando una pendiente continua hacia el punto de descarga.</w:t>
      </w:r>
    </w:p>
    <w:p>
      <w:pPr>
        <w:pStyle w:val="BodyText"/>
        <w:spacing w:line="276" w:lineRule="auto"/>
      </w:pPr>
      <w:r>
        <w:rPr>
          <w:rFonts w:ascii="Calibri" w:hAnsi="Calibri"/>
          <w:color w:val="0F172A"/>
          <w:sz w:val="21"/>
        </w:rPr>
        <w:t xml:space="preserve">Sobre el terreno corregido se determinaron las direcciones de flujo empleando el esquema determinístico D8 y se construyó la matriz de acumulación de celdas aportantes, a partir de la cual se ajustó la posición del exutorio al eje principal de concentración fluvial.</w:t>
      </w:r>
    </w:p>
    <w:bookmarkEnd w:id="19"/>
    <w:bookmarkStart w:id="33" w:name="Xed409ea8bf0fa77b754f910d386cb6ae1f7bb4d"/>
    <w:p>
      <w:pPr>
        <w:pStyle w:val="Heading1"/>
        <w:spacing w:before="280" w:after="120"/>
      </w:pPr>
      <w:r>
        <w:rPr>
          <w:rFonts w:ascii="Calibri" w:hAnsi="Calibri"/>
          <w:b/>
          <w:color w:val="176B73"/>
          <w:sz w:val="30"/>
        </w:rPr>
        <w:t xml:space="preserve">Caracterización Morfométrica de la Cuenca</w:t>
      </w:r>
    </w:p>
    <w:bookmarkStart w:id="21" w:name="área-perímetro-y-longitud-axial"/>
    <w:p>
      <w:pPr>
        <w:pStyle w:val="Heading2"/>
        <w:spacing w:before="200" w:after="80"/>
      </w:pPr>
      <w:r>
        <w:rPr>
          <w:rFonts w:ascii="Calibri" w:hAnsi="Calibri"/>
          <w:b/>
          <w:color w:val="1F9D8F"/>
          <w:sz w:val="25"/>
        </w:rPr>
        <w:t xml:space="preserve">Área, Perímetro y Longitud Axial</w:t>
      </w:r>
    </w:p>
    <w:p>
      <w:pPr>
        <w:pStyle w:val="FirstParagraph"/>
        <w:spacing w:line="276" w:lineRule="auto"/>
      </w:pPr>
      <w:r>
        <w:rPr>
          <w:rFonts w:ascii="Calibri" w:hAnsi="Calibri"/>
          <w:color w:val="0F172A"/>
          <w:sz w:val="21"/>
        </w:rPr>
        <w:t xml:space="preserve">A partir del análisis espacial de la cuenca delimitada se calcularon los parámetros geométricos, morfométricos y de relieve resumidos en el Cuadro </w:t>
      </w:r>
      <w:hyperlink w:anchor="tab:morfometria">
        <w:r>
          <w:rPr>
            <w:rStyle w:val="Hyperlink"/>
          </w:rPr>
          <w:t xml:space="preserve">1</w:t>
        </w:r>
      </w:hyperlink>
      <w:r>
        <w:rPr>
          <w:rFonts w:ascii="Calibri" w:hAnsi="Calibri"/>
          <w:color w:val="0F172A"/>
          <w:sz w:val="21"/>
        </w:rPr>
        <w:t xml:space="preserve">.</w:t>
      </w:r>
    </w:p>
    <w:bookmarkStart w:id="20" w:name="tab:morfometria"/>
    <w:p>
      <w:pPr>
        <w:pStyle w:val="TableCaption"/>
        <w:spacing w:after="160"/>
        <w:jc w:val="center"/>
      </w:pPr>
      <w:r>
        <w:rPr>
          <w:rFonts w:ascii="Calibri" w:hAnsi="Calibri"/>
          <w:i/>
          <w:color w:val="64748B"/>
          <w:sz w:val="18"/>
        </w:rPr>
        <w:t xml:space="preserve">Parámetros morfométricos y de relieve de la cuenca.</w:t>
      </w:r>
    </w:p>
    <w:tbl>
      <w:tblPr>
        <w:tblStyle w:val="Table"/>
        <w:tblW w:type="auto" w:w="0"/>
        <w:jc w:val="center"/>
        <w:tblLook w:firstRow="1" w:lastRow="0" w:firstColumn="0" w:lastColumn="0" w:noHBand="0" w:noVBand="0" w:val="0020"/>
        <w:tblCaption w:val="Parámetros morfométricos y de relieve de la cuenca."/>
        <w:tblBorders>
          <w:top w:val="single" w:sz="4" w:space="0" w:color="CBD5E1"/>
          <w:bottom w:val="single" w:sz="4" w:space="0" w:color="CBD5E1"/>
          <w:insideH w:val="single" w:sz="4" w:space="0" w:color="CBD5E1"/>
          <w:insideV w:val="none"/>
          <w:left w:val="none"/>
          <w:right w:val="none"/>
        </w:tblBorders>
      </w:tblPr>
      <w:tblGrid>
        <w:gridCol w:w="3960"/>
        <w:gridCol w:w="396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Parámetro Morfométrico</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Valor Obtenido</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Área de la Cuenca (</w:t>
            </w:r>
            <m:oMath>
              <m:r>
                <m:t>A</m:t>
              </m:r>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b/>
                <w:bCs/>
                <w:color w:val="0F172A"/>
                <w:sz w:val="18"/>
              </w:rPr>
              <w:t xml:space="preserve">610.22 km</w:t>
            </w:r>
            <m:oMath>
              <m:sSup>
                <m:e>
                  <m:r>
                    <m:t>​</m:t>
                  </m:r>
                </m:e>
                <m:sup>
                  <m:r>
                    <m:t>2</m:t>
                  </m:r>
                </m:sup>
              </m:sSup>
            </m:oMath>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Perímetro de la Cuenca (</w:t>
            </w:r>
            <m:oMath>
              <m:r>
                <m:t>P</m:t>
              </m:r>
            </m:oMath>
            <w:r>
              <w:rPr>
                <w:rFonts w:ascii="Calibri" w:hAnsi="Calibri"/>
                <w:color w:val="0F172A"/>
                <w:sz w:val="18"/>
              </w:rPr>
              <w:t xml:space="preserve">)</w:t>
            </w:r>
          </w:p>
        </w:tc>
        <w:tc>
          <w:tcPr>
            <w:vAlign w:val="center"/>
            <w:tcMar>
              <w:top w:w="100" w:type="dxa"/>
              <w:bottom w:w="100" w:type="dxa"/>
              <w:left w:w="140" w:type="dxa"/>
              <w:right w:w="140" w:type="dxa"/>
            </w:tcMar>
            <w:shd w:fill="FFFFFF"/>
          </w:tcPr>
          <w:p>
            <w:pPr>
              <w:pStyle w:val="Compact"/>
              <w:jc w:val="right"/>
            </w:pPr>
            <w:r>
              <w:rPr>
                <w:rFonts w:ascii="Calibri" w:hAnsi="Calibri"/>
                <w:b/>
                <w:bCs/>
                <w:color w:val="0F172A"/>
                <w:sz w:val="18"/>
              </w:rPr>
              <w:t xml:space="preserve">202.94 km</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Longitud Axial (</w:t>
            </w:r>
            <m:oMath>
              <m:sSub>
                <m:e>
                  <m:r>
                    <m:t>L</m:t>
                  </m:r>
                </m:e>
                <m:sub>
                  <m:r>
                    <m:t>a</m:t>
                  </m:r>
                </m:sub>
              </m:sSub>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31.27 km</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Factor de Forma de Horton (</w:t>
            </w:r>
            <m:oMath>
              <m:sSub>
                <m:e>
                  <m:r>
                    <m:t>K</m:t>
                  </m:r>
                </m:e>
                <m:sub>
                  <m:r>
                    <m:t>f</m:t>
                  </m:r>
                </m:sub>
              </m:sSub>
            </m:oMath>
            <w:r>
              <w:rPr>
                <w:rFonts w:ascii="Calibri" w:hAnsi="Calibri"/>
                <w:color w:val="0F172A"/>
                <w:sz w:val="18"/>
              </w:rPr>
              <w:t xml:space="preserve">)</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0.624</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Coeficiente de Compacidad de Gravelius (</w:t>
            </w:r>
            <m:oMath>
              <m:sSub>
                <m:e>
                  <m:r>
                    <m:t>K</m:t>
                  </m:r>
                </m:e>
                <m:sub>
                  <m:r>
                    <m:t>c</m:t>
                  </m:r>
                </m:sub>
              </m:sSub>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2.317</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Relación de Circularidad de Miller (</w:t>
            </w:r>
            <m:oMath>
              <m:sSub>
                <m:e>
                  <m:r>
                    <m:t>R</m:t>
                  </m:r>
                </m:e>
                <m:sub>
                  <m:r>
                    <m:t>c</m:t>
                  </m:r>
                </m:sub>
              </m:sSub>
            </m:oMath>
            <w:r>
              <w:rPr>
                <w:rFonts w:ascii="Calibri" w:hAnsi="Calibri"/>
                <w:color w:val="0F172A"/>
                <w:sz w:val="18"/>
              </w:rPr>
              <w:t xml:space="preserve">)</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0.186</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Densidad de Drenaje (</w:t>
            </w:r>
            <m:oMath>
              <m:sSub>
                <m:e>
                  <m:r>
                    <m:t>D</m:t>
                  </m:r>
                </m:e>
                <m:sub>
                  <m:r>
                    <m:t>d</m:t>
                  </m:r>
                </m:sub>
              </m:sSub>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104.124 km/km</w:t>
            </w:r>
            <m:oMath>
              <m:sSup>
                <m:e>
                  <m:r>
                    <m:t>​</m:t>
                  </m:r>
                </m:e>
                <m:sup>
                  <m:r>
                    <m:t>2</m:t>
                  </m:r>
                </m:sup>
              </m:sSup>
            </m:oMath>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Orden Máximo de Corrientes (Strahler)</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9</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Número de Subcuencas Identificadas</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194</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Elevación Mínima (Exutorio)</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72.23 msnm</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Elevación Máxima (Cabecera)</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945.09 msnm</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Elevación Media de la Cuenca</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132.88 msnm</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Relieve Total de la Cuenca (</w:t>
            </w:r>
            <m:oMath>
              <m:sSub>
                <m:e>
                  <m:r>
                    <m:t>H</m:t>
                  </m:r>
                </m:e>
                <m:sub>
                  <m:r>
                    <m:t>T</m:t>
                  </m:r>
                </m:sub>
              </m:sSub>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872.85 m</w:t>
            </w:r>
          </w:p>
        </w:tc>
      </w:tr>
    </w:tbl>
    <w:bookmarkEnd w:id="20"/>
    <w:bookmarkEnd w:id="21"/>
    <w:bookmarkStart w:id="22" w:name="factor-de-forma-de-horton-k_f"/>
    <w:p>
      <w:pPr>
        <w:pStyle w:val="Heading2"/>
        <w:spacing w:before="200" w:after="80"/>
      </w:pPr>
      <w:r>
        <w:rPr>
          <w:rFonts w:ascii="Calibri" w:hAnsi="Calibri"/>
          <w:b/>
          <w:color w:val="1F9D8F"/>
          <w:sz w:val="25"/>
        </w:rPr>
        <w:t xml:space="preserve">Factor de Forma de Horton (</w:t>
      </w:r>
      <m:oMath>
        <m:sSub>
          <m:e>
            <m:r>
              <m:t>K</m:t>
            </m:r>
          </m:e>
          <m:sub>
            <m:r>
              <m:t>f</m:t>
            </m:r>
          </m:sub>
        </m:sSub>
      </m:oMath>
      <w:r>
        <w:rPr>
          <w:rFonts w:ascii="Calibri" w:hAnsi="Calibri"/>
          <w:b/>
          <w:color w:val="1F9D8F"/>
          <w:sz w:val="25"/>
        </w:rPr>
        <w:t xml:space="preserve">)</w:t>
      </w:r>
    </w:p>
    <w:p>
      <w:pPr>
        <w:pStyle w:val="FirstParagraph"/>
        <w:spacing w:line="276" w:lineRule="auto"/>
      </w:pPr>
      <w:r>
        <w:rPr>
          <w:rFonts w:ascii="Calibri" w:hAnsi="Calibri"/>
          <w:color w:val="0F172A"/>
          <w:sz w:val="21"/>
        </w:rPr>
        <w:t xml:space="preserve">El factor de forma expresa la relación entre el área de la cuenca y el cuadrado de su longitud máxima axial (</w:t>
      </w:r>
      <m:oMath>
        <m:sSub>
          <m:e>
            <m:r>
              <m:t>L</m:t>
            </m:r>
          </m:e>
          <m:sub>
            <m:r>
              <m:t>a</m:t>
            </m:r>
          </m:sub>
        </m:sSub>
      </m:oMath>
      <w:r>
        <w:rPr>
          <w:rFonts w:ascii="Calibri" w:hAnsi="Calibri"/>
          <w:color w:val="0F172A"/>
          <w:sz w:val="21"/>
        </w:rPr>
        <w:t xml:space="preserve">):</w:t>
      </w:r>
    </w:p>
    <w:p>
      <w:pPr>
        <w:pStyle w:val="BodyText"/>
        <w:spacing w:line="276" w:lineRule="auto"/>
      </w:pPr>
      <m:oMathPara>
        <m:oMathParaPr>
          <m:jc m:val="center"/>
        </m:oMathParaPr>
        <m:oMath>
          <m:sSub>
            <m:e>
              <m:r>
                <m:t>K</m:t>
              </m:r>
            </m:e>
            <m:sub>
              <m:r>
                <m:t>f</m:t>
              </m:r>
            </m:sub>
          </m:sSub>
          <m:r>
            <m:rPr>
              <m:sty m:val="p"/>
            </m:rPr>
            <m:t>=</m:t>
          </m:r>
          <m:f>
            <m:fPr>
              <m:type m:val="bar"/>
            </m:fPr>
            <m:num>
              <m:r>
                <m:t>A</m:t>
              </m:r>
            </m:num>
            <m:den>
              <m:sSubSup>
                <m:e>
                  <m:r>
                    <m:t>L</m:t>
                  </m:r>
                </m:e>
                <m:sub>
                  <m:r>
                    <m:t>a</m:t>
                  </m:r>
                </m:sub>
                <m:sup>
                  <m:r>
                    <m:t>2</m:t>
                  </m:r>
                </m:sup>
              </m:sSubSup>
            </m:den>
          </m:f>
        </m:oMath>
      </m:oMathPara>
    </w:p>
    <w:p>
      <w:pPr>
        <w:pStyle w:val="FirstParagraph"/>
        <w:spacing w:line="276" w:lineRule="auto"/>
      </w:pPr>
      <w:r>
        <w:rPr>
          <w:rFonts w:ascii="Calibri" w:hAnsi="Calibri"/>
          <w:color w:val="0F172A"/>
          <w:sz w:val="21"/>
        </w:rPr>
        <w:t xml:space="preserve">Donde</w:t>
      </w:r>
      <w:r>
        <w:rPr>
          <w:rFonts w:ascii="Calibri" w:hAnsi="Calibri"/>
          <w:color w:val="0F172A"/>
          <w:sz w:val="21"/>
        </w:rPr>
        <w:t xml:space="preserve"> </w:t>
      </w:r>
      <m:oMath>
        <m:r>
          <m:t>A</m:t>
        </m:r>
      </m:oMath>
      <w:r>
        <w:rPr>
          <w:rFonts w:ascii="Calibri" w:hAnsi="Calibri"/>
          <w:color w:val="0F172A"/>
          <w:sz w:val="21"/>
        </w:rPr>
        <w:t xml:space="preserve"> </w:t>
      </w:r>
      <w:r>
        <w:rPr>
          <w:rFonts w:ascii="Calibri" w:hAnsi="Calibri"/>
          <w:color w:val="0F172A"/>
          <w:sz w:val="21"/>
        </w:rPr>
        <w:t xml:space="preserve">es el área en km</w:t>
      </w:r>
      <m:oMath>
        <m:sSup>
          <m:e>
            <m:r>
              <m:t>​</m:t>
            </m:r>
          </m:e>
          <m:sup>
            <m:r>
              <m:t>2</m:t>
            </m:r>
          </m:sup>
        </m:sSup>
      </m:oMath>
      <w:r>
        <w:rPr>
          <w:rFonts w:ascii="Calibri" w:hAnsi="Calibri"/>
          <w:color w:val="0F172A"/>
          <w:sz w:val="21"/>
        </w:rPr>
        <w:t xml:space="preserve"> </w:t>
      </w:r>
      <w:r>
        <w:rPr>
          <w:rFonts w:ascii="Calibri" w:hAnsi="Calibri"/>
          <w:color w:val="0F172A"/>
          <w:sz w:val="21"/>
        </w:rPr>
        <w:t xml:space="preserve">y</w:t>
      </w:r>
      <w:r>
        <w:rPr>
          <w:rFonts w:ascii="Calibri" w:hAnsi="Calibri"/>
          <w:color w:val="0F172A"/>
          <w:sz w:val="21"/>
        </w:rPr>
        <w:t xml:space="preserve"> </w:t>
      </w:r>
      <m:oMath>
        <m:sSub>
          <m:e>
            <m:r>
              <m:t>L</m:t>
            </m:r>
          </m:e>
          <m:sub>
            <m:r>
              <m:t>a</m:t>
            </m:r>
          </m:sub>
        </m:sSub>
      </m:oMath>
      <w:r>
        <w:rPr>
          <w:rFonts w:ascii="Calibri" w:hAnsi="Calibri"/>
          <w:color w:val="0F172A"/>
          <w:sz w:val="21"/>
        </w:rPr>
        <w:t xml:space="preserve"> </w:t>
      </w:r>
      <w:r>
        <w:rPr>
          <w:rFonts w:ascii="Calibri" w:hAnsi="Calibri"/>
          <w:color w:val="0F172A"/>
          <w:sz w:val="21"/>
        </w:rPr>
        <w:t xml:space="preserve">es la longitud axial en km. Para la cuenca evaluada se obtuvo un valor de</w:t>
      </w:r>
      <w:r>
        <w:rPr>
          <w:rFonts w:ascii="Calibri" w:hAnsi="Calibri"/>
          <w:color w:val="0F172A"/>
          <w:sz w:val="21"/>
        </w:rPr>
        <w:t xml:space="preserve"> </w:t>
      </w:r>
      <m:oMath>
        <m:sSub>
          <m:e>
            <m:r>
              <m:t>K</m:t>
            </m:r>
          </m:e>
          <m:sub>
            <m:r>
              <m:t>f</m:t>
            </m:r>
          </m:sub>
        </m:sSub>
        <m:r>
          <m:rPr>
            <m:sty m:val="p"/>
          </m:rPr>
          <m:t>=</m:t>
        </m:r>
        <m:r>
          <m:t>0.624</m:t>
        </m:r>
      </m:oMath>
      <w:r>
        <w:rPr>
          <w:rFonts w:ascii="Calibri" w:hAnsi="Calibri"/>
          <w:color w:val="0F172A"/>
          <w:sz w:val="21"/>
        </w:rPr>
        <w:t xml:space="preserve">, clasificándose como una cuenca</w:t>
      </w:r>
      <w:r>
        <w:rPr>
          <w:rFonts w:ascii="Calibri" w:hAnsi="Calibri"/>
          <w:color w:val="0F172A"/>
          <w:sz w:val="21"/>
        </w:rPr>
        <w:t xml:space="preserve"> </w:t>
      </w:r>
      <w:r>
        <w:rPr>
          <w:rFonts w:ascii="Calibri" w:hAnsi="Calibri"/>
          <w:i/>
          <w:iCs/>
          <w:color w:val="0F172A"/>
          <w:sz w:val="21"/>
        </w:rPr>
        <w:t xml:space="preserve">alargada</w:t>
      </w:r>
      <w:r>
        <w:rPr>
          <w:rFonts w:ascii="Calibri" w:hAnsi="Calibri"/>
          <w:color w:val="0F172A"/>
          <w:sz w:val="21"/>
        </w:rPr>
        <w:t xml:space="preserve">, lo cual indica una baja susceptibilidad a crecientes súbitas simultáneas.</w:t>
      </w:r>
    </w:p>
    <w:bookmarkEnd w:id="22"/>
    <w:bookmarkStart w:id="23" w:name="índice-de-compacidad-de-gravelius-k_c"/>
    <w:p>
      <w:pPr>
        <w:pStyle w:val="Heading2"/>
        <w:spacing w:before="200" w:after="80"/>
      </w:pPr>
      <w:r>
        <w:rPr>
          <w:rFonts w:ascii="Calibri" w:hAnsi="Calibri"/>
          <w:b/>
          <w:color w:val="1F9D8F"/>
          <w:sz w:val="25"/>
        </w:rPr>
        <w:t xml:space="preserve">Índice de Compacidad de Gravelius (</w:t>
      </w:r>
      <m:oMath>
        <m:sSub>
          <m:e>
            <m:r>
              <m:t>K</m:t>
            </m:r>
          </m:e>
          <m:sub>
            <m:r>
              <m:t>c</m:t>
            </m:r>
          </m:sub>
        </m:sSub>
      </m:oMath>
      <w:r>
        <w:rPr>
          <w:rFonts w:ascii="Calibri" w:hAnsi="Calibri"/>
          <w:b/>
          <w:color w:val="1F9D8F"/>
          <w:sz w:val="25"/>
        </w:rPr>
        <w:t xml:space="preserve">)</w:t>
      </w:r>
    </w:p>
    <w:p>
      <w:pPr>
        <w:pStyle w:val="FirstParagraph"/>
        <w:spacing w:line="276" w:lineRule="auto"/>
      </w:pPr>
      <w:r>
        <w:rPr>
          <w:rFonts w:ascii="Calibri" w:hAnsi="Calibri"/>
          <w:color w:val="0F172A"/>
          <w:sz w:val="21"/>
        </w:rPr>
        <w:t xml:space="preserve">El índice de compacidad relaciona el perímetro de la cuenca con el perímetro de un círculo de igual superficie:</w:t>
      </w:r>
    </w:p>
    <w:p>
      <w:pPr>
        <w:pStyle w:val="BodyText"/>
        <w:spacing w:line="276" w:lineRule="auto"/>
      </w:pPr>
      <m:oMathPara>
        <m:oMathParaPr>
          <m:jc m:val="center"/>
        </m:oMathParaPr>
        <m:oMath>
          <m:sSub>
            <m:e>
              <m:r>
                <m:t>K</m:t>
              </m:r>
            </m:e>
            <m:sub>
              <m:r>
                <m:t>c</m:t>
              </m:r>
            </m:sub>
          </m:sSub>
          <m:r>
            <m:rPr>
              <m:sty m:val="p"/>
            </m:rPr>
            <m:t>=</m:t>
          </m:r>
          <m:r>
            <m:t>0.282</m:t>
          </m:r>
          <m:f>
            <m:fPr>
              <m:type m:val="bar"/>
            </m:fPr>
            <m:num>
              <m:r>
                <m:t>P</m:t>
              </m:r>
            </m:num>
            <m:den>
              <m:rad>
                <m:radPr>
                  <m:degHide m:val="on"/>
                </m:radPr>
                <m:deg/>
                <m:e>
                  <m:r>
                    <m:t>A</m:t>
                  </m:r>
                </m:e>
              </m:rad>
            </m:den>
          </m:f>
        </m:oMath>
      </m:oMathPara>
    </w:p>
    <w:p>
      <w:pPr>
        <w:pStyle w:val="FirstParagraph"/>
        <w:spacing w:line="276" w:lineRule="auto"/>
      </w:pPr>
      <w:r>
        <w:rPr>
          <w:rFonts w:ascii="Calibri" w:hAnsi="Calibri"/>
          <w:color w:val="0F172A"/>
          <w:sz w:val="21"/>
        </w:rPr>
        <w:t xml:space="preserve">Donde</w:t>
      </w:r>
      <w:r>
        <w:rPr>
          <w:rFonts w:ascii="Calibri" w:hAnsi="Calibri"/>
          <w:color w:val="0F172A"/>
          <w:sz w:val="21"/>
        </w:rPr>
        <w:t xml:space="preserve"> </w:t>
      </w:r>
      <m:oMath>
        <m:r>
          <m:t>P</m:t>
        </m:r>
      </m:oMath>
      <w:r>
        <w:rPr>
          <w:rFonts w:ascii="Calibri" w:hAnsi="Calibri"/>
          <w:color w:val="0F172A"/>
          <w:sz w:val="21"/>
        </w:rPr>
        <w:t xml:space="preserve"> </w:t>
      </w:r>
      <w:r>
        <w:rPr>
          <w:rFonts w:ascii="Calibri" w:hAnsi="Calibri"/>
          <w:color w:val="0F172A"/>
          <w:sz w:val="21"/>
        </w:rPr>
        <w:t xml:space="preserve">es el perímetro en km y</w:t>
      </w:r>
      <w:r>
        <w:rPr>
          <w:rFonts w:ascii="Calibri" w:hAnsi="Calibri"/>
          <w:color w:val="0F172A"/>
          <w:sz w:val="21"/>
        </w:rPr>
        <w:t xml:space="preserve"> </w:t>
      </w:r>
      <m:oMath>
        <m:r>
          <m:t>A</m:t>
        </m:r>
      </m:oMath>
      <w:r>
        <w:rPr>
          <w:rFonts w:ascii="Calibri" w:hAnsi="Calibri"/>
          <w:color w:val="0F172A"/>
          <w:sz w:val="21"/>
        </w:rPr>
        <w:t xml:space="preserve"> </w:t>
      </w:r>
      <w:r>
        <w:rPr>
          <w:rFonts w:ascii="Calibri" w:hAnsi="Calibri"/>
          <w:color w:val="0F172A"/>
          <w:sz w:val="21"/>
        </w:rPr>
        <w:t xml:space="preserve">el área en km</w:t>
      </w:r>
      <m:oMath>
        <m:sSup>
          <m:e>
            <m:r>
              <m:t>​</m:t>
            </m:r>
          </m:e>
          <m:sup>
            <m:r>
              <m:t>2</m:t>
            </m:r>
          </m:sup>
        </m:sSup>
      </m:oMath>
      <w:r>
        <w:rPr>
          <w:rFonts w:ascii="Calibri" w:hAnsi="Calibri"/>
          <w:color w:val="0F172A"/>
          <w:sz w:val="21"/>
        </w:rPr>
        <w:t xml:space="preserve">. Un valor de</w:t>
      </w:r>
      <w:r>
        <w:rPr>
          <w:rFonts w:ascii="Calibri" w:hAnsi="Calibri"/>
          <w:color w:val="0F172A"/>
          <w:sz w:val="21"/>
        </w:rPr>
        <w:t xml:space="preserve"> </w:t>
      </w:r>
      <m:oMath>
        <m:sSub>
          <m:e>
            <m:r>
              <m:t>K</m:t>
            </m:r>
          </m:e>
          <m:sub>
            <m:r>
              <m:t>c</m:t>
            </m:r>
          </m:sub>
        </m:sSub>
        <m:r>
          <m:rPr>
            <m:sty m:val="p"/>
          </m:rPr>
          <m:t>=</m:t>
        </m:r>
        <m:r>
          <m:t>1.0</m:t>
        </m:r>
      </m:oMath>
      <w:r>
        <w:rPr>
          <w:rFonts w:ascii="Calibri" w:hAnsi="Calibri"/>
          <w:color w:val="0F172A"/>
          <w:sz w:val="21"/>
        </w:rPr>
        <w:t xml:space="preserve"> </w:t>
      </w:r>
      <w:r>
        <w:rPr>
          <w:rFonts w:ascii="Calibri" w:hAnsi="Calibri"/>
          <w:color w:val="0F172A"/>
          <w:sz w:val="21"/>
        </w:rPr>
        <w:t xml:space="preserve">corresponde a una cuenca perfectamente circular. El valor obtenido de</w:t>
      </w:r>
      <w:r>
        <w:rPr>
          <w:rFonts w:ascii="Calibri" w:hAnsi="Calibri"/>
          <w:color w:val="0F172A"/>
          <w:sz w:val="21"/>
        </w:rPr>
        <w:t xml:space="preserve"> </w:t>
      </w:r>
      <m:oMath>
        <m:sSub>
          <m:e>
            <m:r>
              <m:t>K</m:t>
            </m:r>
          </m:e>
          <m:sub>
            <m:r>
              <m:t>c</m:t>
            </m:r>
          </m:sub>
        </m:sSub>
        <m:r>
          <m:rPr>
            <m:sty m:val="p"/>
          </m:rPr>
          <m:t>=</m:t>
        </m:r>
        <m:r>
          <m:t>2.317</m:t>
        </m:r>
      </m:oMath>
      <w:r>
        <w:rPr>
          <w:rFonts w:ascii="Calibri" w:hAnsi="Calibri"/>
          <w:color w:val="0F172A"/>
          <w:sz w:val="21"/>
        </w:rPr>
        <w:t xml:space="preserve"> </w:t>
      </w:r>
      <w:r>
        <w:rPr>
          <w:rFonts w:ascii="Calibri" w:hAnsi="Calibri"/>
          <w:color w:val="0F172A"/>
          <w:sz w:val="21"/>
        </w:rPr>
        <w:t xml:space="preserve">confirma una morfología que favorece la disipación temporal de caudales.</w:t>
      </w:r>
    </w:p>
    <w:bookmarkEnd w:id="23"/>
    <w:bookmarkStart w:id="24" w:name="relación-de-circularidad-de-miller-r_c"/>
    <w:p>
      <w:pPr>
        <w:pStyle w:val="Heading2"/>
        <w:spacing w:before="200" w:after="80"/>
      </w:pPr>
      <w:r>
        <w:rPr>
          <w:rFonts w:ascii="Calibri" w:hAnsi="Calibri"/>
          <w:b/>
          <w:color w:val="1F9D8F"/>
          <w:sz w:val="25"/>
        </w:rPr>
        <w:t xml:space="preserve">Relación de Circularidad de Miller (</w:t>
      </w:r>
      <m:oMath>
        <m:sSub>
          <m:e>
            <m:r>
              <m:t>R</m:t>
            </m:r>
          </m:e>
          <m:sub>
            <m:r>
              <m:t>c</m:t>
            </m:r>
          </m:sub>
        </m:sSub>
      </m:oMath>
      <w:r>
        <w:rPr>
          <w:rFonts w:ascii="Calibri" w:hAnsi="Calibri"/>
          <w:b/>
          <w:color w:val="1F9D8F"/>
          <w:sz w:val="25"/>
        </w:rPr>
        <w:t xml:space="preserve">)</w:t>
      </w:r>
    </w:p>
    <w:p>
      <w:pPr>
        <w:pStyle w:val="FirstParagraph"/>
        <w:spacing w:line="276" w:lineRule="auto"/>
      </w:pPr>
      <w:r>
        <w:rPr>
          <w:rFonts w:ascii="Calibri" w:hAnsi="Calibri"/>
          <w:color w:val="0F172A"/>
          <w:sz w:val="21"/>
        </w:rPr>
        <w:t xml:space="preserve">La relación de circularidad compara el área de la cuenca con el área de un círculo que posee el mismo perímetro:</w:t>
      </w:r>
    </w:p>
    <w:p>
      <w:pPr>
        <w:pStyle w:val="BodyText"/>
        <w:spacing w:line="276" w:lineRule="auto"/>
      </w:pPr>
      <m:oMathPara>
        <m:oMathParaPr>
          <m:jc m:val="center"/>
        </m:oMathParaPr>
        <m:oMath>
          <m:sSub>
            <m:e>
              <m:r>
                <m:t>R</m:t>
              </m:r>
            </m:e>
            <m:sub>
              <m:r>
                <m:t>c</m:t>
              </m:r>
            </m:sub>
          </m:sSub>
          <m:r>
            <m:rPr>
              <m:sty m:val="p"/>
            </m:rPr>
            <m:t>=</m:t>
          </m:r>
          <m:f>
            <m:fPr>
              <m:type m:val="bar"/>
            </m:fPr>
            <m:num>
              <m:r>
                <m:t>4</m:t>
              </m:r>
              <m:r>
                <m:t>π</m:t>
              </m:r>
              <m:r>
                <m:t>A</m:t>
              </m:r>
            </m:num>
            <m:den>
              <m:sSup>
                <m:e>
                  <m:r>
                    <m:t>P</m:t>
                  </m:r>
                </m:e>
                <m:sup>
                  <m:r>
                    <m:t>2</m:t>
                  </m:r>
                </m:sup>
              </m:sSup>
            </m:den>
          </m:f>
        </m:oMath>
      </m:oMathPara>
    </w:p>
    <w:p>
      <w:pPr>
        <w:pStyle w:val="FirstParagraph"/>
        <w:spacing w:line="276" w:lineRule="auto"/>
      </w:pPr>
      <w:r>
        <w:rPr>
          <w:rFonts w:ascii="Calibri" w:hAnsi="Calibri"/>
          <w:color w:val="0F172A"/>
          <w:sz w:val="21"/>
        </w:rPr>
        <w:t xml:space="preserve">El valor obtenido de</w:t>
      </w:r>
      <w:r>
        <w:rPr>
          <w:rFonts w:ascii="Calibri" w:hAnsi="Calibri"/>
          <w:color w:val="0F172A"/>
          <w:sz w:val="21"/>
        </w:rPr>
        <w:t xml:space="preserve"> </w:t>
      </w:r>
      <m:oMath>
        <m:sSub>
          <m:e>
            <m:r>
              <m:t>R</m:t>
            </m:r>
          </m:e>
          <m:sub>
            <m:r>
              <m:t>c</m:t>
            </m:r>
          </m:sub>
        </m:sSub>
        <m:r>
          <m:rPr>
            <m:sty m:val="p"/>
          </m:rPr>
          <m:t>=</m:t>
        </m:r>
        <m:r>
          <m:t>0.186</m:t>
        </m:r>
      </m:oMath>
      <w:r>
        <w:rPr>
          <w:rFonts w:ascii="Calibri" w:hAnsi="Calibri"/>
          <w:color w:val="0F172A"/>
          <w:sz w:val="21"/>
        </w:rPr>
        <w:t xml:space="preserve"> </w:t>
      </w:r>
      <w:r>
        <w:rPr>
          <w:rFonts w:ascii="Calibri" w:hAnsi="Calibri"/>
          <w:color w:val="0F172A"/>
          <w:sz w:val="21"/>
        </w:rPr>
        <w:t xml:space="preserve">corrobora el comportamiento alargado y la moderada respuesta hidrológica del drenaje ante eventos torrenciales.</w:t>
      </w:r>
    </w:p>
    <w:bookmarkEnd w:id="24"/>
    <w:bookmarkStart w:id="25" w:name="densidad-de-drenaje-d_d"/>
    <w:p>
      <w:pPr>
        <w:pStyle w:val="Heading2"/>
        <w:spacing w:before="200" w:after="80"/>
      </w:pPr>
      <w:r>
        <w:rPr>
          <w:rFonts w:ascii="Calibri" w:hAnsi="Calibri"/>
          <w:b/>
          <w:color w:val="1F9D8F"/>
          <w:sz w:val="25"/>
        </w:rPr>
        <w:t xml:space="preserve">Densidad de Drenaje (</w:t>
      </w:r>
      <m:oMath>
        <m:sSub>
          <m:e>
            <m:r>
              <m:t>D</m:t>
            </m:r>
          </m:e>
          <m:sub>
            <m:r>
              <m:t>d</m:t>
            </m:r>
          </m:sub>
        </m:sSub>
      </m:oMath>
      <w:r>
        <w:rPr>
          <w:rFonts w:ascii="Calibri" w:hAnsi="Calibri"/>
          <w:b/>
          <w:color w:val="1F9D8F"/>
          <w:sz w:val="25"/>
        </w:rPr>
        <w:t xml:space="preserve">)</w:t>
      </w:r>
    </w:p>
    <w:p>
      <w:pPr>
        <w:pStyle w:val="FirstParagraph"/>
        <w:spacing w:line="276" w:lineRule="auto"/>
      </w:pPr>
      <w:r>
        <w:rPr>
          <w:rFonts w:ascii="Calibri" w:hAnsi="Calibri"/>
          <w:color w:val="0F172A"/>
          <w:sz w:val="21"/>
        </w:rPr>
        <w:t xml:space="preserve">La densidad de drenaje relaciona la longitud total de corrientes fluviales con el área total de la cuenca:</w:t>
      </w:r>
    </w:p>
    <w:p>
      <w:pPr>
        <w:pStyle w:val="BodyText"/>
        <w:spacing w:line="276" w:lineRule="auto"/>
      </w:pPr>
      <m:oMathPara>
        <m:oMathParaPr>
          <m:jc m:val="center"/>
        </m:oMathParaPr>
        <m:oMath>
          <m:sSub>
            <m:e>
              <m:r>
                <m:t>D</m:t>
              </m:r>
            </m:e>
            <m:sub>
              <m:r>
                <m:t>d</m:t>
              </m:r>
            </m:sub>
          </m:sSub>
          <m:r>
            <m:rPr>
              <m:sty m:val="p"/>
            </m:rPr>
            <m:t>=</m:t>
          </m:r>
          <m:f>
            <m:fPr>
              <m:type m:val="bar"/>
            </m:fPr>
            <m:num>
              <m:r>
                <m:rPr>
                  <m:sty m:val="p"/>
                </m:rPr>
                <m:t>∑</m:t>
              </m:r>
              <m:sSub>
                <m:e>
                  <m:r>
                    <m:t>L</m:t>
                  </m:r>
                </m:e>
                <m:sub>
                  <m:r>
                    <m:t>i</m:t>
                  </m:r>
                </m:sub>
              </m:sSub>
            </m:num>
            <m:den>
              <m:r>
                <m:t>A</m:t>
              </m:r>
            </m:den>
          </m:f>
          <m:r>
            <m:rPr>
              <m:sty m:val="p"/>
            </m:rPr>
            <m:t>=</m:t>
          </m:r>
          <m:r>
            <m:t>104.124</m:t>
          </m:r>
          <m:sSup>
            <m:e>
              <m:r>
                <m:rPr>
                  <m:nor/>
                  <m:sty m:val="p"/>
                </m:rPr>
                <m:t> km/km</m:t>
              </m:r>
            </m:e>
            <m:sup>
              <m:r>
                <m:t>2</m:t>
              </m:r>
            </m:sup>
          </m:sSup>
        </m:oMath>
      </m:oMathPara>
    </w:p>
    <w:p>
      <w:pPr>
        <w:pStyle w:val="FirstParagraph"/>
        <w:spacing w:line="276" w:lineRule="auto"/>
      </w:pPr>
      <w:r>
        <w:rPr>
          <w:rFonts w:ascii="Calibri" w:hAnsi="Calibri"/>
          <w:color w:val="0F172A"/>
          <w:sz w:val="21"/>
        </w:rPr>
        <w:t xml:space="preserve">Este valor refleja la capacidad de evacuación de caudales superficiales y el grado de desarrollo de la red hídrica.</w:t>
      </w:r>
    </w:p>
    <w:bookmarkEnd w:id="25"/>
    <w:bookmarkStart w:id="26" w:name="relieve-y-elevaciones"/>
    <w:p>
      <w:pPr>
        <w:pStyle w:val="Heading2"/>
        <w:spacing w:before="200" w:after="80"/>
      </w:pPr>
      <w:r>
        <w:rPr>
          <w:rFonts w:ascii="Calibri" w:hAnsi="Calibri"/>
          <w:b/>
          <w:color w:val="1F9D8F"/>
          <w:sz w:val="25"/>
        </w:rPr>
        <w:t xml:space="preserve">Relieve y Elevaciones</w:t>
      </w:r>
    </w:p>
    <w:p>
      <w:pPr>
        <w:pStyle w:val="FirstParagraph"/>
        <w:spacing w:line="276" w:lineRule="auto"/>
      </w:pPr>
      <w:r>
        <w:rPr>
          <w:rFonts w:ascii="Calibri" w:hAnsi="Calibri"/>
          <w:color w:val="0F172A"/>
          <w:sz w:val="21"/>
        </w:rPr>
        <w:t xml:space="preserve">El análisis altimétrico revela una elevación mínima en el exutorio de</w:t>
      </w:r>
      <w:r>
        <w:rPr>
          <w:rFonts w:ascii="Calibri" w:hAnsi="Calibri"/>
          <w:color w:val="0F172A"/>
          <w:sz w:val="21"/>
        </w:rPr>
        <w:t xml:space="preserve"> </w:t>
      </w:r>
      <w:r>
        <w:rPr>
          <w:rFonts w:ascii="Calibri" w:hAnsi="Calibri"/>
          <w:b/>
          <w:bCs/>
          <w:color w:val="0F172A"/>
          <w:sz w:val="21"/>
        </w:rPr>
        <w:t xml:space="preserve">72.23 msnm</w:t>
      </w:r>
      <w:r>
        <w:rPr>
          <w:rFonts w:ascii="Calibri" w:hAnsi="Calibri"/>
          <w:color w:val="0F172A"/>
          <w:sz w:val="21"/>
        </w:rPr>
        <w:t xml:space="preserve">, una cota máxima en cabecera de</w:t>
      </w:r>
      <w:r>
        <w:rPr>
          <w:rFonts w:ascii="Calibri" w:hAnsi="Calibri"/>
          <w:color w:val="0F172A"/>
          <w:sz w:val="21"/>
        </w:rPr>
        <w:t xml:space="preserve"> </w:t>
      </w:r>
      <w:r>
        <w:rPr>
          <w:rFonts w:ascii="Calibri" w:hAnsi="Calibri"/>
          <w:b/>
          <w:bCs/>
          <w:color w:val="0F172A"/>
          <w:sz w:val="21"/>
        </w:rPr>
        <w:t xml:space="preserve">945.09 msnm</w:t>
      </w:r>
      <w:r>
        <w:rPr>
          <w:rFonts w:ascii="Calibri" w:hAnsi="Calibri"/>
          <w:color w:val="0F172A"/>
          <w:sz w:val="21"/>
        </w:rPr>
        <w:t xml:space="preserve">, y una elevación media ponderada de</w:t>
      </w:r>
      <w:r>
        <w:rPr>
          <w:rFonts w:ascii="Calibri" w:hAnsi="Calibri"/>
          <w:color w:val="0F172A"/>
          <w:sz w:val="21"/>
        </w:rPr>
        <w:t xml:space="preserve"> </w:t>
      </w:r>
      <w:r>
        <w:rPr>
          <w:rFonts w:ascii="Calibri" w:hAnsi="Calibri"/>
          <w:b/>
          <w:bCs/>
          <w:color w:val="0F172A"/>
          <w:sz w:val="21"/>
        </w:rPr>
        <w:t xml:space="preserve">132.88 msnm</w:t>
      </w:r>
      <w:r>
        <w:rPr>
          <w:rFonts w:ascii="Calibri" w:hAnsi="Calibri"/>
          <w:color w:val="0F172A"/>
          <w:sz w:val="21"/>
        </w:rPr>
        <w:t xml:space="preserve">, representando un relieve total de</w:t>
      </w:r>
      <w:r>
        <w:rPr>
          <w:rFonts w:ascii="Calibri" w:hAnsi="Calibri"/>
          <w:color w:val="0F172A"/>
          <w:sz w:val="21"/>
        </w:rPr>
        <w:t xml:space="preserve"> </w:t>
      </w:r>
      <m:oMath>
        <m:sSub>
          <m:e>
            <m:r>
              <m:t>H</m:t>
            </m:r>
          </m:e>
          <m:sub>
            <m:r>
              <m:t>T</m:t>
            </m:r>
          </m:sub>
        </m:sSub>
        <m:r>
          <m:rPr>
            <m:sty m:val="p"/>
          </m:rPr>
          <m:t>=</m:t>
        </m:r>
        <m:r>
          <m:t>872.85</m:t>
        </m:r>
      </m:oMath>
      <w:r>
        <w:rPr>
          <w:rFonts w:ascii="Calibri" w:hAnsi="Calibri"/>
          <w:color w:val="0F172A"/>
          <w:sz w:val="21"/>
        </w:rPr>
        <w:t xml:space="preserve"> </w:t>
      </w:r>
      <w:r>
        <w:rPr>
          <w:rFonts w:ascii="Calibri" w:hAnsi="Calibri"/>
          <w:color w:val="0F172A"/>
          <w:sz w:val="21"/>
        </w:rPr>
        <w:t xml:space="preserve">m.</w:t>
      </w:r>
    </w:p>
    <w:bookmarkEnd w:id="26"/>
    <w:bookmarkStart w:id="27" w:name="orden-de-strahler"/>
    <w:p>
      <w:pPr>
        <w:pStyle w:val="Heading2"/>
        <w:spacing w:before="200" w:after="80"/>
      </w:pPr>
      <w:r>
        <w:rPr>
          <w:rFonts w:ascii="Calibri" w:hAnsi="Calibri"/>
          <w:b/>
          <w:color w:val="1F9D8F"/>
          <w:sz w:val="25"/>
        </w:rPr>
        <w:t xml:space="preserve">Orden de Strahler</w:t>
      </w:r>
    </w:p>
    <w:p>
      <w:pPr>
        <w:pStyle w:val="FirstParagraph"/>
        <w:spacing w:line="276" w:lineRule="auto"/>
      </w:pPr>
      <w:r>
        <w:rPr>
          <w:rFonts w:ascii="Calibri" w:hAnsi="Calibri"/>
          <w:color w:val="0F172A"/>
          <w:sz w:val="21"/>
        </w:rPr>
        <w:t xml:space="preserve">La jerarquización fluvial se realizó bajo la metodología topológica de Strahler, alcanzando un orden máximo de corriente igual a</w:t>
      </w:r>
      <w:r>
        <w:rPr>
          <w:rFonts w:ascii="Calibri" w:hAnsi="Calibri"/>
          <w:color w:val="0F172A"/>
          <w:sz w:val="21"/>
        </w:rPr>
        <w:t xml:space="preserve"> </w:t>
      </w:r>
      <w:r>
        <w:rPr>
          <w:rFonts w:ascii="Calibri" w:hAnsi="Calibri"/>
          <w:b/>
          <w:bCs/>
          <w:color w:val="0F172A"/>
          <w:sz w:val="21"/>
        </w:rPr>
        <w:t xml:space="preserve">9</w:t>
      </w:r>
      <w:r>
        <w:rPr>
          <w:rFonts w:ascii="Calibri" w:hAnsi="Calibri"/>
          <w:color w:val="0F172A"/>
          <w:sz w:val="21"/>
        </w:rPr>
        <w:t xml:space="preserve">. En la Figura </w:t>
      </w:r>
      <w:hyperlink w:anchor="fig:strahler">
        <w:r>
          <w:rPr>
            <w:rStyle w:val="Hyperlink"/>
          </w:rPr>
          <w:t xml:space="preserve">[fig:strahler]</w:t>
        </w:r>
      </w:hyperlink>
      <w:r>
        <w:rPr>
          <w:rFonts w:ascii="Calibri" w:hAnsi="Calibri"/>
          <w:color w:val="0F172A"/>
          <w:sz w:val="21"/>
        </w:rPr>
        <w:t xml:space="preserve"> </w:t>
      </w:r>
      <w:r>
        <w:rPr>
          <w:rFonts w:ascii="Calibri" w:hAnsi="Calibri"/>
          <w:color w:val="0F172A"/>
          <w:sz w:val="21"/>
        </w:rPr>
        <w:t xml:space="preserve">se representa la clasificación espacial de corrientes.</w:t>
      </w:r>
    </w:p>
    <w:bookmarkEnd w:id="27"/>
    <w:bookmarkStart w:id="29" w:name="subcuencas-y-red-de-drenaje"/>
    <w:p>
      <w:pPr>
        <w:pStyle w:val="Heading2"/>
        <w:spacing w:before="200" w:after="80"/>
      </w:pPr>
      <w:r>
        <w:rPr>
          <w:rFonts w:ascii="Calibri" w:hAnsi="Calibri"/>
          <w:b/>
          <w:color w:val="1F9D8F"/>
          <w:sz w:val="25"/>
        </w:rPr>
        <w:t xml:space="preserve">Subcuencas y Red de Drenaje</w:t>
      </w:r>
    </w:p>
    <w:p>
      <w:pPr>
        <w:pStyle w:val="FirstParagraph"/>
        <w:spacing w:line="276" w:lineRule="auto"/>
      </w:pPr>
      <w:r>
        <w:rPr>
          <w:rFonts w:ascii="Calibri" w:hAnsi="Calibri"/>
          <w:color w:val="0F172A"/>
          <w:sz w:val="21"/>
        </w:rPr>
        <w:t xml:space="preserve">A partir de los puntos de confluencia y umbrales de acumulación se subdividió la cuenca en</w:t>
      </w:r>
      <w:r>
        <w:rPr>
          <w:rFonts w:ascii="Calibri" w:hAnsi="Calibri"/>
          <w:color w:val="0F172A"/>
          <w:sz w:val="21"/>
        </w:rPr>
        <w:t xml:space="preserve"> </w:t>
      </w:r>
      <w:r>
        <w:rPr>
          <w:rFonts w:ascii="Calibri" w:hAnsi="Calibri"/>
          <w:b/>
          <w:bCs/>
          <w:color w:val="0F172A"/>
          <w:sz w:val="21"/>
        </w:rPr>
        <w:t xml:space="preserve">194</w:t>
      </w:r>
      <w:r>
        <w:rPr>
          <w:rFonts w:ascii="Calibri" w:hAnsi="Calibri"/>
          <w:color w:val="0F172A"/>
          <w:sz w:val="21"/>
        </w:rPr>
        <w:t xml:space="preserve"> </w:t>
      </w:r>
      <w:r>
        <w:rPr>
          <w:rFonts w:ascii="Calibri" w:hAnsi="Calibri"/>
          <w:color w:val="0F172A"/>
          <w:sz w:val="21"/>
        </w:rPr>
        <w:t xml:space="preserve">subcuencas tributarias. En las Figuras </w:t>
      </w:r>
      <w:hyperlink w:anchor="fig:watershed_drenaje">
        <w:r>
          <w:rPr>
            <w:rStyle w:val="Hyperlink"/>
          </w:rPr>
          <w:t xml:space="preserve">[fig:watershed_drenaje]</w:t>
        </w:r>
      </w:hyperlink>
      <w:r>
        <w:rPr>
          <w:rFonts w:ascii="Calibri" w:hAnsi="Calibri"/>
          <w:color w:val="0F172A"/>
          <w:sz w:val="21"/>
        </w:rPr>
        <w:t xml:space="preserve"> </w:t>
      </w:r>
      <w:r>
        <w:rPr>
          <w:rFonts w:ascii="Calibri" w:hAnsi="Calibri"/>
          <w:color w:val="0F172A"/>
          <w:sz w:val="21"/>
        </w:rPr>
        <w:t xml:space="preserve">y </w:t>
      </w:r>
      <w:hyperlink w:anchor="fig:subcuencas">
        <w:r>
          <w:rPr>
            <w:rStyle w:val="Hyperlink"/>
          </w:rPr>
          <w:t xml:space="preserve">[fig:subcuencas]</w:t>
        </w:r>
      </w:hyperlink>
      <w:r>
        <w:rPr>
          <w:rFonts w:ascii="Calibri" w:hAnsi="Calibri"/>
          <w:color w:val="0F172A"/>
          <w:sz w:val="21"/>
        </w:rPr>
        <w:t xml:space="preserve"> </w:t>
      </w:r>
      <w:r>
        <w:rPr>
          <w:rFonts w:ascii="Calibri" w:hAnsi="Calibri"/>
          <w:color w:val="0F172A"/>
          <w:sz w:val="21"/>
        </w:rPr>
        <w:t xml:space="preserve">y en el Cuadro </w:t>
      </w:r>
      <w:hyperlink w:anchor="tab:subcuencas">
        <w:r>
          <w:rPr>
            <w:rStyle w:val="Hyperlink"/>
          </w:rPr>
          <w:t xml:space="preserve">2</w:t>
        </w:r>
      </w:hyperlink>
      <w:r>
        <w:rPr>
          <w:rFonts w:ascii="Calibri" w:hAnsi="Calibri"/>
          <w:color w:val="0F172A"/>
          <w:sz w:val="21"/>
        </w:rPr>
        <w:t xml:space="preserve"> </w:t>
      </w:r>
      <w:r>
        <w:rPr>
          <w:rFonts w:ascii="Calibri" w:hAnsi="Calibri"/>
          <w:color w:val="0F172A"/>
          <w:sz w:val="21"/>
        </w:rPr>
        <w:t xml:space="preserve">se detalla la partición territorial.</w:t>
      </w:r>
    </w:p>
    <w:bookmarkStart w:id="28" w:name="tab:subcuencas"/>
    <w:p>
      <w:pPr>
        <w:pStyle w:val="TableCaption"/>
        <w:spacing w:after="160"/>
        <w:jc w:val="center"/>
      </w:pPr>
      <w:r>
        <w:rPr>
          <w:rFonts w:ascii="Calibri" w:hAnsi="Calibri"/>
          <w:i/>
          <w:color w:val="64748B"/>
          <w:sz w:val="18"/>
        </w:rPr>
        <w:t xml:space="preserve">Distribución de áreas por subcuencas hidrológicas principales.</w:t>
      </w:r>
    </w:p>
    <w:tbl>
      <w:tblPr>
        <w:tblStyle w:val="Table"/>
        <w:tblW w:type="auto" w:w="0"/>
        <w:jc w:val="center"/>
        <w:tblLook w:firstRow="1" w:lastRow="0" w:firstColumn="0" w:lastColumn="0" w:noHBand="0" w:noVBand="0" w:val="0020"/>
        <w:tblCaption w:val="Distribución de áreas por subcuencas hidrológicas principales."/>
        <w:tblBorders>
          <w:top w:val="single" w:sz="4" w:space="0" w:color="CBD5E1"/>
          <w:bottom w:val="single" w:sz="4" w:space="0" w:color="CBD5E1"/>
          <w:insideH w:val="single" w:sz="4" w:space="0" w:color="CBD5E1"/>
          <w:insideV w:val="none"/>
          <w:left w:val="none"/>
          <w:right w:val="none"/>
        </w:tblBorders>
      </w:tblPr>
      <w:tblGrid>
        <w:gridCol w:w="2640"/>
        <w:gridCol w:w="2640"/>
        <w:gridCol w:w="2640"/>
      </w:tblGrid>
      <w:tr>
        <w:trPr>
          <w:tblHeader w:val="on"/>
        </w:trPr>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ID Subcuenca</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Área (km</w:t>
            </w:r>
            <m:oMath>
              <m:sSup>
                <m:e>
                  <m:r>
                    <m:t>​</m:t>
                  </m:r>
                </m:e>
                <m:sup>
                  <m:r>
                    <m:t>2</m:t>
                  </m:r>
                </m:sup>
              </m:sSup>
            </m:oMath>
            <w:r>
              <w:rPr>
                <w:rFonts w:ascii="Calibri" w:hAnsi="Calibri"/>
                <w:b/>
                <w:bCs/>
                <w:color w:val="FFFFFF"/>
                <w:sz w:val="19"/>
              </w:rPr>
              <w:t xml:space="preserve">)</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 Área Total</w:t>
            </w:r>
          </w:p>
        </w:tc>
      </w:tr>
    </w:tbl>
    <w:bookmarkEnd w:id="28"/>
    <w:bookmarkEnd w:id="29"/>
    <w:bookmarkStart w:id="31" w:name="cauce-principal-y-perfil-longitudinal"/>
    <w:p>
      <w:pPr>
        <w:pStyle w:val="Heading2"/>
        <w:spacing w:before="200" w:after="80"/>
      </w:pPr>
      <w:r>
        <w:rPr>
          <w:rFonts w:ascii="Calibri" w:hAnsi="Calibri"/>
          <w:b/>
          <w:color w:val="1F9D8F"/>
          <w:sz w:val="25"/>
        </w:rPr>
        <w:t xml:space="preserve">Cauce Principal y Perfil Longitudinal</w:t>
      </w:r>
    </w:p>
    <w:p>
      <w:pPr>
        <w:pStyle w:val="FirstParagraph"/>
        <w:spacing w:line="276" w:lineRule="auto"/>
      </w:pPr>
      <w:r>
        <w:rPr>
          <w:rFonts w:ascii="Calibri" w:hAnsi="Calibri"/>
          <w:color w:val="0F172A"/>
          <w:sz w:val="21"/>
        </w:rPr>
        <w:t xml:space="preserve">En el Cuadro </w:t>
      </w:r>
      <w:hyperlink w:anchor="tab:cauce">
        <w:r>
          <w:rPr>
            <w:rStyle w:val="Hyperlink"/>
          </w:rPr>
          <w:t xml:space="preserve">3</w:t>
        </w:r>
      </w:hyperlink>
      <w:r>
        <w:rPr>
          <w:rFonts w:ascii="Calibri" w:hAnsi="Calibri"/>
          <w:color w:val="0F172A"/>
          <w:sz w:val="21"/>
        </w:rPr>
        <w:t xml:space="preserve"> </w:t>
      </w:r>
      <w:r>
        <w:rPr>
          <w:rFonts w:ascii="Calibri" w:hAnsi="Calibri"/>
          <w:color w:val="0F172A"/>
          <w:sz w:val="21"/>
        </w:rPr>
        <w:t xml:space="preserve">se resumen las características geométricas y altimétricas del cauce principal, complementadas con su perfil longitudinal en la Figura </w:t>
      </w:r>
      <w:hyperlink w:anchor="fig:perfil">
        <w:r>
          <w:rPr>
            <w:rStyle w:val="Hyperlink"/>
          </w:rPr>
          <w:t xml:space="preserve">[fig:perfil]</w:t>
        </w:r>
      </w:hyperlink>
      <w:r>
        <w:rPr>
          <w:rFonts w:ascii="Calibri" w:hAnsi="Calibri"/>
          <w:color w:val="0F172A"/>
          <w:sz w:val="21"/>
        </w:rPr>
        <w:t xml:space="preserve">.</w:t>
      </w:r>
    </w:p>
    <w:bookmarkStart w:id="30" w:name="tab:cauce"/>
    <w:p>
      <w:pPr>
        <w:pStyle w:val="TableCaption"/>
        <w:spacing w:after="160"/>
        <w:jc w:val="center"/>
      </w:pPr>
      <w:r>
        <w:rPr>
          <w:rFonts w:ascii="Calibri" w:hAnsi="Calibri"/>
          <w:i/>
          <w:color w:val="64748B"/>
          <w:sz w:val="18"/>
        </w:rPr>
        <w:t xml:space="preserve">Características geométricas y altimétricas del cauce principal.</w:t>
      </w:r>
    </w:p>
    <w:tbl>
      <w:tblPr>
        <w:tblStyle w:val="Table"/>
        <w:tblW w:type="auto" w:w="0"/>
        <w:jc w:val="center"/>
        <w:tblLook w:firstRow="1" w:lastRow="0" w:firstColumn="0" w:lastColumn="0" w:noHBand="0" w:noVBand="0" w:val="0020"/>
        <w:tblCaption w:val="Características geométricas y altimétricas del cauce principal."/>
        <w:tblBorders>
          <w:top w:val="single" w:sz="4" w:space="0" w:color="CBD5E1"/>
          <w:bottom w:val="single" w:sz="4" w:space="0" w:color="CBD5E1"/>
          <w:insideH w:val="single" w:sz="4" w:space="0" w:color="CBD5E1"/>
          <w:insideV w:val="none"/>
          <w:left w:val="none"/>
          <w:right w:val="none"/>
        </w:tblBorders>
      </w:tblPr>
      <w:tblGrid>
        <w:gridCol w:w="3960"/>
        <w:gridCol w:w="396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Parámetro del Cauce</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Valor</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Longitud del Cauce Principal (</w:t>
            </w:r>
            <m:oMath>
              <m:r>
                <m:t>L</m:t>
              </m:r>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b/>
                <w:bCs/>
                <w:color w:val="0F172A"/>
                <w:sz w:val="18"/>
              </w:rPr>
              <w:t xml:space="preserve">46.33 km</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Elevación en Cabecera</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766.92 msnm</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Elevación en Exutorio</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72.23 msnm</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Desnivel Topográfico (</w:t>
            </w:r>
            <m:oMath>
              <m:r>
                <m:rPr>
                  <m:sty m:val="p"/>
                </m:rPr>
                <m:t>Δ</m:t>
              </m:r>
              <m:r>
                <m:t>H</m:t>
              </m:r>
            </m:oMath>
            <w:r>
              <w:rPr>
                <w:rFonts w:ascii="Calibri" w:hAnsi="Calibri"/>
                <w:color w:val="0F172A"/>
                <w:sz w:val="18"/>
              </w:rPr>
              <w:t xml:space="preserve">)</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694.69 m</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Pendiente Media del Cauce (</w:t>
            </w:r>
            <m:oMath>
              <m:r>
                <m:t>S</m:t>
              </m:r>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1.499%</w:t>
            </w:r>
          </w:p>
        </w:tc>
      </w:tr>
    </w:tbl>
    <w:bookmarkEnd w:id="30"/>
    <w:bookmarkEnd w:id="31"/>
    <w:bookmarkStart w:id="32" w:name="cartografía-morfométrica-complementaria"/>
    <w:p>
      <w:pPr>
        <w:pStyle w:val="Heading2"/>
        <w:spacing w:before="200" w:after="80"/>
      </w:pPr>
      <w:r>
        <w:rPr>
          <w:rFonts w:ascii="Calibri" w:hAnsi="Calibri"/>
          <w:b/>
          <w:color w:val="1F9D8F"/>
          <w:sz w:val="25"/>
        </w:rPr>
        <w:t xml:space="preserve">Cartografía Morfométrica Complementaria</w:t>
      </w:r>
    </w:p>
    <w:p>
      <w:pPr>
        <w:pStyle w:val="FirstParagraph"/>
        <w:spacing w:line="276" w:lineRule="auto"/>
      </w:pPr>
      <w:r>
        <w:rPr>
          <w:rFonts w:ascii="Calibri" w:hAnsi="Calibri"/>
          <w:color w:val="0F172A"/>
          <w:sz w:val="21"/>
        </w:rPr>
        <w:t xml:space="preserve">La cartografía generada constituye la base geométrica para la formulación de los modelos de escorrentía superficial, delimitación de zonas de recarga y dimensionamiento de la red de colectores e infraestructuras de paso.</w:t>
      </w:r>
    </w:p>
    <w:bookmarkEnd w:id="32"/>
    <w:bookmarkEnd w:id="33"/>
    <w:bookmarkStart w:id="46" w:name="caracterización-hidrológica"/>
    <w:p>
      <w:pPr>
        <w:pStyle w:val="Heading1"/>
        <w:spacing w:before="280" w:after="120"/>
      </w:pPr>
      <w:r>
        <w:rPr>
          <w:rFonts w:ascii="Calibri" w:hAnsi="Calibri"/>
          <w:b/>
          <w:color w:val="176B73"/>
          <w:sz w:val="30"/>
        </w:rPr>
        <w:t xml:space="preserve">Caracterización Hidrológica</w:t>
      </w:r>
    </w:p>
    <w:bookmarkStart w:id="35" w:name="estaciones-ideam"/>
    <w:p>
      <w:pPr>
        <w:pStyle w:val="Heading2"/>
        <w:spacing w:before="200" w:after="80"/>
      </w:pPr>
      <w:r>
        <w:rPr>
          <w:rFonts w:ascii="Calibri" w:hAnsi="Calibri"/>
          <w:b/>
          <w:color w:val="1F9D8F"/>
          <w:sz w:val="25"/>
        </w:rPr>
        <w:t xml:space="preserve">Estaciones IDEAM</w:t>
      </w:r>
    </w:p>
    <w:p>
      <w:pPr>
        <w:pStyle w:val="FirstParagraph"/>
        <w:spacing w:line="276" w:lineRule="auto"/>
      </w:pPr>
      <w:r>
        <w:rPr>
          <w:rFonts w:ascii="Calibri" w:hAnsi="Calibri"/>
          <w:color w:val="0F172A"/>
          <w:sz w:val="21"/>
        </w:rPr>
        <w:t xml:space="preserve">Para la caracterización hidrometeorológica del área de estudio se consultó el Catálogo Nacional de Estaciones del IDEAM (DHIME). En el Cuadro </w:t>
      </w:r>
      <w:hyperlink w:anchor="tab:estaciones_ideam">
        <w:r>
          <w:rPr>
            <w:rStyle w:val="Hyperlink"/>
          </w:rPr>
          <w:t xml:space="preserve">4</w:t>
        </w:r>
      </w:hyperlink>
      <w:r>
        <w:rPr>
          <w:rFonts w:ascii="Calibri" w:hAnsi="Calibri"/>
          <w:color w:val="0F172A"/>
          <w:sz w:val="21"/>
        </w:rPr>
        <w:t xml:space="preserve"> </w:t>
      </w:r>
      <w:r>
        <w:rPr>
          <w:rFonts w:ascii="Calibri" w:hAnsi="Calibri"/>
          <w:color w:val="0F172A"/>
          <w:sz w:val="21"/>
        </w:rPr>
        <w:t xml:space="preserve">y en la Figura </w:t>
      </w:r>
      <w:hyperlink w:anchor="fig:estaciones">
        <w:r>
          <w:rPr>
            <w:rStyle w:val="Hyperlink"/>
          </w:rPr>
          <w:t xml:space="preserve">[fig:estaciones]</w:t>
        </w:r>
      </w:hyperlink>
      <w:r>
        <w:rPr>
          <w:rFonts w:ascii="Calibri" w:hAnsi="Calibri"/>
          <w:color w:val="0F172A"/>
          <w:sz w:val="21"/>
        </w:rPr>
        <w:t xml:space="preserve"> </w:t>
      </w:r>
      <w:r>
        <w:rPr>
          <w:rFonts w:ascii="Calibri" w:hAnsi="Calibri"/>
          <w:color w:val="0F172A"/>
          <w:sz w:val="21"/>
        </w:rPr>
        <w:t xml:space="preserve">se presentan las estaciones seleccionadas en el área de influencia del proyecto.</w:t>
      </w:r>
    </w:p>
    <w:bookmarkStart w:id="34" w:name="tab:estaciones_ideam"/>
    <w:p>
      <w:pPr>
        <w:pStyle w:val="TableCaption"/>
        <w:spacing w:after="160"/>
        <w:jc w:val="center"/>
      </w:pPr>
      <w:r>
        <w:rPr>
          <w:rFonts w:ascii="Calibri" w:hAnsi="Calibri"/>
          <w:i/>
          <w:color w:val="64748B"/>
          <w:sz w:val="18"/>
        </w:rPr>
        <w:t xml:space="preserve">Estaciones meteorológicas oficiales del IDEAM identificadas en el área de influencia.</w:t>
      </w:r>
    </w:p>
    <w:tbl>
      <w:tblPr>
        <w:tblStyle w:val="Table"/>
        <w:tblW w:type="auto" w:w="0"/>
        <w:jc w:val="center"/>
        <w:tblLook w:firstRow="1" w:lastRow="0" w:firstColumn="0" w:lastColumn="0" w:noHBand="0" w:noVBand="0" w:val="0020"/>
        <w:tblCaption w:val="Estaciones meteorológicas oficiales del IDEAM identificadas en el área de influencia."/>
        <w:tblBorders>
          <w:top w:val="single" w:sz="4" w:space="0" w:color="CBD5E1"/>
          <w:bottom w:val="single" w:sz="4" w:space="0" w:color="CBD5E1"/>
          <w:insideH w:val="single" w:sz="4" w:space="0" w:color="CBD5E1"/>
          <w:insideV w:val="none"/>
          <w:left w:val="none"/>
          <w:right w:val="none"/>
        </w:tblBorders>
      </w:tblPr>
      <w:tblGrid>
        <w:gridCol w:w="990"/>
        <w:gridCol w:w="990"/>
        <w:gridCol w:w="990"/>
        <w:gridCol w:w="990"/>
        <w:gridCol w:w="990"/>
        <w:gridCol w:w="990"/>
        <w:gridCol w:w="990"/>
        <w:gridCol w:w="99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Código</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Nombre</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Categoría</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Altitud</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Latitud</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Longitud</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Municipio</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Dist.</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24050220</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Estación Albania</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Pluviométrica</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216 m</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7.0241</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-73.7999</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Barrancabermeja</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7.1 km</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24050110</w:t>
            </w:r>
          </w:p>
        </w:tc>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Estación Putana La</w:t>
            </w:r>
          </w:p>
        </w:tc>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Pluviométrica</w:t>
            </w:r>
          </w:p>
        </w:tc>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150 m</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7.1141</w:t>
            </w:r>
            <m:oMath>
              <m:sSup>
                <m:e>
                  <m:r>
                    <m:t>​</m:t>
                  </m:r>
                </m:e>
                <m:sup>
                  <m:r>
                    <m:rPr>
                      <m:sty m:val="p"/>
                    </m:rPr>
                    <m:t>∘</m:t>
                  </m:r>
                </m:sup>
              </m:sSup>
            </m:oMath>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-73.7099</w:t>
            </w:r>
            <m:oMath>
              <m:sSup>
                <m:e>
                  <m:r>
                    <m:t>​</m:t>
                  </m:r>
                </m:e>
                <m:sup>
                  <m:r>
                    <m:rPr>
                      <m:sty m:val="p"/>
                    </m:rPr>
                    <m:t>∘</m:t>
                  </m:r>
                </m:sup>
              </m:sSup>
            </m:oMath>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Betulia</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7.1 km</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24050330</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Hacienda Las Brisas</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Climatológica Ordinaria</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185 m</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7.0041</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-73.6799</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San Vicente</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10.2 km</w:t>
            </w:r>
          </w:p>
        </w:tc>
      </w:tr>
    </w:tbl>
    <w:bookmarkEnd w:id="34"/>
    <w:bookmarkEnd w:id="35"/>
    <w:bookmarkStart w:id="37" w:name="polígonos-de-thiessen"/>
    <w:p>
      <w:pPr>
        <w:pStyle w:val="Heading2"/>
        <w:spacing w:before="200" w:after="80"/>
      </w:pPr>
      <w:r>
        <w:rPr>
          <w:rFonts w:ascii="Calibri" w:hAnsi="Calibri"/>
          <w:b/>
          <w:color w:val="1F9D8F"/>
          <w:sz w:val="25"/>
        </w:rPr>
        <w:t xml:space="preserve">Polígonos de Thiessen</w:t>
      </w:r>
    </w:p>
    <w:p>
      <w:pPr>
        <w:pStyle w:val="FirstParagraph"/>
        <w:spacing w:line="276" w:lineRule="auto"/>
      </w:pPr>
      <w:r>
        <w:rPr>
          <w:rFonts w:ascii="Calibri" w:hAnsi="Calibri"/>
          <w:color w:val="0F172A"/>
          <w:sz w:val="21"/>
        </w:rPr>
        <w:t xml:space="preserve">Con el fin de determinar la representatividad espacial de las estaciones meteorológicas sobre la cuenca hidrográfica, se trazaron los Polígonos de Thiessen (diagramas de Voronoi recortados a la divisoria). En el Cuadro </w:t>
      </w:r>
      <w:hyperlink w:anchor="tab:thiessen">
        <w:r>
          <w:rPr>
            <w:rStyle w:val="Hyperlink"/>
          </w:rPr>
          <w:t xml:space="preserve">5</w:t>
        </w:r>
      </w:hyperlink>
      <w:r>
        <w:rPr>
          <w:rFonts w:ascii="Calibri" w:hAnsi="Calibri"/>
          <w:color w:val="0F172A"/>
          <w:sz w:val="21"/>
        </w:rPr>
        <w:t xml:space="preserve"> </w:t>
      </w:r>
      <w:r>
        <w:rPr>
          <w:rFonts w:ascii="Calibri" w:hAnsi="Calibri"/>
          <w:color w:val="0F172A"/>
          <w:sz w:val="21"/>
        </w:rPr>
        <w:t xml:space="preserve">y la Figura </w:t>
      </w:r>
      <w:hyperlink w:anchor="fig:thiessen">
        <w:r>
          <w:rPr>
            <w:rStyle w:val="Hyperlink"/>
          </w:rPr>
          <w:t xml:space="preserve">[fig:thiessen]</w:t>
        </w:r>
      </w:hyperlink>
      <w:r>
        <w:rPr>
          <w:rFonts w:ascii="Calibri" w:hAnsi="Calibri"/>
          <w:color w:val="0F172A"/>
          <w:sz w:val="21"/>
        </w:rPr>
        <w:t xml:space="preserve"> </w:t>
      </w:r>
      <w:r>
        <w:rPr>
          <w:rFonts w:ascii="Calibri" w:hAnsi="Calibri"/>
          <w:color w:val="0F172A"/>
          <w:sz w:val="21"/>
        </w:rPr>
        <w:t xml:space="preserve">se detalla la distribución de áreas de influencia.</w:t>
      </w:r>
    </w:p>
    <w:bookmarkStart w:id="36" w:name="tab:thiessen"/>
    <w:p>
      <w:pPr>
        <w:pStyle w:val="TableCaption"/>
        <w:spacing w:after="160"/>
        <w:jc w:val="center"/>
      </w:pPr>
      <w:r>
        <w:rPr>
          <w:rFonts w:ascii="Calibri" w:hAnsi="Calibri"/>
          <w:i/>
          <w:color w:val="64748B"/>
          <w:sz w:val="18"/>
        </w:rPr>
        <w:t xml:space="preserve">Ponderación espacial de estaciones según Polígonos de Thiessen.</w:t>
      </w:r>
    </w:p>
    <w:tbl>
      <w:tblPr>
        <w:tblStyle w:val="Table"/>
        <w:tblW w:type="auto" w:w="0"/>
        <w:jc w:val="center"/>
        <w:tblLook w:firstRow="1" w:lastRow="0" w:firstColumn="0" w:lastColumn="0" w:noHBand="0" w:noVBand="0" w:val="0020"/>
        <w:tblCaption w:val="Ponderación espacial de estaciones según Polígonos de Thiessen."/>
        <w:tblBorders>
          <w:top w:val="single" w:sz="4" w:space="0" w:color="CBD5E1"/>
          <w:bottom w:val="single" w:sz="4" w:space="0" w:color="CBD5E1"/>
          <w:insideH w:val="single" w:sz="4" w:space="0" w:color="CBD5E1"/>
          <w:insideV w:val="none"/>
          <w:left w:val="none"/>
          <w:right w:val="none"/>
        </w:tblBorders>
      </w:tblPr>
      <w:tblGrid>
        <w:gridCol w:w="1980"/>
        <w:gridCol w:w="1980"/>
        <w:gridCol w:w="1980"/>
        <w:gridCol w:w="198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Código</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Estación Meteorológica</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Área de Influencia (km</w:t>
            </w:r>
            <m:oMath>
              <m:sSup>
                <m:e>
                  <m:r>
                    <m:t>​</m:t>
                  </m:r>
                </m:e>
                <m:sup>
                  <m:r>
                    <m:t>2</m:t>
                  </m:r>
                </m:sup>
              </m:sSup>
            </m:oMath>
            <w:r>
              <w:rPr>
                <w:rFonts w:ascii="Calibri" w:hAnsi="Calibri"/>
                <w:b/>
                <w:bCs/>
                <w:color w:val="FFFFFF"/>
                <w:sz w:val="19"/>
              </w:rPr>
              <w:t xml:space="preserve">)</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 Área Cuenca</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24050220</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Estación Albania</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46.38</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7.6%</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24050110</w:t>
            </w:r>
          </w:p>
        </w:tc>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Estación Putana La</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127.54</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20.9%</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24050330</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Hacienda Las Brisas</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436.30</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71.5%</w:t>
            </w:r>
          </w:p>
        </w:tc>
      </w:tr>
    </w:tbl>
    <w:bookmarkEnd w:id="36"/>
    <w:bookmarkEnd w:id="37"/>
    <w:bookmarkStart w:id="38" w:name="curvas-idf"/>
    <w:p>
      <w:pPr>
        <w:pStyle w:val="Heading2"/>
        <w:spacing w:before="200" w:after="80"/>
      </w:pPr>
      <w:r>
        <w:rPr>
          <w:rFonts w:ascii="Calibri" w:hAnsi="Calibri"/>
          <w:b/>
          <w:color w:val="1F9D8F"/>
          <w:sz w:val="25"/>
        </w:rPr>
        <w:t xml:space="preserve">Curvas IDF</w:t>
      </w:r>
    </w:p>
    <w:p>
      <w:pPr>
        <w:pStyle w:val="FirstParagraph"/>
        <w:spacing w:line="276" w:lineRule="auto"/>
      </w:pPr>
      <w:r>
        <w:rPr>
          <w:rFonts w:ascii="Calibri" w:hAnsi="Calibri"/>
          <w:color w:val="0F172A"/>
          <w:sz w:val="21"/>
        </w:rPr>
        <w:t xml:space="preserve">A partir de las ecuaciones regionales del IDEAM (Vargas y Díaz para Colombia) se construyeron las Curvas IDF para periodos de retorno de 2.33, 5, 10, 25, 50 y 100 años:</w:t>
      </w:r>
    </w:p>
    <w:p>
      <w:pPr>
        <w:pStyle w:val="BodyText"/>
        <w:spacing w:line="276" w:lineRule="auto"/>
      </w:pPr>
      <m:oMathPara>
        <m:oMathParaPr>
          <m:jc m:val="center"/>
        </m:oMathParaPr>
        <m:oMath>
          <m:r>
            <m:t>I</m:t>
          </m:r>
          <m:r>
            <m:rPr>
              <m:sty m:val="p"/>
            </m:rPr>
            <m:t>=</m:t>
          </m:r>
          <m:f>
            <m:fPr>
              <m:type m:val="bar"/>
            </m:fPr>
            <m:num>
              <m:r>
                <m:t>a</m:t>
              </m:r>
              <m:r>
                <m:rPr>
                  <m:sty m:val="p"/>
                </m:rPr>
                <m:t>⋅</m:t>
              </m:r>
              <m:sSubSup>
                <m:e>
                  <m:r>
                    <m:t>T</m:t>
                  </m:r>
                </m:e>
                <m:sub>
                  <m:r>
                    <m:t>r</m:t>
                  </m:r>
                </m:sub>
                <m:sup>
                  <m:r>
                    <m:t>b</m:t>
                  </m:r>
                </m:sup>
              </m:sSubSup>
            </m:num>
            <m:den>
              <m:r>
                <m:rPr>
                  <m:sty m:val="p"/>
                </m:rPr>
                <m:t>(</m:t>
              </m:r>
              <m:r>
                <m:t>d</m:t>
              </m:r>
              <m:r>
                <m:rPr>
                  <m:sty m:val="p"/>
                </m:rPr>
                <m:t>+</m:t>
              </m:r>
              <m:r>
                <m:t>c</m:t>
              </m:r>
              <m:sSup>
                <m:e>
                  <m:r>
                    <m:rPr>
                      <m:sty m:val="p"/>
                    </m:rPr>
                    <m:t>)</m:t>
                  </m:r>
                </m:e>
                <m:sup>
                  <m:r>
                    <m:t>k</m:t>
                  </m:r>
                </m:sup>
              </m:sSup>
            </m:den>
          </m:f>
        </m:oMath>
      </m:oMathPara>
    </w:p>
    <w:p>
      <w:pPr>
        <w:pStyle w:val="FirstParagraph"/>
        <w:spacing w:line="276" w:lineRule="auto"/>
      </w:pPr>
      <w:r>
        <w:rPr>
          <w:rFonts w:ascii="Calibri" w:hAnsi="Calibri"/>
          <w:color w:val="0F172A"/>
          <w:sz w:val="21"/>
        </w:rPr>
        <w:t xml:space="preserve">Donde</w:t>
      </w:r>
      <w:r>
        <w:rPr>
          <w:rFonts w:ascii="Calibri" w:hAnsi="Calibri"/>
          <w:color w:val="0F172A"/>
          <w:sz w:val="21"/>
        </w:rPr>
        <w:t xml:space="preserve"> </w:t>
      </w:r>
      <m:oMath>
        <m:r>
          <m:t>I</m:t>
        </m:r>
      </m:oMath>
      <w:r>
        <w:rPr>
          <w:rFonts w:ascii="Calibri" w:hAnsi="Calibri"/>
          <w:color w:val="0F172A"/>
          <w:sz w:val="21"/>
        </w:rPr>
        <w:t xml:space="preserve"> </w:t>
      </w:r>
      <w:r>
        <w:rPr>
          <w:rFonts w:ascii="Calibri" w:hAnsi="Calibri"/>
          <w:color w:val="0F172A"/>
          <w:sz w:val="21"/>
        </w:rPr>
        <w:t xml:space="preserve">es la intensidad de precipitación en mm/h y</w:t>
      </w:r>
      <w:r>
        <w:rPr>
          <w:rFonts w:ascii="Calibri" w:hAnsi="Calibri"/>
          <w:color w:val="0F172A"/>
          <w:sz w:val="21"/>
        </w:rPr>
        <w:t xml:space="preserve"> </w:t>
      </w:r>
      <m:oMath>
        <m:r>
          <m:t>d</m:t>
        </m:r>
      </m:oMath>
      <w:r>
        <w:rPr>
          <w:rFonts w:ascii="Calibri" w:hAnsi="Calibri"/>
          <w:color w:val="0F172A"/>
          <w:sz w:val="21"/>
        </w:rPr>
        <w:t xml:space="preserve"> </w:t>
      </w:r>
      <w:r>
        <w:rPr>
          <w:rFonts w:ascii="Calibri" w:hAnsi="Calibri"/>
          <w:color w:val="0F172A"/>
          <w:sz w:val="21"/>
        </w:rPr>
        <w:t xml:space="preserve">es la duración del evento en minutos. En la Figura </w:t>
      </w:r>
      <w:hyperlink w:anchor="fig:idf">
        <w:r>
          <w:rPr>
            <w:rStyle w:val="Hyperlink"/>
          </w:rPr>
          <w:t xml:space="preserve">[fig:idf]</w:t>
        </w:r>
      </w:hyperlink>
      <w:r>
        <w:rPr>
          <w:rFonts w:ascii="Calibri" w:hAnsi="Calibri"/>
          <w:color w:val="0F172A"/>
          <w:sz w:val="21"/>
        </w:rPr>
        <w:t xml:space="preserve"> </w:t>
      </w:r>
      <w:r>
        <w:rPr>
          <w:rFonts w:ascii="Calibri" w:hAnsi="Calibri"/>
          <w:color w:val="0F172A"/>
          <w:sz w:val="21"/>
        </w:rPr>
        <w:t xml:space="preserve">se ilustran las familias de curvas generadas.</w:t>
      </w:r>
    </w:p>
    <w:bookmarkEnd w:id="38"/>
    <w:bookmarkStart w:id="40" w:name="número-de-curva-scs-cn"/>
    <w:p>
      <w:pPr>
        <w:pStyle w:val="Heading2"/>
        <w:spacing w:before="200" w:after="80"/>
      </w:pPr>
      <w:r>
        <w:rPr>
          <w:rFonts w:ascii="Calibri" w:hAnsi="Calibri"/>
          <w:b/>
          <w:color w:val="1F9D8F"/>
          <w:sz w:val="25"/>
        </w:rPr>
        <w:t xml:space="preserve">Número de Curva SCS-CN</w:t>
      </w:r>
    </w:p>
    <w:p>
      <w:pPr>
        <w:pStyle w:val="FirstParagraph"/>
        <w:spacing w:line="276" w:lineRule="auto"/>
      </w:pPr>
      <w:r>
        <w:rPr>
          <w:rFonts w:ascii="Calibri" w:hAnsi="Calibri"/>
          <w:color w:val="0F172A"/>
          <w:sz w:val="21"/>
        </w:rPr>
        <w:t xml:space="preserve">El método de la Curva Numérica del SCS cuantifica la escorrentía directa integrando el tipo de suelo (grupos hidrológicos A, B, C, D) y la cobertura vegetal (CORINE Land Cover). En el Cuadro </w:t>
      </w:r>
      <w:hyperlink w:anchor="tab:cn">
        <w:r>
          <w:rPr>
            <w:rStyle w:val="Hyperlink"/>
          </w:rPr>
          <w:t xml:space="preserve">6</w:t>
        </w:r>
      </w:hyperlink>
      <w:r>
        <w:rPr>
          <w:rFonts w:ascii="Calibri" w:hAnsi="Calibri"/>
          <w:color w:val="0F172A"/>
          <w:sz w:val="21"/>
        </w:rPr>
        <w:t xml:space="preserve"> </w:t>
      </w:r>
      <w:r>
        <w:rPr>
          <w:rFonts w:ascii="Calibri" w:hAnsi="Calibri"/>
          <w:color w:val="0F172A"/>
          <w:sz w:val="21"/>
        </w:rPr>
        <w:t xml:space="preserve">y la Figura </w:t>
      </w:r>
      <w:hyperlink w:anchor="fig:cn">
        <w:r>
          <w:rPr>
            <w:rStyle w:val="Hyperlink"/>
          </w:rPr>
          <w:t xml:space="preserve">[fig:cn]</w:t>
        </w:r>
      </w:hyperlink>
      <w:r>
        <w:rPr>
          <w:rFonts w:ascii="Calibri" w:hAnsi="Calibri"/>
          <w:color w:val="0F172A"/>
          <w:sz w:val="21"/>
        </w:rPr>
        <w:t xml:space="preserve"> </w:t>
      </w:r>
      <w:r>
        <w:rPr>
          <w:rFonts w:ascii="Calibri" w:hAnsi="Calibri"/>
          <w:color w:val="0F172A"/>
          <w:sz w:val="21"/>
        </w:rPr>
        <w:t xml:space="preserve">se resumen las unidades homogéneas identificadas:</w:t>
      </w:r>
    </w:p>
    <w:bookmarkStart w:id="39" w:name="tab:cn"/>
    <w:p>
      <w:pPr>
        <w:pStyle w:val="TableCaption"/>
        <w:spacing w:after="160"/>
        <w:jc w:val="center"/>
      </w:pPr>
      <w:r>
        <w:rPr>
          <w:rFonts w:ascii="Calibri" w:hAnsi="Calibri"/>
          <w:i/>
          <w:color w:val="64748B"/>
          <w:sz w:val="18"/>
        </w:rPr>
        <w:t xml:space="preserve">Cálculo del Número de Curva (CN) por unidades homogéneas de la cuenca.</w:t>
      </w:r>
    </w:p>
    <w:tbl>
      <w:tblPr>
        <w:tblStyle w:val="Table"/>
        <w:tblW w:type="auto" w:w="0"/>
        <w:jc w:val="center"/>
        <w:tblLook w:firstRow="1" w:lastRow="0" w:firstColumn="0" w:lastColumn="0" w:noHBand="0" w:noVBand="0" w:val="0020"/>
        <w:tblCaption w:val="Cálculo del Número de Curva (CN) por unidades homogéneas de la cuenca."/>
        <w:tblBorders>
          <w:top w:val="single" w:sz="4" w:space="0" w:color="CBD5E1"/>
          <w:bottom w:val="single" w:sz="4" w:space="0" w:color="CBD5E1"/>
          <w:insideH w:val="single" w:sz="4" w:space="0" w:color="CBD5E1"/>
          <w:insideV w:val="none"/>
          <w:left w:val="none"/>
          <w:right w:val="none"/>
        </w:tblBorders>
      </w:tblPr>
      <w:tblGrid>
        <w:gridCol w:w="1131"/>
        <w:gridCol w:w="1131"/>
        <w:gridCol w:w="1131"/>
        <w:gridCol w:w="1131"/>
        <w:gridCol w:w="1131"/>
        <w:gridCol w:w="1131"/>
        <w:gridCol w:w="1131"/>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Cobertura</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Uso SCS</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Condición</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Grupo</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CN</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Área (km</w:t>
            </w:r>
            <m:oMath>
              <m:sSup>
                <m:e>
                  <m:r>
                    <m:t>​</m:t>
                  </m:r>
                </m:e>
                <m:sup>
                  <m:r>
                    <m:t>2</m:t>
                  </m:r>
                </m:sup>
              </m:sSup>
            </m:oMath>
            <w:r>
              <w:rPr>
                <w:rFonts w:ascii="Calibri" w:hAnsi="Calibri"/>
                <w:b/>
                <w:bCs/>
                <w:color w:val="FFFFFF"/>
                <w:sz w:val="19"/>
              </w:rPr>
              <w:t xml:space="preserve">)</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CN</w:t>
            </w:r>
            <w:r>
              <w:rPr>
                <w:rFonts w:ascii="Calibri" w:hAnsi="Calibri"/>
                <w:b/>
                <w:bCs/>
                <w:color w:val="FFFFFF"/>
                <w:sz w:val="19"/>
              </w:rPr>
              <w:t xml:space="preserve"> </w:t>
            </w:r>
            <m:oMath>
              <m:r>
                <m:rPr>
                  <m:sty m:val="p"/>
                </m:rPr>
                <m:t>×</m:t>
              </m:r>
            </m:oMath>
            <w:r>
              <w:rPr>
                <w:rFonts w:ascii="Calibri" w:hAnsi="Calibri"/>
                <w:b/>
                <w:bCs/>
                <w:color w:val="FFFFFF"/>
                <w:sz w:val="19"/>
              </w:rPr>
              <w:t xml:space="preserve"> </w:t>
            </w:r>
            <w:r>
              <w:rPr>
                <w:rFonts w:ascii="Calibri" w:hAnsi="Calibri"/>
                <w:b/>
                <w:bCs/>
                <w:color w:val="FFFFFF"/>
                <w:sz w:val="19"/>
              </w:rPr>
              <w:t xml:space="preserve">A</w:t>
            </w:r>
          </w:p>
        </w:tc>
      </w:tr>
      <w:tr>
        <w:tc>
          <w:tcPr>
            <w:gridSpan w:val="7"/>
            <w:vAlign w:val="center"/>
            <w:tcMar>
              <w:top w:w="100" w:type="dxa"/>
              <w:bottom w:w="100" w:type="dxa"/>
              <w:left w:w="140" w:type="dxa"/>
              <w:right w:w="140" w:type="dxa"/>
            </w:tcMar>
            <w:shd w:fill="F8FAFC"/>
            <w:tcMar>
              <w:top w:w="100" w:type="dxa"/>
              <w:bottom w:w="100" w:type="dxa"/>
              <w:left w:w="140" w:type="dxa"/>
              <w:right w:w="140" w:type="dxa"/>
            </w:tcMar>
            <w:shd w:fill="F8FAFC"/>
            <w:tcMar>
              <w:top w:w="100" w:type="dxa"/>
              <w:bottom w:w="100" w:type="dxa"/>
              <w:left w:w="140" w:type="dxa"/>
              <w:right w:w="140" w:type="dxa"/>
            </w:tcMar>
            <w:shd w:fill="F8FAFC"/>
            <w:tcMar>
              <w:top w:w="100" w:type="dxa"/>
              <w:bottom w:w="100" w:type="dxa"/>
              <w:left w:w="140" w:type="dxa"/>
              <w:right w:w="140" w:type="dxa"/>
            </w:tcMar>
            <w:shd w:fill="F8FAFC"/>
            <w:tcMar>
              <w:top w:w="100" w:type="dxa"/>
              <w:bottom w:w="100" w:type="dxa"/>
              <w:left w:w="140" w:type="dxa"/>
              <w:right w:w="140" w:type="dxa"/>
            </w:tcMar>
            <w:shd w:fill="F8FAFC"/>
            <w:tcMar>
              <w:top w:w="100" w:type="dxa"/>
              <w:bottom w:w="100" w:type="dxa"/>
              <w:left w:w="140" w:type="dxa"/>
              <w:right w:w="140" w:type="dxa"/>
            </w:tcMar>
            <w:shd w:fill="F8FAFC"/>
            <w:tcMar>
              <w:top w:w="100" w:type="dxa"/>
              <w:bottom w:w="100" w:type="dxa"/>
              <w:left w:w="140" w:type="dxa"/>
              <w:right w:w="140" w:type="dxa"/>
            </w:tcMar>
            <w:shd w:fill="F8FAFC"/>
          </w:tcPr>
          <w:p>
            <w:pPr>
              <w:pStyle w:val="Compact"/>
              <w:jc w:val="center"/>
            </w:pPr>
            <w:r>
              <w:rPr>
                <w:rFonts w:ascii="Calibri" w:hAnsi="Calibri"/>
                <w:color w:val="0F172A"/>
                <w:sz w:val="18"/>
              </w:rPr>
              <w:t xml:space="preserve">Unidades de cobertura estándar</w:t>
            </w:r>
          </w:p>
        </w:tc>
      </w:tr>
      <w:tr>
        <w:tc>
          <w:tcPr>
            <w:gridSpan w:val="5"/>
            <w:vAlign w:val="center"/>
            <w:tcMar>
              <w:top w:w="100" w:type="dxa"/>
              <w:bottom w:w="100" w:type="dxa"/>
              <w:left w:w="140" w:type="dxa"/>
              <w:right w:w="140" w:type="dxa"/>
            </w:tcMar>
            <w:shd w:fill="FFFFFF"/>
            <w:tcMar>
              <w:top w:w="100" w:type="dxa"/>
              <w:bottom w:w="100" w:type="dxa"/>
              <w:left w:w="140" w:type="dxa"/>
              <w:right w:w="140" w:type="dxa"/>
            </w:tcMar>
            <w:shd w:fill="FFFFFF"/>
            <w:tcMar>
              <w:top w:w="100" w:type="dxa"/>
              <w:bottom w:w="100" w:type="dxa"/>
              <w:left w:w="140" w:type="dxa"/>
              <w:right w:w="140" w:type="dxa"/>
            </w:tcMar>
            <w:shd w:fill="FFFFFF"/>
            <w:tcMar>
              <w:top w:w="100" w:type="dxa"/>
              <w:bottom w:w="100" w:type="dxa"/>
              <w:left w:w="140" w:type="dxa"/>
              <w:right w:w="140" w:type="dxa"/>
            </w:tcMar>
            <w:shd w:fill="FFFFFF"/>
            <w:tcMar>
              <w:top w:w="100" w:type="dxa"/>
              <w:bottom w:w="100" w:type="dxa"/>
              <w:left w:w="140" w:type="dxa"/>
              <w:right w:w="140" w:type="dxa"/>
            </w:tcMar>
            <w:shd w:fill="FFFFFF"/>
          </w:tcPr>
          <w:p>
            <w:pPr>
              <w:pStyle w:val="Compact"/>
              <w:jc w:val="left"/>
            </w:pPr>
            <w:r>
              <w:rPr>
                <w:rFonts w:ascii="Calibri" w:hAnsi="Calibri"/>
                <w:b/>
                <w:bCs/>
                <w:color w:val="0F172A"/>
                <w:sz w:val="18"/>
              </w:rPr>
              <w:t xml:space="preserve">Número de Curva Ponderado (</w:t>
            </w:r>
            <m:oMath>
              <m:r>
                <m:t>C</m:t>
              </m:r>
              <m:sSub>
                <m:e>
                  <m:r>
                    <m:t>N</m:t>
                  </m:r>
                </m:e>
                <m:sub>
                  <m:r>
                    <m:t>p</m:t>
                  </m:r>
                  <m:r>
                    <m:t>r</m:t>
                  </m:r>
                  <m:r>
                    <m:t>o</m:t>
                  </m:r>
                  <m:r>
                    <m:t>m</m:t>
                  </m:r>
                  <m:r>
                    <m:t>e</m:t>
                  </m:r>
                  <m:r>
                    <m:t>d</m:t>
                  </m:r>
                  <m:r>
                    <m:t>i</m:t>
                  </m:r>
                  <m:r>
                    <m:t>o</m:t>
                  </m:r>
                </m:sub>
              </m:sSub>
            </m:oMath>
            <w:r>
              <w:rPr>
                <w:rFonts w:ascii="Calibri" w:hAnsi="Calibri"/>
                <w:b/>
                <w:bCs/>
                <w:color w:val="0F172A"/>
                <w:sz w:val="18"/>
              </w:rPr>
              <w:t xml:space="preserve">)</w:t>
            </w:r>
          </w:p>
        </w:tc>
        <w:tc>
          <w:tcPr>
            <w:vAlign w:val="center"/>
            <w:tcMar>
              <w:top w:w="100" w:type="dxa"/>
              <w:bottom w:w="100" w:type="dxa"/>
              <w:left w:w="140" w:type="dxa"/>
              <w:right w:w="140" w:type="dxa"/>
            </w:tcMar>
            <w:shd w:fill="FFFFFF"/>
          </w:tcPr>
          <w:p>
            <w:pPr>
              <w:pStyle w:val="Compact"/>
              <w:jc w:val="right"/>
            </w:pPr>
            <w:r>
              <w:rPr>
                <w:rFonts w:ascii="Calibri" w:hAnsi="Calibri"/>
                <w:b/>
                <w:bCs/>
                <w:color w:val="0F172A"/>
                <w:sz w:val="18"/>
              </w:rPr>
              <w:t xml:space="preserve">610.22</w:t>
            </w:r>
          </w:p>
        </w:tc>
        <w:tc>
          <w:tcPr>
            <w:vAlign w:val="center"/>
            <w:tcMar>
              <w:top w:w="100" w:type="dxa"/>
              <w:bottom w:w="100" w:type="dxa"/>
              <w:left w:w="140" w:type="dxa"/>
              <w:right w:w="140" w:type="dxa"/>
            </w:tcMar>
            <w:shd w:fill="FFFFFF"/>
          </w:tcPr>
          <w:p>
            <w:pPr>
              <w:pStyle w:val="Compact"/>
              <w:jc w:val="right"/>
            </w:pPr>
            <w:r>
              <w:rPr>
                <w:rFonts w:ascii="Calibri" w:hAnsi="Calibri"/>
                <w:b/>
                <w:bCs/>
                <w:color w:val="0F172A"/>
                <w:sz w:val="18"/>
              </w:rPr>
              <w:t xml:space="preserve">74.3</w:t>
            </w:r>
          </w:p>
        </w:tc>
      </w:tr>
    </w:tbl>
    <w:bookmarkEnd w:id="39"/>
    <w:p>
      <w:pPr>
        <w:pStyle w:val="BodyText"/>
        <w:spacing w:line="276" w:lineRule="auto"/>
      </w:pPr>
      <w:r>
        <w:rPr>
          <w:rFonts w:ascii="Calibri" w:hAnsi="Calibri"/>
          <w:color w:val="0F172A"/>
          <w:sz w:val="21"/>
        </w:rPr>
        <w:t xml:space="preserve">La retención potencial máxima de humedad (</w:t>
      </w:r>
      <m:oMath>
        <m:r>
          <m:t>S</m:t>
        </m:r>
      </m:oMath>
      <w:r>
        <w:rPr>
          <w:rFonts w:ascii="Calibri" w:hAnsi="Calibri"/>
          <w:color w:val="0F172A"/>
          <w:sz w:val="21"/>
        </w:rPr>
        <w:t xml:space="preserve">) y la abstracción inicial (</w:t>
      </w:r>
      <m:oMath>
        <m:sSub>
          <m:e>
            <m:r>
              <m:t>I</m:t>
            </m:r>
          </m:e>
          <m:sub>
            <m:r>
              <m:t>a</m:t>
            </m:r>
          </m:sub>
        </m:sSub>
      </m:oMath>
      <w:r>
        <w:rPr>
          <w:rFonts w:ascii="Calibri" w:hAnsi="Calibri"/>
          <w:color w:val="0F172A"/>
          <w:sz w:val="21"/>
        </w:rPr>
        <w:t xml:space="preserve">) se obtienen como:</w:t>
      </w:r>
    </w:p>
    <w:p>
      <w:pPr>
        <w:pStyle w:val="BodyText"/>
        <w:spacing w:line="276" w:lineRule="auto"/>
      </w:pPr>
      <m:oMathPara>
        <m:oMathParaPr>
          <m:jc m:val="center"/>
        </m:oMathParaPr>
        <m:oMath>
          <m:r>
            <m:t>S</m:t>
          </m:r>
          <m:r>
            <m:rPr>
              <m:sty m:val="p"/>
            </m:rPr>
            <m:t>=</m:t>
          </m:r>
          <m:f>
            <m:fPr>
              <m:type m:val="bar"/>
            </m:fPr>
            <m:num>
              <m:r>
                <m:t>25400</m:t>
              </m:r>
            </m:num>
            <m:den>
              <m:r>
                <m:t>C</m:t>
              </m:r>
              <m:r>
                <m:t>N</m:t>
              </m:r>
            </m:den>
          </m:f>
          <m:r>
            <m:rPr>
              <m:sty m:val="p"/>
            </m:rPr>
            <m:t>−</m:t>
          </m:r>
          <m:r>
            <m:t>254</m:t>
          </m:r>
          <m:r>
            <m:rPr>
              <m:sty m:val="p"/>
            </m:rPr>
            <m:t>=</m:t>
          </m:r>
          <m:r>
            <m:t>N</m:t>
          </m:r>
          <m:r>
            <m:rPr>
              <m:sty m:val="p"/>
            </m:rPr>
            <m:t>/</m:t>
          </m:r>
          <m:r>
            <m:t>D</m:t>
          </m:r>
          <m:r>
            <m:rPr>
              <m:nor/>
              <m:sty m:val="p"/>
            </m:rPr>
            <m:t> mm</m:t>
          </m:r>
          <m:r>
            <m:rPr>
              <m:sty m:val="p"/>
            </m:rPr>
            <m:t>,</m:t>
          </m:r>
          <m:r>
            <m:t> </m:t>
          </m:r>
          <m:sSub>
            <m:e>
              <m:r>
                <m:t>I</m:t>
              </m:r>
            </m:e>
            <m:sub>
              <m:r>
                <m:t>a</m:t>
              </m:r>
            </m:sub>
          </m:sSub>
          <m:r>
            <m:rPr>
              <m:sty m:val="p"/>
            </m:rPr>
            <m:t>=</m:t>
          </m:r>
          <m:r>
            <m:t>0.2</m:t>
          </m:r>
          <m:r>
            <m:t>S</m:t>
          </m:r>
          <m:r>
            <m:rPr>
              <m:sty m:val="p"/>
            </m:rPr>
            <m:t>=</m:t>
          </m:r>
          <m:r>
            <m:t>N</m:t>
          </m:r>
          <m:r>
            <m:rPr>
              <m:sty m:val="p"/>
            </m:rPr>
            <m:t>/</m:t>
          </m:r>
          <m:r>
            <m:t>D</m:t>
          </m:r>
          <m:r>
            <m:rPr>
              <m:nor/>
              <m:sty m:val="p"/>
            </m:rPr>
            <m:t> mm</m:t>
          </m:r>
        </m:oMath>
      </m:oMathPara>
    </w:p>
    <w:bookmarkEnd w:id="40"/>
    <w:bookmarkStart w:id="43" w:name="tiempo-de-concentración"/>
    <w:p>
      <w:pPr>
        <w:pStyle w:val="Heading2"/>
        <w:spacing w:before="200" w:after="80"/>
      </w:pPr>
      <w:r>
        <w:rPr>
          <w:rFonts w:ascii="Calibri" w:hAnsi="Calibri"/>
          <w:b/>
          <w:color w:val="1F9D8F"/>
          <w:sz w:val="25"/>
        </w:rPr>
        <w:t xml:space="preserve">Tiempo de Concentración</w:t>
      </w:r>
    </w:p>
    <w:p>
      <w:pPr>
        <w:pStyle w:val="FirstParagraph"/>
        <w:spacing w:line="276" w:lineRule="auto"/>
      </w:pPr>
      <w:r>
        <w:rPr>
          <w:rFonts w:ascii="Calibri" w:hAnsi="Calibri"/>
          <w:color w:val="0F172A"/>
          <w:sz w:val="21"/>
        </w:rPr>
        <w:t xml:space="preserve">En el Cuadro </w:t>
      </w:r>
      <w:hyperlink w:anchor="tab:expresiones_tc">
        <w:r>
          <w:rPr>
            <w:rStyle w:val="Hyperlink"/>
          </w:rPr>
          <w:t xml:space="preserve">7</w:t>
        </w:r>
      </w:hyperlink>
      <w:r>
        <w:rPr>
          <w:rFonts w:ascii="Calibri" w:hAnsi="Calibri"/>
          <w:color w:val="0F172A"/>
          <w:sz w:val="21"/>
        </w:rPr>
        <w:t xml:space="preserve"> </w:t>
      </w:r>
      <w:r>
        <w:rPr>
          <w:rFonts w:ascii="Calibri" w:hAnsi="Calibri"/>
          <w:color w:val="0F172A"/>
          <w:sz w:val="21"/>
        </w:rPr>
        <w:t xml:space="preserve">se presentan las expresiones matemáticas empleadas en el análisis:</w:t>
      </w:r>
    </w:p>
    <w:bookmarkStart w:id="41" w:name="tab:expresiones_tc"/>
    <w:p>
      <w:pPr>
        <w:pStyle w:val="TableCaption"/>
        <w:spacing w:after="160"/>
        <w:jc w:val="center"/>
      </w:pPr>
      <w:r>
        <w:rPr>
          <w:rFonts w:ascii="Calibri" w:hAnsi="Calibri"/>
          <w:i/>
          <w:color w:val="64748B"/>
          <w:sz w:val="18"/>
        </w:rPr>
        <w:t xml:space="preserve">Expresiones matemáticas para la estimación de tiempos de concentración.</w:t>
      </w:r>
    </w:p>
    <w:tbl>
      <w:tblPr>
        <w:tblStyle w:val="Table"/>
        <w:tblW w:type="auto" w:w="0"/>
        <w:jc w:val="center"/>
        <w:tblLook w:firstRow="1" w:lastRow="0" w:firstColumn="0" w:lastColumn="0" w:noHBand="0" w:noVBand="0" w:val="0020"/>
        <w:tblCaption w:val="Expresiones matemáticas para la estimación de tiempos de concentración."/>
        <w:tblBorders>
          <w:top w:val="single" w:sz="4" w:space="0" w:color="CBD5E1"/>
          <w:bottom w:val="single" w:sz="4" w:space="0" w:color="CBD5E1"/>
          <w:insideH w:val="single" w:sz="4" w:space="0" w:color="CBD5E1"/>
          <w:insideV w:val="none"/>
          <w:left w:val="none"/>
          <w:right w:val="none"/>
        </w:tblBorders>
      </w:tblPr>
      <w:tblGrid>
        <w:gridCol w:w="2640"/>
        <w:gridCol w:w="2640"/>
        <w:gridCol w:w="264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Método</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Ecuación</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Definición de Variables</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Kirpich</w:t>
            </w:r>
          </w:p>
        </w:tc>
        <w:tc>
          <w:tcPr>
            <w:vAlign w:val="center"/>
            <w:tcMar>
              <w:top w:w="100" w:type="dxa"/>
              <w:bottom w:w="100" w:type="dxa"/>
              <w:left w:w="140" w:type="dxa"/>
              <w:right w:w="140" w:type="dxa"/>
            </w:tcMar>
            <w:shd w:fill="F8FAFC"/>
          </w:tcPr>
          <w:p>
            <w:pPr>
              <w:pStyle w:val="Compact"/>
              <w:jc w:val="left"/>
            </w:pPr>
            <m:oMath>
              <m:sSub>
                <m:e>
                  <m:r>
                    <m:t>T</m:t>
                  </m:r>
                </m:e>
                <m:sub>
                  <m:r>
                    <m:t>c</m:t>
                  </m:r>
                </m:sub>
              </m:sSub>
              <m:r>
                <m:rPr>
                  <m:sty m:val="p"/>
                </m:rPr>
                <m:t>=</m:t>
              </m:r>
              <m:r>
                <m:t>0.06628</m:t>
              </m:r>
              <m:sSup>
                <m:e>
                  <m:d>
                    <m:dPr>
                      <m:begChr m:val="("/>
                      <m:sepChr m:val=""/>
                      <m:endChr m:val=")"/>
                      <m:grow/>
                    </m:dPr>
                    <m:e>
                      <m:f>
                        <m:fPr>
                          <m:type m:val="bar"/>
                        </m:fPr>
                        <m:num>
                          <m:r>
                            <m:t>L</m:t>
                          </m:r>
                        </m:num>
                        <m:den>
                          <m:sSup>
                            <m:e>
                              <m:r>
                                <m:t>S</m:t>
                              </m:r>
                            </m:e>
                            <m:sup>
                              <m:r>
                                <m:t>0.5</m:t>
                              </m:r>
                            </m:sup>
                          </m:sSup>
                        </m:den>
                      </m:f>
                    </m:e>
                  </m:d>
                </m:e>
                <m:sup>
                  <m:r>
                    <m:t>0.77</m:t>
                  </m:r>
                </m:sup>
              </m:sSup>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left"/>
            </w:pPr>
            <m:oMath>
              <m:r>
                <m:t>L</m:t>
              </m:r>
            </m:oMath>
            <w:r>
              <w:rPr>
                <w:rFonts w:ascii="Calibri" w:hAnsi="Calibri"/>
                <w:color w:val="0F172A"/>
                <w:sz w:val="18"/>
              </w:rPr>
              <w:t xml:space="preserve">: km,</w:t>
            </w:r>
            <w:r>
              <w:rPr>
                <w:rFonts w:ascii="Calibri" w:hAnsi="Calibri"/>
                <w:color w:val="0F172A"/>
                <w:sz w:val="18"/>
              </w:rPr>
              <w:t xml:space="preserve"> </w:t>
            </w:r>
            <m:oMath>
              <m:r>
                <m:t>S</m:t>
              </m:r>
            </m:oMath>
            <w:r>
              <w:rPr>
                <w:rFonts w:ascii="Calibri" w:hAnsi="Calibri"/>
                <w:color w:val="0F172A"/>
                <w:sz w:val="18"/>
              </w:rPr>
              <w:t xml:space="preserve">: m/m (pendiente total),</w:t>
            </w:r>
            <w:r>
              <w:rPr>
                <w:rFonts w:ascii="Calibri" w:hAnsi="Calibri"/>
                <w:color w:val="0F172A"/>
                <w:sz w:val="18"/>
              </w:rPr>
              <w:t xml:space="preserve"> </w:t>
            </w:r>
            <m:oMath>
              <m:sSub>
                <m:e>
                  <m:r>
                    <m:t>T</m:t>
                  </m:r>
                </m:e>
                <m:sub>
                  <m:r>
                    <m:t>c</m:t>
                  </m:r>
                </m:sub>
              </m:sSub>
            </m:oMath>
            <w:r>
              <w:rPr>
                <w:rFonts w:ascii="Calibri" w:hAnsi="Calibri"/>
                <w:color w:val="0F172A"/>
                <w:sz w:val="18"/>
              </w:rPr>
              <w:t xml:space="preserve">: h.</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Témez</w:t>
            </w:r>
          </w:p>
        </w:tc>
        <w:tc>
          <w:tcPr>
            <w:vAlign w:val="center"/>
            <w:tcMar>
              <w:top w:w="100" w:type="dxa"/>
              <w:bottom w:w="100" w:type="dxa"/>
              <w:left w:w="140" w:type="dxa"/>
              <w:right w:w="140" w:type="dxa"/>
            </w:tcMar>
            <w:shd w:fill="FFFFFF"/>
          </w:tcPr>
          <w:p>
            <w:pPr>
              <w:pStyle w:val="Compact"/>
              <w:jc w:val="left"/>
            </w:pPr>
            <m:oMath>
              <m:sSub>
                <m:e>
                  <m:r>
                    <m:t>T</m:t>
                  </m:r>
                </m:e>
                <m:sub>
                  <m:r>
                    <m:t>c</m:t>
                  </m:r>
                </m:sub>
              </m:sSub>
              <m:r>
                <m:rPr>
                  <m:sty m:val="p"/>
                </m:rPr>
                <m:t>=</m:t>
              </m:r>
              <m:r>
                <m:t>0.30</m:t>
              </m:r>
              <m:sSup>
                <m:e>
                  <m:d>
                    <m:dPr>
                      <m:begChr m:val="("/>
                      <m:sepChr m:val=""/>
                      <m:endChr m:val=")"/>
                      <m:grow/>
                    </m:dPr>
                    <m:e>
                      <m:f>
                        <m:fPr>
                          <m:type m:val="bar"/>
                        </m:fPr>
                        <m:num>
                          <m:r>
                            <m:t>L</m:t>
                          </m:r>
                        </m:num>
                        <m:den>
                          <m:sSup>
                            <m:e>
                              <m:r>
                                <m:t>S</m:t>
                              </m:r>
                            </m:e>
                            <m:sup>
                              <m:r>
                                <m:t>0.25</m:t>
                              </m:r>
                            </m:sup>
                          </m:sSup>
                        </m:den>
                      </m:f>
                    </m:e>
                  </m:d>
                </m:e>
                <m:sup>
                  <m:r>
                    <m:t>0.76</m:t>
                  </m:r>
                </m:sup>
              </m:sSup>
            </m:oMath>
            <w:r>
              <w:rPr>
                <w:rFonts w:ascii="Calibri" w:hAnsi="Calibri"/>
                <w:color w:val="0F172A"/>
                <w:sz w:val="18"/>
              </w:rPr>
              <w:t xml:space="preserve">​</w:t>
            </w:r>
          </w:p>
        </w:tc>
        <w:tc>
          <w:tcPr>
            <w:vAlign w:val="center"/>
            <w:tcMar>
              <w:top w:w="100" w:type="dxa"/>
              <w:bottom w:w="100" w:type="dxa"/>
              <w:left w:w="140" w:type="dxa"/>
              <w:right w:w="140" w:type="dxa"/>
            </w:tcMar>
            <w:shd w:fill="FFFFFF"/>
          </w:tcPr>
          <w:p>
            <w:pPr>
              <w:pStyle w:val="Compact"/>
              <w:jc w:val="left"/>
            </w:pPr>
            <m:oMath>
              <m:r>
                <m:t>L</m:t>
              </m:r>
            </m:oMath>
            <w:r>
              <w:rPr>
                <w:rFonts w:ascii="Calibri" w:hAnsi="Calibri"/>
                <w:color w:val="0F172A"/>
                <w:sz w:val="18"/>
              </w:rPr>
              <w:t xml:space="preserve">: km,</w:t>
            </w:r>
            <w:r>
              <w:rPr>
                <w:rFonts w:ascii="Calibri" w:hAnsi="Calibri"/>
                <w:color w:val="0F172A"/>
                <w:sz w:val="18"/>
              </w:rPr>
              <w:t xml:space="preserve"> </w:t>
            </w:r>
            <m:oMath>
              <m:r>
                <m:t>S</m:t>
              </m:r>
            </m:oMath>
            <w:r>
              <w:rPr>
                <w:rFonts w:ascii="Calibri" w:hAnsi="Calibri"/>
                <w:color w:val="0F172A"/>
                <w:sz w:val="18"/>
              </w:rPr>
              <w:t xml:space="preserve">: % (pendiente en porcentaje),</w:t>
            </w:r>
            <w:r>
              <w:rPr>
                <w:rFonts w:ascii="Calibri" w:hAnsi="Calibri"/>
                <w:color w:val="0F172A"/>
                <w:sz w:val="18"/>
              </w:rPr>
              <w:t xml:space="preserve"> </w:t>
            </w:r>
            <m:oMath>
              <m:sSub>
                <m:e>
                  <m:r>
                    <m:t>T</m:t>
                  </m:r>
                </m:e>
                <m:sub>
                  <m:r>
                    <m:t>c</m:t>
                  </m:r>
                </m:sub>
              </m:sSub>
            </m:oMath>
            <w:r>
              <w:rPr>
                <w:rFonts w:ascii="Calibri" w:hAnsi="Calibri"/>
                <w:color w:val="0F172A"/>
                <w:sz w:val="18"/>
              </w:rPr>
              <w:t xml:space="preserve">: h.</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Giandotti</w:t>
            </w:r>
          </w:p>
        </w:tc>
        <w:tc>
          <w:tcPr>
            <w:vAlign w:val="center"/>
            <w:tcMar>
              <w:top w:w="100" w:type="dxa"/>
              <w:bottom w:w="100" w:type="dxa"/>
              <w:left w:w="140" w:type="dxa"/>
              <w:right w:w="140" w:type="dxa"/>
            </w:tcMar>
            <w:shd w:fill="F8FAFC"/>
          </w:tcPr>
          <w:p>
            <w:pPr>
              <w:pStyle w:val="Compact"/>
              <w:jc w:val="left"/>
            </w:pPr>
            <m:oMath>
              <m:sSub>
                <m:e>
                  <m:r>
                    <m:t>T</m:t>
                  </m:r>
                </m:e>
                <m:sub>
                  <m:r>
                    <m:t>c</m:t>
                  </m:r>
                </m:sub>
              </m:sSub>
              <m:r>
                <m:rPr>
                  <m:sty m:val="p"/>
                </m:rPr>
                <m:t>=</m:t>
              </m:r>
              <m:f>
                <m:fPr>
                  <m:type m:val="bar"/>
                </m:fPr>
                <m:num>
                  <m:r>
                    <m:t>4</m:t>
                  </m:r>
                  <m:rad>
                    <m:radPr>
                      <m:degHide m:val="on"/>
                    </m:radPr>
                    <m:deg/>
                    <m:e>
                      <m:r>
                        <m:t>A</m:t>
                      </m:r>
                    </m:e>
                  </m:rad>
                  <m:r>
                    <m:rPr>
                      <m:sty m:val="p"/>
                    </m:rPr>
                    <m:t>+</m:t>
                  </m:r>
                  <m:r>
                    <m:t>1.5</m:t>
                  </m:r>
                  <m:r>
                    <m:t>L</m:t>
                  </m:r>
                </m:num>
                <m:den>
                  <m:r>
                    <m:t>25.3</m:t>
                  </m:r>
                  <m:rad>
                    <m:radPr>
                      <m:degHide m:val="on"/>
                    </m:radPr>
                    <m:deg/>
                    <m:e>
                      <m:r>
                        <m:t>L</m:t>
                      </m:r>
                      <m:r>
                        <m:rPr>
                          <m:sty m:val="p"/>
                        </m:rPr>
                        <m:t>⋅</m:t>
                      </m:r>
                      <m:r>
                        <m:t>S</m:t>
                      </m:r>
                    </m:e>
                  </m:rad>
                </m:den>
              </m:f>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left"/>
            </w:pPr>
            <m:oMath>
              <m:r>
                <m:t>A</m:t>
              </m:r>
            </m:oMath>
            <w:r>
              <w:rPr>
                <w:rFonts w:ascii="Calibri" w:hAnsi="Calibri"/>
                <w:color w:val="0F172A"/>
                <w:sz w:val="18"/>
              </w:rPr>
              <w:t xml:space="preserve">: km</w:t>
            </w:r>
            <m:oMath>
              <m:sSup>
                <m:e>
                  <m:r>
                    <m:t>​</m:t>
                  </m:r>
                </m:e>
                <m:sup>
                  <m:r>
                    <m:t>2</m:t>
                  </m:r>
                </m:sup>
              </m:sSup>
            </m:oMath>
            <w:r>
              <w:rPr>
                <w:rFonts w:ascii="Calibri" w:hAnsi="Calibri"/>
                <w:color w:val="0F172A"/>
                <w:sz w:val="18"/>
              </w:rPr>
              <w:t xml:space="preserve">,</w:t>
            </w:r>
            <w:r>
              <w:rPr>
                <w:rFonts w:ascii="Calibri" w:hAnsi="Calibri"/>
                <w:color w:val="0F172A"/>
                <w:sz w:val="18"/>
              </w:rPr>
              <w:t xml:space="preserve"> </w:t>
            </w:r>
            <m:oMath>
              <m:r>
                <m:t>L</m:t>
              </m:r>
            </m:oMath>
            <w:r>
              <w:rPr>
                <w:rFonts w:ascii="Calibri" w:hAnsi="Calibri"/>
                <w:color w:val="0F172A"/>
                <w:sz w:val="18"/>
              </w:rPr>
              <w:t xml:space="preserve">: km,</w:t>
            </w:r>
            <w:r>
              <w:rPr>
                <w:rFonts w:ascii="Calibri" w:hAnsi="Calibri"/>
                <w:color w:val="0F172A"/>
                <w:sz w:val="18"/>
              </w:rPr>
              <w:t xml:space="preserve"> </w:t>
            </w:r>
            <m:oMath>
              <m:r>
                <m:t>S</m:t>
              </m:r>
            </m:oMath>
            <w:r>
              <w:rPr>
                <w:rFonts w:ascii="Calibri" w:hAnsi="Calibri"/>
                <w:color w:val="0F172A"/>
                <w:sz w:val="18"/>
              </w:rPr>
              <w:t xml:space="preserve">: m/m,</w:t>
            </w:r>
            <w:r>
              <w:rPr>
                <w:rFonts w:ascii="Calibri" w:hAnsi="Calibri"/>
                <w:color w:val="0F172A"/>
                <w:sz w:val="18"/>
              </w:rPr>
              <w:t xml:space="preserve"> </w:t>
            </w:r>
            <m:oMath>
              <m:sSub>
                <m:e>
                  <m:r>
                    <m:t>T</m:t>
                  </m:r>
                </m:e>
                <m:sub>
                  <m:r>
                    <m:t>c</m:t>
                  </m:r>
                </m:sub>
              </m:sSub>
            </m:oMath>
            <w:r>
              <w:rPr>
                <w:rFonts w:ascii="Calibri" w:hAnsi="Calibri"/>
                <w:color w:val="0F172A"/>
                <w:sz w:val="18"/>
              </w:rPr>
              <w:t xml:space="preserve">: h.</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Johnstone y Cross</w:t>
            </w:r>
          </w:p>
        </w:tc>
        <w:tc>
          <w:tcPr>
            <w:vAlign w:val="center"/>
            <w:tcMar>
              <w:top w:w="100" w:type="dxa"/>
              <w:bottom w:w="100" w:type="dxa"/>
              <w:left w:w="140" w:type="dxa"/>
              <w:right w:w="140" w:type="dxa"/>
            </w:tcMar>
            <w:shd w:fill="FFFFFF"/>
          </w:tcPr>
          <w:p>
            <w:pPr>
              <w:pStyle w:val="Compact"/>
              <w:jc w:val="left"/>
            </w:pPr>
            <m:oMath>
              <m:sSub>
                <m:e>
                  <m:r>
                    <m:t>T</m:t>
                  </m:r>
                </m:e>
                <m:sub>
                  <m:r>
                    <m:t>c</m:t>
                  </m:r>
                </m:sub>
              </m:sSub>
              <m:r>
                <m:rPr>
                  <m:sty m:val="p"/>
                </m:rPr>
                <m:t>=</m:t>
              </m:r>
              <m:r>
                <m:t>2.6</m:t>
              </m:r>
              <m:sSup>
                <m:e>
                  <m:d>
                    <m:dPr>
                      <m:begChr m:val="("/>
                      <m:sepChr m:val=""/>
                      <m:endChr m:val=")"/>
                      <m:grow/>
                    </m:dPr>
                    <m:e>
                      <m:f>
                        <m:fPr>
                          <m:type m:val="bar"/>
                        </m:fPr>
                        <m:num>
                          <m:r>
                            <m:t>L</m:t>
                          </m:r>
                        </m:num>
                        <m:den>
                          <m:sSup>
                            <m:e>
                              <m:r>
                                <m:t>S</m:t>
                              </m:r>
                            </m:e>
                            <m:sup>
                              <m:r>
                                <m:t>0.5</m:t>
                              </m:r>
                            </m:sup>
                          </m:sSup>
                        </m:den>
                      </m:f>
                    </m:e>
                  </m:d>
                </m:e>
                <m:sup>
                  <m:r>
                    <m:t>0.5</m:t>
                  </m:r>
                </m:sup>
              </m:sSup>
            </m:oMath>
            <w:r>
              <w:rPr>
                <w:rFonts w:ascii="Calibri" w:hAnsi="Calibri"/>
                <w:color w:val="0F172A"/>
                <w:sz w:val="18"/>
              </w:rPr>
              <w:t xml:space="preserve">​</w:t>
            </w:r>
          </w:p>
        </w:tc>
        <w:tc>
          <w:tcPr>
            <w:vAlign w:val="center"/>
            <w:tcMar>
              <w:top w:w="100" w:type="dxa"/>
              <w:bottom w:w="100" w:type="dxa"/>
              <w:left w:w="140" w:type="dxa"/>
              <w:right w:w="140" w:type="dxa"/>
            </w:tcMar>
            <w:shd w:fill="FFFFFF"/>
          </w:tcPr>
          <w:p>
            <w:pPr>
              <w:pStyle w:val="Compact"/>
              <w:jc w:val="left"/>
            </w:pPr>
            <m:oMath>
              <m:r>
                <m:t>L</m:t>
              </m:r>
            </m:oMath>
            <w:r>
              <w:rPr>
                <w:rFonts w:ascii="Calibri" w:hAnsi="Calibri"/>
                <w:color w:val="0F172A"/>
                <w:sz w:val="18"/>
              </w:rPr>
              <w:t xml:space="preserve">: km,</w:t>
            </w:r>
            <w:r>
              <w:rPr>
                <w:rFonts w:ascii="Calibri" w:hAnsi="Calibri"/>
                <w:color w:val="0F172A"/>
                <w:sz w:val="18"/>
              </w:rPr>
              <w:t xml:space="preserve"> </w:t>
            </w:r>
            <m:oMath>
              <m:r>
                <m:t>S</m:t>
              </m:r>
            </m:oMath>
            <w:r>
              <w:rPr>
                <w:rFonts w:ascii="Calibri" w:hAnsi="Calibri"/>
                <w:color w:val="0F172A"/>
                <w:sz w:val="18"/>
              </w:rPr>
              <w:t xml:space="preserve">: m/km,</w:t>
            </w:r>
            <w:r>
              <w:rPr>
                <w:rFonts w:ascii="Calibri" w:hAnsi="Calibri"/>
                <w:color w:val="0F172A"/>
                <w:sz w:val="18"/>
              </w:rPr>
              <w:t xml:space="preserve"> </w:t>
            </w:r>
            <m:oMath>
              <m:sSub>
                <m:e>
                  <m:r>
                    <m:t>T</m:t>
                  </m:r>
                </m:e>
                <m:sub>
                  <m:r>
                    <m:t>c</m:t>
                  </m:r>
                </m:sub>
              </m:sSub>
            </m:oMath>
            <w:r>
              <w:rPr>
                <w:rFonts w:ascii="Calibri" w:hAnsi="Calibri"/>
                <w:color w:val="0F172A"/>
                <w:sz w:val="18"/>
              </w:rPr>
              <w:t xml:space="preserve">: h.</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V.T. Chow</w:t>
            </w:r>
          </w:p>
        </w:tc>
        <w:tc>
          <w:tcPr>
            <w:vAlign w:val="center"/>
            <w:tcMar>
              <w:top w:w="100" w:type="dxa"/>
              <w:bottom w:w="100" w:type="dxa"/>
              <w:left w:w="140" w:type="dxa"/>
              <w:right w:w="140" w:type="dxa"/>
            </w:tcMar>
            <w:shd w:fill="F8FAFC"/>
          </w:tcPr>
          <w:p>
            <w:pPr>
              <w:pStyle w:val="Compact"/>
              <w:jc w:val="left"/>
            </w:pPr>
            <m:oMath>
              <m:sSub>
                <m:e>
                  <m:r>
                    <m:t>T</m:t>
                  </m:r>
                </m:e>
                <m:sub>
                  <m:r>
                    <m:t>c</m:t>
                  </m:r>
                </m:sub>
              </m:sSub>
              <m:r>
                <m:rPr>
                  <m:sty m:val="p"/>
                </m:rPr>
                <m:t>=</m:t>
              </m:r>
              <m:r>
                <m:t>0.273</m:t>
              </m:r>
              <m:sSup>
                <m:e>
                  <m:d>
                    <m:dPr>
                      <m:begChr m:val="("/>
                      <m:sepChr m:val=""/>
                      <m:endChr m:val=")"/>
                      <m:grow/>
                    </m:dPr>
                    <m:e>
                      <m:f>
                        <m:fPr>
                          <m:type m:val="bar"/>
                        </m:fPr>
                        <m:num>
                          <m:r>
                            <m:t>L</m:t>
                          </m:r>
                        </m:num>
                        <m:den>
                          <m:sSup>
                            <m:e>
                              <m:r>
                                <m:t>S</m:t>
                              </m:r>
                            </m:e>
                            <m:sup>
                              <m:r>
                                <m:t>0.5</m:t>
                              </m:r>
                            </m:sup>
                          </m:sSup>
                        </m:den>
                      </m:f>
                    </m:e>
                  </m:d>
                </m:e>
                <m:sup>
                  <m:r>
                    <m:t>0.64</m:t>
                  </m:r>
                </m:sup>
              </m:sSup>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left"/>
            </w:pPr>
            <m:oMath>
              <m:r>
                <m:t>L</m:t>
              </m:r>
            </m:oMath>
            <w:r>
              <w:rPr>
                <w:rFonts w:ascii="Calibri" w:hAnsi="Calibri"/>
                <w:color w:val="0F172A"/>
                <w:sz w:val="18"/>
              </w:rPr>
              <w:t xml:space="preserve">: km,</w:t>
            </w:r>
            <w:r>
              <w:rPr>
                <w:rFonts w:ascii="Calibri" w:hAnsi="Calibri"/>
                <w:color w:val="0F172A"/>
                <w:sz w:val="18"/>
              </w:rPr>
              <w:t xml:space="preserve"> </w:t>
            </w:r>
            <m:oMath>
              <m:r>
                <m:t>S</m:t>
              </m:r>
            </m:oMath>
            <w:r>
              <w:rPr>
                <w:rFonts w:ascii="Calibri" w:hAnsi="Calibri"/>
                <w:color w:val="0F172A"/>
                <w:sz w:val="18"/>
              </w:rPr>
              <w:t xml:space="preserve">: m/m,</w:t>
            </w:r>
            <w:r>
              <w:rPr>
                <w:rFonts w:ascii="Calibri" w:hAnsi="Calibri"/>
                <w:color w:val="0F172A"/>
                <w:sz w:val="18"/>
              </w:rPr>
              <w:t xml:space="preserve"> </w:t>
            </w:r>
            <m:oMath>
              <m:sSub>
                <m:e>
                  <m:r>
                    <m:t>T</m:t>
                  </m:r>
                </m:e>
                <m:sub>
                  <m:r>
                    <m:t>c</m:t>
                  </m:r>
                </m:sub>
              </m:sSub>
            </m:oMath>
            <w:r>
              <w:rPr>
                <w:rFonts w:ascii="Calibri" w:hAnsi="Calibri"/>
                <w:color w:val="0F172A"/>
                <w:sz w:val="18"/>
              </w:rPr>
              <w:t xml:space="preserve">: h.</w:t>
            </w:r>
          </w:p>
        </w:tc>
      </w:tr>
    </w:tbl>
    <w:bookmarkEnd w:id="41"/>
    <w:p>
      <w:pPr>
        <w:pStyle w:val="BodyText"/>
        <w:spacing w:line="276" w:lineRule="auto"/>
      </w:pPr>
      <w:r>
        <w:rPr>
          <w:rFonts w:ascii="Calibri" w:hAnsi="Calibri"/>
          <w:color w:val="0F172A"/>
          <w:sz w:val="21"/>
        </w:rPr>
        <w:t xml:space="preserve">En el Cuadro </w:t>
      </w:r>
      <w:hyperlink w:anchor="tab:tc_resultados">
        <w:r>
          <w:rPr>
            <w:rStyle w:val="Hyperlink"/>
          </w:rPr>
          <w:t xml:space="preserve">8</w:t>
        </w:r>
      </w:hyperlink>
      <w:r>
        <w:rPr>
          <w:rFonts w:ascii="Calibri" w:hAnsi="Calibri"/>
          <w:color w:val="0F172A"/>
          <w:sz w:val="21"/>
        </w:rPr>
        <w:t xml:space="preserve"> </w:t>
      </w:r>
      <w:r>
        <w:rPr>
          <w:rFonts w:ascii="Calibri" w:hAnsi="Calibri"/>
          <w:color w:val="0F172A"/>
          <w:sz w:val="21"/>
        </w:rPr>
        <w:t xml:space="preserve">se comparan los tiempos de concentración calculados por cada método:</w:t>
      </w:r>
    </w:p>
    <w:bookmarkStart w:id="42" w:name="tab:tc_resultados"/>
    <w:p>
      <w:pPr>
        <w:pStyle w:val="TableCaption"/>
        <w:spacing w:after="160"/>
        <w:jc w:val="center"/>
      </w:pPr>
      <w:r>
        <w:rPr>
          <w:rFonts w:ascii="Calibri" w:hAnsi="Calibri"/>
          <w:i/>
          <w:color w:val="64748B"/>
          <w:sz w:val="18"/>
        </w:rPr>
        <w:t xml:space="preserve">Resumen de tiempos de concentración estimados para la cuenca.</w:t>
      </w:r>
    </w:p>
    <w:tbl>
      <w:tblPr>
        <w:tblStyle w:val="Table"/>
        <w:tblW w:type="auto" w:w="0"/>
        <w:jc w:val="center"/>
        <w:tblLook w:firstRow="1" w:lastRow="0" w:firstColumn="0" w:lastColumn="0" w:noHBand="0" w:noVBand="0" w:val="0020"/>
        <w:tblCaption w:val="Resumen de tiempos de concentración estimados para la cuenca."/>
        <w:tblBorders>
          <w:top w:val="single" w:sz="4" w:space="0" w:color="CBD5E1"/>
          <w:bottom w:val="single" w:sz="4" w:space="0" w:color="CBD5E1"/>
          <w:insideH w:val="single" w:sz="4" w:space="0" w:color="CBD5E1"/>
          <w:insideV w:val="none"/>
          <w:left w:val="none"/>
          <w:right w:val="none"/>
        </w:tblBorders>
      </w:tblPr>
      <w:tblGrid>
        <w:gridCol w:w="2640"/>
        <w:gridCol w:w="2640"/>
        <w:gridCol w:w="264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Método Aplicado</w:t>
            </w:r>
          </w:p>
        </w:tc>
        <w:tc>
          <w:tcPr>
            <w:vAlign w:val="center"/>
            <w:tcMar>
              <w:top w:w="100" w:type="dxa"/>
              <w:bottom w:w="100" w:type="dxa"/>
              <w:left w:w="140" w:type="dxa"/>
              <w:right w:w="140" w:type="dxa"/>
            </w:tcMar>
            <w:shd w:fill="1F9D8F"/>
          </w:tcPr>
          <w:p>
            <w:pPr>
              <w:pStyle w:val="Compact"/>
              <w:jc w:val="right"/>
            </w:pPr>
            <m:oMath>
              <m:sSub>
                <m:e>
                  <m:r>
                    <m:t>T</m:t>
                  </m:r>
                </m:e>
                <m:sub>
                  <m:r>
                    <m:t>c</m:t>
                  </m:r>
                </m:sub>
              </m:sSub>
            </m:oMath>
            <w:r>
              <w:rPr>
                <w:rFonts w:ascii="Calibri" w:hAnsi="Calibri"/>
                <w:b/>
                <w:bCs/>
                <w:color w:val="FFFFFF"/>
                <w:sz w:val="19"/>
              </w:rPr>
              <w:t xml:space="preserve"> </w:t>
            </w:r>
            <w:r>
              <w:rPr>
                <w:rFonts w:ascii="Calibri" w:hAnsi="Calibri"/>
                <w:b/>
                <w:bCs/>
                <w:color w:val="FFFFFF"/>
                <w:sz w:val="19"/>
              </w:rPr>
              <w:t xml:space="preserve">(Horas)</w:t>
            </w:r>
          </w:p>
        </w:tc>
        <w:tc>
          <w:tcPr>
            <w:vAlign w:val="center"/>
            <w:tcMar>
              <w:top w:w="100" w:type="dxa"/>
              <w:bottom w:w="100" w:type="dxa"/>
              <w:left w:w="140" w:type="dxa"/>
              <w:right w:w="140" w:type="dxa"/>
            </w:tcMar>
            <w:shd w:fill="1F9D8F"/>
          </w:tcPr>
          <w:p>
            <w:pPr>
              <w:pStyle w:val="Compact"/>
              <w:jc w:val="right"/>
            </w:pPr>
            <m:oMath>
              <m:sSub>
                <m:e>
                  <m:r>
                    <m:t>T</m:t>
                  </m:r>
                </m:e>
                <m:sub>
                  <m:r>
                    <m:t>c</m:t>
                  </m:r>
                </m:sub>
              </m:sSub>
            </m:oMath>
            <w:r>
              <w:rPr>
                <w:rFonts w:ascii="Calibri" w:hAnsi="Calibri"/>
                <w:b/>
                <w:bCs/>
                <w:color w:val="FFFFFF"/>
                <w:sz w:val="19"/>
              </w:rPr>
              <w:t xml:space="preserve"> </w:t>
            </w:r>
            <w:r>
              <w:rPr>
                <w:rFonts w:ascii="Calibri" w:hAnsi="Calibri"/>
                <w:b/>
                <w:bCs/>
                <w:color w:val="FFFFFF"/>
                <w:sz w:val="19"/>
              </w:rPr>
              <w:t xml:space="preserve">(Minutos)</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Kirpich</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6.40 h</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384.0 min</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Témez</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12.30 h</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738.0 min</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Giandotti</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7.98 h</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479.0 min</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Johnstone y Cross</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8.99 h</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539.6 min</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V.T. Chow</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12.19 h</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731.5 min</w:t>
            </w:r>
          </w:p>
        </w:tc>
      </w:tr>
      <w:tr>
        <w:tc>
          <w:tcPr>
            <w:vAlign w:val="center"/>
            <w:tcMar>
              <w:top w:w="100" w:type="dxa"/>
              <w:bottom w:w="100" w:type="dxa"/>
              <w:left w:w="140" w:type="dxa"/>
              <w:right w:w="140" w:type="dxa"/>
            </w:tcMar>
            <w:shd w:fill="FFFFFF"/>
          </w:tcPr>
          <w:p>
            <w:pPr>
              <w:pStyle w:val="Compact"/>
              <w:jc w:val="left"/>
            </w:pPr>
            <w:r>
              <w:rPr>
                <w:rFonts w:ascii="Calibri" w:hAnsi="Calibri"/>
                <w:b/>
                <w:bCs/>
                <w:color w:val="0F172A"/>
                <w:sz w:val="18"/>
              </w:rPr>
              <w:t xml:space="preserve">Promedio Adoptado</w:t>
            </w:r>
          </w:p>
        </w:tc>
        <w:tc>
          <w:tcPr>
            <w:vAlign w:val="center"/>
            <w:tcMar>
              <w:top w:w="100" w:type="dxa"/>
              <w:bottom w:w="100" w:type="dxa"/>
              <w:left w:w="140" w:type="dxa"/>
              <w:right w:w="140" w:type="dxa"/>
            </w:tcMar>
            <w:shd w:fill="FFFFFF"/>
          </w:tcPr>
          <w:p>
            <w:pPr>
              <w:pStyle w:val="Compact"/>
              <w:jc w:val="right"/>
            </w:pPr>
            <w:r>
              <w:rPr>
                <w:rFonts w:ascii="Calibri" w:hAnsi="Calibri"/>
                <w:b/>
                <w:bCs/>
                <w:color w:val="0F172A"/>
                <w:sz w:val="18"/>
              </w:rPr>
              <w:t xml:space="preserve">9.57 h</w:t>
            </w:r>
          </w:p>
        </w:tc>
        <w:tc>
          <w:tcPr>
            <w:vAlign w:val="center"/>
            <w:tcMar>
              <w:top w:w="100" w:type="dxa"/>
              <w:bottom w:w="100" w:type="dxa"/>
              <w:left w:w="140" w:type="dxa"/>
              <w:right w:w="140" w:type="dxa"/>
            </w:tcMar>
            <w:shd w:fill="FFFFFF"/>
          </w:tcPr>
          <w:p>
            <w:pPr>
              <w:pStyle w:val="Compact"/>
              <w:jc w:val="right"/>
            </w:pPr>
            <w:r>
              <w:rPr>
                <w:rFonts w:ascii="Calibri" w:hAnsi="Calibri"/>
                <w:b/>
                <w:bCs/>
                <w:color w:val="0F172A"/>
                <w:sz w:val="18"/>
              </w:rPr>
              <w:t xml:space="preserve">574.4 min</w:t>
            </w:r>
          </w:p>
        </w:tc>
      </w:tr>
    </w:tbl>
    <w:bookmarkEnd w:id="42"/>
    <w:bookmarkEnd w:id="43"/>
    <w:bookmarkStart w:id="45" w:name="X68cb1b71091d813fb3897abe3c27f5052f3e4d2"/>
    <w:p>
      <w:pPr>
        <w:pStyle w:val="Heading2"/>
        <w:spacing w:before="200" w:after="80"/>
      </w:pPr>
      <w:r>
        <w:rPr>
          <w:rFonts w:ascii="Calibri" w:hAnsi="Calibri"/>
          <w:b/>
          <w:color w:val="1F9D8F"/>
          <w:sz w:val="25"/>
        </w:rPr>
        <w:t xml:space="preserve">Modelación Hidrológica y Caudales Máximos</w:t>
      </w:r>
    </w:p>
    <w:p>
      <w:pPr>
        <w:pStyle w:val="FirstParagraph"/>
        <w:spacing w:line="276" w:lineRule="auto"/>
      </w:pPr>
      <w:r>
        <w:rPr>
          <w:rFonts w:ascii="Calibri" w:hAnsi="Calibri"/>
          <w:color w:val="0F172A"/>
          <w:sz w:val="21"/>
        </w:rPr>
        <w:t xml:space="preserve">La transformación de lluvia en escorrentía se efectuó aplicando el modelo del Hidrograma Unitario del SCS conjuntamente con el Método Racional. En el Cuadro </w:t>
      </w:r>
      <w:hyperlink w:anchor="tab:caudales">
        <w:r>
          <w:rPr>
            <w:rStyle w:val="Hyperlink"/>
          </w:rPr>
          <w:t xml:space="preserve">9</w:t>
        </w:r>
      </w:hyperlink>
      <w:r>
        <w:rPr>
          <w:rFonts w:ascii="Calibri" w:hAnsi="Calibri"/>
          <w:color w:val="0F172A"/>
          <w:sz w:val="21"/>
        </w:rPr>
        <w:t xml:space="preserve"> </w:t>
      </w:r>
      <w:r>
        <w:rPr>
          <w:rFonts w:ascii="Calibri" w:hAnsi="Calibri"/>
          <w:color w:val="0F172A"/>
          <w:sz w:val="21"/>
        </w:rPr>
        <w:t xml:space="preserve">se consolidan los caudales pico estimados para cada periodo de retorno, y en la Figura </w:t>
      </w:r>
      <w:hyperlink w:anchor="fig:hidrogramas">
        <w:r>
          <w:rPr>
            <w:rStyle w:val="Hyperlink"/>
          </w:rPr>
          <w:t xml:space="preserve">[fig:hidrogramas]</w:t>
        </w:r>
      </w:hyperlink>
      <w:r>
        <w:rPr>
          <w:rFonts w:ascii="Calibri" w:hAnsi="Calibri"/>
          <w:color w:val="0F172A"/>
          <w:sz w:val="21"/>
        </w:rPr>
        <w:t xml:space="preserve"> </w:t>
      </w:r>
      <w:r>
        <w:rPr>
          <w:rFonts w:ascii="Calibri" w:hAnsi="Calibri"/>
          <w:color w:val="0F172A"/>
          <w:sz w:val="21"/>
        </w:rPr>
        <w:t xml:space="preserve">se grafican los hidrogramas temporales de diseño</w:t>
      </w:r>
      <w:r>
        <w:rPr>
          <w:rFonts w:ascii="Calibri" w:hAnsi="Calibri"/>
          <w:color w:val="0F172A"/>
          <w:sz w:val="21"/>
        </w:rPr>
        <w:t xml:space="preserve"> </w:t>
      </w:r>
      <m:oMath>
        <m:r>
          <m:t>Q</m:t>
        </m:r>
        <m:r>
          <m:rPr>
            <m:sty m:val="p"/>
          </m:rPr>
          <m:t>(</m:t>
        </m:r>
        <m:r>
          <m:t>t</m:t>
        </m:r>
        <m:r>
          <m:rPr>
            <m:sty m:val="p"/>
          </m:rPr>
          <m:t>)</m:t>
        </m:r>
      </m:oMath>
      <w:r>
        <w:rPr>
          <w:rFonts w:ascii="Calibri" w:hAnsi="Calibri"/>
          <w:color w:val="0F172A"/>
          <w:sz w:val="21"/>
        </w:rPr>
        <w:t xml:space="preserve">.</w:t>
      </w:r>
    </w:p>
    <w:bookmarkStart w:id="44" w:name="tab:caudales"/>
    <w:p>
      <w:pPr>
        <w:pStyle w:val="TableCaption"/>
        <w:spacing w:after="160"/>
        <w:jc w:val="center"/>
      </w:pPr>
      <w:r>
        <w:rPr>
          <w:rFonts w:ascii="Calibri" w:hAnsi="Calibri"/>
          <w:i/>
          <w:color w:val="64748B"/>
          <w:sz w:val="18"/>
        </w:rPr>
        <w:t xml:space="preserve">Resumen de caudales pico obtenidos para diferentes periodos de retorno.</w:t>
      </w:r>
    </w:p>
    <w:tbl>
      <w:tblPr>
        <w:tblStyle w:val="Table"/>
        <w:tblW w:type="auto" w:w="0"/>
        <w:jc w:val="center"/>
        <w:tblLook w:firstRow="1" w:lastRow="0" w:firstColumn="0" w:lastColumn="0" w:noHBand="0" w:noVBand="0" w:val="0020"/>
        <w:tblCaption w:val="Resumen de caudales pico obtenidos para diferentes periodos de retorno."/>
        <w:tblBorders>
          <w:top w:val="single" w:sz="4" w:space="0" w:color="CBD5E1"/>
          <w:bottom w:val="single" w:sz="4" w:space="0" w:color="CBD5E1"/>
          <w:insideH w:val="single" w:sz="4" w:space="0" w:color="CBD5E1"/>
          <w:insideV w:val="none"/>
          <w:left w:val="none"/>
          <w:right w:val="none"/>
        </w:tblBorders>
      </w:tblPr>
      <w:tblGrid>
        <w:gridCol w:w="1131"/>
        <w:gridCol w:w="1131"/>
        <w:gridCol w:w="1131"/>
        <w:gridCol w:w="1131"/>
        <w:gridCol w:w="1131"/>
        <w:gridCol w:w="1131"/>
        <w:gridCol w:w="1131"/>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Periodo Retorno</w:t>
            </w:r>
          </w:p>
        </w:tc>
        <w:tc>
          <w:tcPr>
            <w:vAlign w:val="center"/>
            <w:tcMar>
              <w:top w:w="100" w:type="dxa"/>
              <w:bottom w:w="100" w:type="dxa"/>
              <w:left w:w="140" w:type="dxa"/>
              <w:right w:w="140" w:type="dxa"/>
            </w:tcMar>
            <w:shd w:fill="1F9D8F"/>
          </w:tcPr>
          <w:p>
            <w:pPr>
              <w:pStyle w:val="Compact"/>
              <w:jc w:val="right"/>
            </w:pPr>
            <m:oMath>
              <m:sSub>
                <m:e>
                  <m:r>
                    <m:t>I</m:t>
                  </m:r>
                </m:e>
                <m:sub>
                  <m:r>
                    <m:t>d</m:t>
                  </m:r>
                  <m:r>
                    <m:t>i</m:t>
                  </m:r>
                  <m:r>
                    <m:t>s</m:t>
                  </m:r>
                  <m:r>
                    <m:t>e</m:t>
                  </m:r>
                  <m:r>
                    <m:t>n</m:t>
                  </m:r>
                  <m:r>
                    <m:t>o</m:t>
                  </m:r>
                </m:sub>
              </m:sSub>
            </m:oMath>
            <w:r>
              <w:rPr>
                <w:rFonts w:ascii="Calibri" w:hAnsi="Calibri"/>
                <w:b/>
                <w:bCs/>
                <w:color w:val="FFFFFF"/>
                <w:sz w:val="19"/>
              </w:rPr>
              <w:t xml:space="preserve"> </w:t>
            </w:r>
            <w:r>
              <w:rPr>
                <w:rFonts w:ascii="Calibri" w:hAnsi="Calibri"/>
                <w:b/>
                <w:bCs/>
                <w:color w:val="FFFFFF"/>
                <w:sz w:val="19"/>
              </w:rPr>
              <w:t xml:space="preserve">(mm/h)</w:t>
            </w:r>
          </w:p>
        </w:tc>
        <w:tc>
          <w:tcPr>
            <w:vAlign w:val="center"/>
            <w:tcMar>
              <w:top w:w="100" w:type="dxa"/>
              <w:bottom w:w="100" w:type="dxa"/>
              <w:left w:w="140" w:type="dxa"/>
              <w:right w:w="140" w:type="dxa"/>
            </w:tcMar>
            <w:shd w:fill="1F9D8F"/>
          </w:tcPr>
          <w:p>
            <w:pPr>
              <w:pStyle w:val="Compact"/>
              <w:jc w:val="right"/>
            </w:pPr>
            <m:oMath>
              <m:sSub>
                <m:e>
                  <m:r>
                    <m:t>P</m:t>
                  </m:r>
                </m:e>
                <m:sub>
                  <m:r>
                    <m:t>t</m:t>
                  </m:r>
                  <m:r>
                    <m:t>o</m:t>
                  </m:r>
                  <m:r>
                    <m:t>t</m:t>
                  </m:r>
                  <m:r>
                    <m:t>a</m:t>
                  </m:r>
                  <m:r>
                    <m:t>l</m:t>
                  </m:r>
                </m:sub>
              </m:sSub>
            </m:oMath>
            <w:r>
              <w:rPr>
                <w:rFonts w:ascii="Calibri" w:hAnsi="Calibri"/>
                <w:b/>
                <w:bCs/>
                <w:color w:val="FFFFFF"/>
                <w:sz w:val="19"/>
              </w:rPr>
              <w:t xml:space="preserve"> </w:t>
            </w:r>
            <w:r>
              <w:rPr>
                <w:rFonts w:ascii="Calibri" w:hAnsi="Calibri"/>
                <w:b/>
                <w:bCs/>
                <w:color w:val="FFFFFF"/>
                <w:sz w:val="19"/>
              </w:rPr>
              <w:t xml:space="preserve">(mm)</w:t>
            </w:r>
          </w:p>
        </w:tc>
        <w:tc>
          <w:tcPr>
            <w:vAlign w:val="center"/>
            <w:tcMar>
              <w:top w:w="100" w:type="dxa"/>
              <w:bottom w:w="100" w:type="dxa"/>
              <w:left w:w="140" w:type="dxa"/>
              <w:right w:w="140" w:type="dxa"/>
            </w:tcMar>
            <w:shd w:fill="1F9D8F"/>
          </w:tcPr>
          <w:p>
            <w:pPr>
              <w:pStyle w:val="Compact"/>
              <w:jc w:val="right"/>
            </w:pPr>
            <m:oMath>
              <m:sSub>
                <m:e>
                  <m:r>
                    <m:t>P</m:t>
                  </m:r>
                </m:e>
                <m:sub>
                  <m:r>
                    <m:t>e</m:t>
                  </m:r>
                  <m:r>
                    <m:t>f</m:t>
                  </m:r>
                  <m:r>
                    <m:t>e</m:t>
                  </m:r>
                  <m:r>
                    <m:t>c</m:t>
                  </m:r>
                  <m:r>
                    <m:t>t</m:t>
                  </m:r>
                  <m:r>
                    <m:t>i</m:t>
                  </m:r>
                  <m:r>
                    <m:t>v</m:t>
                  </m:r>
                  <m:r>
                    <m:t>a</m:t>
                  </m:r>
                </m:sub>
              </m:sSub>
            </m:oMath>
            <w:r>
              <w:rPr>
                <w:rFonts w:ascii="Calibri" w:hAnsi="Calibri"/>
                <w:b/>
                <w:bCs/>
                <w:color w:val="FFFFFF"/>
                <w:sz w:val="19"/>
              </w:rPr>
              <w:t xml:space="preserve"> </w:t>
            </w:r>
            <w:r>
              <w:rPr>
                <w:rFonts w:ascii="Calibri" w:hAnsi="Calibri"/>
                <w:b/>
                <w:bCs/>
                <w:color w:val="FFFFFF"/>
                <w:sz w:val="19"/>
              </w:rPr>
              <w:t xml:space="preserve">(mm)</w:t>
            </w:r>
          </w:p>
        </w:tc>
        <w:tc>
          <w:tcPr>
            <w:vAlign w:val="center"/>
            <w:tcMar>
              <w:top w:w="100" w:type="dxa"/>
              <w:bottom w:w="100" w:type="dxa"/>
              <w:left w:w="140" w:type="dxa"/>
              <w:right w:w="140" w:type="dxa"/>
            </w:tcMar>
            <w:shd w:fill="1F9D8F"/>
          </w:tcPr>
          <w:p>
            <w:pPr>
              <w:pStyle w:val="Compact"/>
              <w:jc w:val="right"/>
            </w:pPr>
            <m:oMath>
              <m:sSub>
                <m:e>
                  <m:r>
                    <m:t>Q</m:t>
                  </m:r>
                </m:e>
                <m:sub>
                  <m:r>
                    <m:t>R</m:t>
                  </m:r>
                  <m:r>
                    <m:t>a</m:t>
                  </m:r>
                  <m:r>
                    <m:t>c</m:t>
                  </m:r>
                  <m:r>
                    <m:t>i</m:t>
                  </m:r>
                  <m:r>
                    <m:t>o</m:t>
                  </m:r>
                  <m:r>
                    <m:t>n</m:t>
                  </m:r>
                  <m:r>
                    <m:t>a</m:t>
                  </m:r>
                  <m:r>
                    <m:t>l</m:t>
                  </m:r>
                </m:sub>
              </m:sSub>
            </m:oMath>
            <w:r>
              <w:rPr>
                <w:rFonts w:ascii="Calibri" w:hAnsi="Calibri"/>
                <w:b/>
                <w:bCs/>
                <w:color w:val="FFFFFF"/>
                <w:sz w:val="19"/>
              </w:rPr>
              <w:t xml:space="preserve"> </w:t>
            </w:r>
            <w:r>
              <w:rPr>
                <w:rFonts w:ascii="Calibri" w:hAnsi="Calibri"/>
                <w:b/>
                <w:bCs/>
                <w:color w:val="FFFFFF"/>
                <w:sz w:val="19"/>
              </w:rPr>
              <w:t xml:space="preserve">(m</w:t>
            </w:r>
            <m:oMath>
              <m:sSup>
                <m:e>
                  <m:r>
                    <m:t>​</m:t>
                  </m:r>
                </m:e>
                <m:sup>
                  <m:r>
                    <m:t>3</m:t>
                  </m:r>
                </m:sup>
              </m:sSup>
            </m:oMath>
            <w:r>
              <w:rPr>
                <w:rFonts w:ascii="Calibri" w:hAnsi="Calibri"/>
                <w:b/>
                <w:bCs/>
                <w:color w:val="FFFFFF"/>
                <w:sz w:val="19"/>
              </w:rPr>
              <w:t xml:space="preserve">/s)</w:t>
            </w:r>
          </w:p>
        </w:tc>
        <w:tc>
          <w:tcPr>
            <w:vAlign w:val="center"/>
            <w:tcMar>
              <w:top w:w="100" w:type="dxa"/>
              <w:bottom w:w="100" w:type="dxa"/>
              <w:left w:w="140" w:type="dxa"/>
              <w:right w:w="140" w:type="dxa"/>
            </w:tcMar>
            <w:shd w:fill="1F9D8F"/>
          </w:tcPr>
          <w:p>
            <w:pPr>
              <w:pStyle w:val="Compact"/>
              <w:jc w:val="right"/>
            </w:pPr>
            <m:oMath>
              <m:sSub>
                <m:e>
                  <m:r>
                    <m:t>Q</m:t>
                  </m:r>
                </m:e>
                <m:sub>
                  <m:r>
                    <m:t>S</m:t>
                  </m:r>
                  <m:r>
                    <m:t>C</m:t>
                  </m:r>
                  <m:r>
                    <m:t>S</m:t>
                  </m:r>
                </m:sub>
              </m:sSub>
            </m:oMath>
            <w:r>
              <w:rPr>
                <w:rFonts w:ascii="Calibri" w:hAnsi="Calibri"/>
                <w:b/>
                <w:bCs/>
                <w:color w:val="FFFFFF"/>
                <w:sz w:val="19"/>
              </w:rPr>
              <w:t xml:space="preserve"> </w:t>
            </w:r>
            <w:r>
              <w:rPr>
                <w:rFonts w:ascii="Calibri" w:hAnsi="Calibri"/>
                <w:b/>
                <w:bCs/>
                <w:color w:val="FFFFFF"/>
                <w:sz w:val="19"/>
              </w:rPr>
              <w:t xml:space="preserve">(m</w:t>
            </w:r>
            <m:oMath>
              <m:sSup>
                <m:e>
                  <m:r>
                    <m:t>​</m:t>
                  </m:r>
                </m:e>
                <m:sup>
                  <m:r>
                    <m:t>3</m:t>
                  </m:r>
                </m:sup>
              </m:sSup>
            </m:oMath>
            <w:r>
              <w:rPr>
                <w:rFonts w:ascii="Calibri" w:hAnsi="Calibri"/>
                <w:b/>
                <w:bCs/>
                <w:color w:val="FFFFFF"/>
                <w:sz w:val="19"/>
              </w:rPr>
              <w:t xml:space="preserve">/s)</w:t>
            </w:r>
          </w:p>
        </w:tc>
        <w:tc>
          <w:tcPr>
            <w:vAlign w:val="center"/>
            <w:tcMar>
              <w:top w:w="100" w:type="dxa"/>
              <w:bottom w:w="100" w:type="dxa"/>
              <w:left w:w="140" w:type="dxa"/>
              <w:right w:w="140" w:type="dxa"/>
            </w:tcMar>
            <w:shd w:fill="1F9D8F"/>
          </w:tcPr>
          <w:p>
            <w:pPr>
              <w:pStyle w:val="Compact"/>
              <w:jc w:val="right"/>
            </w:pPr>
            <m:oMath>
              <m:sSub>
                <m:e>
                  <m:r>
                    <m:t>Q</m:t>
                  </m:r>
                </m:e>
                <m:sub>
                  <m:r>
                    <m:t>D</m:t>
                  </m:r>
                  <m:r>
                    <m:t>i</m:t>
                  </m:r>
                  <m:r>
                    <m:t>s</m:t>
                  </m:r>
                  <m:r>
                    <m:t>e</m:t>
                  </m:r>
                  <m:r>
                    <m:t>n</m:t>
                  </m:r>
                  <m:r>
                    <m:t>o</m:t>
                  </m:r>
                </m:sub>
              </m:sSub>
            </m:oMath>
            <w:r>
              <w:rPr>
                <w:rFonts w:ascii="Calibri" w:hAnsi="Calibri"/>
                <w:b/>
                <w:bCs/>
                <w:color w:val="FFFFFF"/>
                <w:sz w:val="19"/>
              </w:rPr>
              <w:t xml:space="preserve"> </w:t>
            </w:r>
            <w:r>
              <w:rPr>
                <w:rFonts w:ascii="Calibri" w:hAnsi="Calibri"/>
                <w:b/>
                <w:bCs/>
                <w:color w:val="FFFFFF"/>
                <w:sz w:val="19"/>
              </w:rPr>
              <w:t xml:space="preserve">(m</w:t>
            </w:r>
            <m:oMath>
              <m:sSup>
                <m:e>
                  <m:r>
                    <m:t>​</m:t>
                  </m:r>
                </m:e>
                <m:sup>
                  <m:r>
                    <m:t>3</m:t>
                  </m:r>
                </m:sup>
              </m:sSup>
            </m:oMath>
            <w:r>
              <w:rPr>
                <w:rFonts w:ascii="Calibri" w:hAnsi="Calibri"/>
                <w:b/>
                <w:bCs/>
                <w:color w:val="FFFFFF"/>
                <w:sz w:val="19"/>
              </w:rPr>
              <w:t xml:space="preserve">/s)</w:t>
            </w:r>
          </w:p>
        </w:tc>
      </w:tr>
    </w:tbl>
    <w:bookmarkEnd w:id="44"/>
    <w:bookmarkEnd w:id="45"/>
    <w:bookmarkEnd w:id="46"/>
    <w:bookmarkStart w:id="47" w:name="análisis-integrado-de-resultados"/>
    <w:p>
      <w:pPr>
        <w:pStyle w:val="Heading1"/>
        <w:spacing w:before="280" w:after="120"/>
      </w:pPr>
      <w:r>
        <w:rPr>
          <w:rFonts w:ascii="Calibri" w:hAnsi="Calibri"/>
          <w:b/>
          <w:color w:val="176B73"/>
          <w:sz w:val="30"/>
        </w:rPr>
        <w:t xml:space="preserve">Análisis Integrado de Resultados</w:t>
      </w:r>
    </w:p>
    <w:p>
      <w:pPr>
        <w:pStyle w:val="FirstParagraph"/>
        <w:spacing w:line="276" w:lineRule="auto"/>
      </w:pPr>
      <w:r>
        <w:rPr>
          <w:rFonts w:ascii="Calibri" w:hAnsi="Calibri"/>
          <w:color w:val="0F172A"/>
          <w:sz w:val="21"/>
        </w:rPr>
        <w:t xml:space="preserve">La integración morfométrica e hidrológica evidencia una cuenca con factor de forma</w:t>
      </w:r>
      <w:r>
        <w:rPr>
          <w:rFonts w:ascii="Calibri" w:hAnsi="Calibri"/>
          <w:color w:val="0F172A"/>
          <w:sz w:val="21"/>
        </w:rPr>
        <w:t xml:space="preserve"> </w:t>
      </w:r>
      <m:oMath>
        <m:sSub>
          <m:e>
            <m:r>
              <m:t>K</m:t>
            </m:r>
          </m:e>
          <m:sub>
            <m:r>
              <m:t>f</m:t>
            </m:r>
          </m:sub>
        </m:sSub>
        <m:r>
          <m:rPr>
            <m:sty m:val="p"/>
          </m:rPr>
          <m:t>=</m:t>
        </m:r>
        <m:r>
          <m:t>0.624</m:t>
        </m:r>
      </m:oMath>
      <w:r>
        <w:rPr>
          <w:rFonts w:ascii="Calibri" w:hAnsi="Calibri"/>
          <w:color w:val="0F172A"/>
          <w:sz w:val="21"/>
        </w:rPr>
        <w:t xml:space="preserve"> </w:t>
      </w:r>
      <w:r>
        <w:rPr>
          <w:rFonts w:ascii="Calibri" w:hAnsi="Calibri"/>
          <w:color w:val="0F172A"/>
          <w:sz w:val="21"/>
        </w:rPr>
        <w:t xml:space="preserve">e índice de compacidad</w:t>
      </w:r>
      <w:r>
        <w:rPr>
          <w:rFonts w:ascii="Calibri" w:hAnsi="Calibri"/>
          <w:color w:val="0F172A"/>
          <w:sz w:val="21"/>
        </w:rPr>
        <w:t xml:space="preserve"> </w:t>
      </w:r>
      <m:oMath>
        <m:sSub>
          <m:e>
            <m:r>
              <m:t>K</m:t>
            </m:r>
          </m:e>
          <m:sub>
            <m:r>
              <m:t>c</m:t>
            </m:r>
          </m:sub>
        </m:sSub>
        <m:r>
          <m:rPr>
            <m:sty m:val="p"/>
          </m:rPr>
          <m:t>=</m:t>
        </m:r>
        <m:r>
          <m:t>2.317</m:t>
        </m:r>
      </m:oMath>
      <w:r>
        <w:rPr>
          <w:rFonts w:ascii="Calibri" w:hAnsi="Calibri"/>
          <w:color w:val="0F172A"/>
          <w:sz w:val="21"/>
        </w:rPr>
        <w:t xml:space="preserve">, lo que se traduce en hidrogramas con tiempos al pico moderados y respuesta hidrodinámica amortiguada. Para el periodo de retorno de diseño</w:t>
      </w:r>
      <w:r>
        <w:rPr>
          <w:rFonts w:ascii="Calibri" w:hAnsi="Calibri"/>
          <w:color w:val="0F172A"/>
          <w:sz w:val="21"/>
        </w:rPr>
        <w:t xml:space="preserve"> </w:t>
      </w:r>
      <m:oMath>
        <m:sSub>
          <m:e>
            <m:r>
              <m:t>T</m:t>
            </m:r>
          </m:e>
          <m:sub>
            <m:r>
              <m:t>r</m:t>
            </m:r>
          </m:sub>
        </m:sSub>
        <m:r>
          <m:rPr>
            <m:sty m:val="p"/>
          </m:rPr>
          <m:t>=</m:t>
        </m:r>
        <m:r>
          <m:t>100</m:t>
        </m:r>
      </m:oMath>
      <w:r>
        <w:rPr>
          <w:rFonts w:ascii="Calibri" w:hAnsi="Calibri"/>
          <w:color w:val="0F172A"/>
          <w:sz w:val="21"/>
        </w:rPr>
        <w:t xml:space="preserve"> </w:t>
      </w:r>
      <w:r>
        <w:rPr>
          <w:rFonts w:ascii="Calibri" w:hAnsi="Calibri"/>
          <w:color w:val="0F172A"/>
          <w:sz w:val="21"/>
        </w:rPr>
        <w:t xml:space="preserve">años, el caudal pico estimado de</w:t>
      </w:r>
      <w:r>
        <w:rPr>
          <w:rFonts w:ascii="Calibri" w:hAnsi="Calibri"/>
          <w:color w:val="0F172A"/>
          <w:sz w:val="21"/>
        </w:rPr>
        <w:t xml:space="preserve"> </w:t>
      </w:r>
      <w:r>
        <w:rPr>
          <w:rFonts w:ascii="Calibri" w:hAnsi="Calibri"/>
          <w:b/>
          <w:bCs/>
          <w:color w:val="0F172A"/>
          <w:sz w:val="21"/>
        </w:rPr>
        <w:t xml:space="preserve">0.00 m</w:t>
      </w:r>
      <m:oMath>
        <m:sSup>
          <m:e>
            <m:r>
              <m:t>​</m:t>
            </m:r>
          </m:e>
          <m:sup>
            <m:r>
              <m:t>3</m:t>
            </m:r>
          </m:sup>
        </m:sSup>
      </m:oMath>
      <w:r>
        <w:rPr>
          <w:rFonts w:ascii="Calibri" w:hAnsi="Calibri"/>
          <w:b/>
          <w:bCs/>
          <w:color w:val="0F172A"/>
          <w:sz w:val="21"/>
        </w:rPr>
        <w:t xml:space="preserve">/s</w:t>
      </w:r>
      <w:r>
        <w:rPr>
          <w:rFonts w:ascii="Calibri" w:hAnsi="Calibri"/>
          <w:color w:val="0F172A"/>
          <w:sz w:val="21"/>
        </w:rPr>
        <w:t xml:space="preserve"> </w:t>
      </w:r>
      <w:r>
        <w:rPr>
          <w:rFonts w:ascii="Calibri" w:hAnsi="Calibri"/>
          <w:color w:val="0F172A"/>
          <w:sz w:val="21"/>
        </w:rPr>
        <w:t xml:space="preserve">representa la condición de solicitación extrema recomendada para el diseño de obras de protección hidráulica y pasos vehiculares.</w:t>
      </w:r>
    </w:p>
    <w:bookmarkEnd w:id="47"/>
    <w:bookmarkStart w:id="48" w:name="conclusiones-y-recomendaciones"/>
    <w:p>
      <w:pPr>
        <w:pStyle w:val="Heading1"/>
        <w:spacing w:before="280" w:after="120"/>
      </w:pPr>
      <w:r>
        <w:rPr>
          <w:rFonts w:ascii="Calibri" w:hAnsi="Calibri"/>
          <w:b/>
          <w:color w:val="176B73"/>
          <w:sz w:val="30"/>
        </w:rPr>
        <w:t xml:space="preserve">Conclusiones y Recomendaciones</w:t>
      </w:r>
    </w:p>
    <w:p>
      <w:pPr>
        <w:numPr>
          <w:ilvl w:val="0"/>
          <w:numId w:val="1002"/>
        </w:numPr>
        <w:spacing w:line="276" w:lineRule="auto"/>
      </w:pPr>
      <w:r>
        <w:rPr>
          <w:rFonts w:ascii="Calibri" w:hAnsi="Calibri"/>
          <w:color w:val="0F172A"/>
          <w:sz w:val="21"/>
        </w:rPr>
        <w:t xml:space="preserve">Se delimitó exitosamente la cuenca aportante para</w:t>
      </w:r>
      <w:r>
        <w:rPr>
          <w:rFonts w:ascii="Calibri" w:hAnsi="Calibri"/>
          <w:color w:val="0F172A"/>
          <w:sz w:val="21"/>
        </w:rPr>
        <w:t xml:space="preserve"> </w:t>
      </w:r>
      <w:r>
        <w:rPr>
          <w:rFonts w:ascii="Calibri" w:hAnsi="Calibri"/>
          <w:b/>
          <w:bCs/>
          <w:color w:val="0F172A"/>
          <w:sz w:val="21"/>
        </w:rPr>
        <w:t xml:space="preserve">Zarzal</w:t>
      </w:r>
      <w:r>
        <w:rPr>
          <w:rFonts w:ascii="Calibri" w:hAnsi="Calibri"/>
          <w:color w:val="0F172A"/>
          <w:sz w:val="21"/>
        </w:rPr>
        <w:t xml:space="preserve">, abarcando un área total de</w:t>
      </w:r>
      <w:r>
        <w:rPr>
          <w:rFonts w:ascii="Calibri" w:hAnsi="Calibri"/>
          <w:color w:val="0F172A"/>
          <w:sz w:val="21"/>
        </w:rPr>
        <w:t xml:space="preserve"> </w:t>
      </w:r>
      <w:r>
        <w:rPr>
          <w:rFonts w:ascii="Calibri" w:hAnsi="Calibri"/>
          <w:b/>
          <w:bCs/>
          <w:color w:val="0F172A"/>
          <w:sz w:val="21"/>
        </w:rPr>
        <w:t xml:space="preserve">610.22 km</w:t>
      </w:r>
      <m:oMath>
        <m:sSup>
          <m:e>
            <m:r>
              <m:t>​</m:t>
            </m:r>
          </m:e>
          <m:sup>
            <m:r>
              <m:t>2</m:t>
            </m:r>
          </m:sup>
        </m:sSup>
      </m:oMath>
      <w:r>
        <w:rPr>
          <w:rFonts w:ascii="Calibri" w:hAnsi="Calibri"/>
          <w:color w:val="0F172A"/>
          <w:sz w:val="21"/>
        </w:rPr>
        <w:t xml:space="preserve"> </w:t>
      </w:r>
      <w:r>
        <w:rPr>
          <w:rFonts w:ascii="Calibri" w:hAnsi="Calibri"/>
          <w:color w:val="0F172A"/>
          <w:sz w:val="21"/>
        </w:rPr>
        <w:t xml:space="preserve">y un perímetro de</w:t>
      </w:r>
      <w:r>
        <w:rPr>
          <w:rFonts w:ascii="Calibri" w:hAnsi="Calibri"/>
          <w:color w:val="0F172A"/>
          <w:sz w:val="21"/>
        </w:rPr>
        <w:t xml:space="preserve"> </w:t>
      </w:r>
      <w:r>
        <w:rPr>
          <w:rFonts w:ascii="Calibri" w:hAnsi="Calibri"/>
          <w:b/>
          <w:bCs/>
          <w:color w:val="0F172A"/>
          <w:sz w:val="21"/>
        </w:rPr>
        <w:t xml:space="preserve">202.94 km</w:t>
      </w:r>
      <w:r>
        <w:rPr>
          <w:rFonts w:ascii="Calibri" w:hAnsi="Calibri"/>
          <w:color w:val="0F172A"/>
          <w:sz w:val="21"/>
        </w:rPr>
        <w:t xml:space="preserve">.</w:t>
      </w:r>
    </w:p>
    <w:p>
      <w:pPr>
        <w:numPr>
          <w:ilvl w:val="0"/>
          <w:numId w:val="1002"/>
        </w:numPr>
        <w:spacing w:line="276" w:lineRule="auto"/>
      </w:pPr>
      <w:r>
        <w:rPr>
          <w:rFonts w:ascii="Calibri" w:hAnsi="Calibri"/>
          <w:color w:val="0F172A"/>
          <w:sz w:val="21"/>
        </w:rPr>
        <w:t xml:space="preserve">La respuesta temporal del sistema arrojó un tiempo de concentración medio adoptado de</w:t>
      </w:r>
      <w:r>
        <w:rPr>
          <w:rFonts w:ascii="Calibri" w:hAnsi="Calibri"/>
          <w:color w:val="0F172A"/>
          <w:sz w:val="21"/>
        </w:rPr>
        <w:t xml:space="preserve"> </w:t>
      </w:r>
      <w:r>
        <w:rPr>
          <w:rFonts w:ascii="Calibri" w:hAnsi="Calibri"/>
          <w:b/>
          <w:bCs/>
          <w:color w:val="0F172A"/>
          <w:sz w:val="21"/>
        </w:rPr>
        <w:t xml:space="preserve">574.4 minutos</w:t>
      </w:r>
      <w:r>
        <w:rPr>
          <w:rFonts w:ascii="Calibri" w:hAnsi="Calibri"/>
          <w:color w:val="0F172A"/>
          <w:sz w:val="21"/>
        </w:rPr>
        <w:t xml:space="preserve"> </w:t>
      </w:r>
      <w:r>
        <w:rPr>
          <w:rFonts w:ascii="Calibri" w:hAnsi="Calibri"/>
          <w:color w:val="0F172A"/>
          <w:sz w:val="21"/>
        </w:rPr>
        <w:t xml:space="preserve">(9.57 h), fundamentado en el análisis comparativo de cinco formulaciones hidrológicas.</w:t>
      </w:r>
    </w:p>
    <w:p>
      <w:pPr>
        <w:numPr>
          <w:ilvl w:val="0"/>
          <w:numId w:val="1002"/>
        </w:numPr>
        <w:spacing w:line="276" w:lineRule="auto"/>
      </w:pPr>
      <w:r>
        <w:rPr>
          <w:rFonts w:ascii="Calibri" w:hAnsi="Calibri"/>
          <w:color w:val="0F172A"/>
          <w:sz w:val="21"/>
        </w:rPr>
        <w:t xml:space="preserve">El Número de Curva ponderado estimado (</w:t>
      </w:r>
      <m:oMath>
        <m:r>
          <m:t>C</m:t>
        </m:r>
        <m:r>
          <m:t>N</m:t>
        </m:r>
        <m:r>
          <m:rPr>
            <m:sty m:val="p"/>
          </m:rPr>
          <m:t>=</m:t>
        </m:r>
        <m:r>
          <m:t>74.3</m:t>
        </m:r>
      </m:oMath>
      <w:r>
        <w:rPr>
          <w:rFonts w:ascii="Calibri" w:hAnsi="Calibri"/>
          <w:color w:val="0F172A"/>
          <w:sz w:val="21"/>
        </w:rPr>
        <w:t xml:space="preserve">) representa adecuadamente las coberturas de pastos, vegetación y suelos de la cuenca.</w:t>
      </w:r>
    </w:p>
    <w:p>
      <w:pPr>
        <w:numPr>
          <w:ilvl w:val="0"/>
          <w:numId w:val="1002"/>
        </w:numPr>
        <w:spacing w:line="276" w:lineRule="auto"/>
      </w:pPr>
      <w:r>
        <w:rPr>
          <w:rFonts w:ascii="Calibri" w:hAnsi="Calibri"/>
          <w:color w:val="0F172A"/>
          <w:sz w:val="21"/>
        </w:rPr>
        <w:t xml:space="preserve">Los caudales máximos de diseño modelados para los periodos de retorno de 25, 50 y 100 años corresponden a</w:t>
      </w:r>
      <w:r>
        <w:rPr>
          <w:rFonts w:ascii="Calibri" w:hAnsi="Calibri"/>
          <w:color w:val="0F172A"/>
          <w:sz w:val="21"/>
        </w:rPr>
        <w:t xml:space="preserve"> </w:t>
      </w:r>
      <w:r>
        <w:rPr>
          <w:rFonts w:ascii="Calibri" w:hAnsi="Calibri"/>
          <w:b/>
          <w:bCs/>
          <w:color w:val="0F172A"/>
          <w:sz w:val="21"/>
        </w:rPr>
        <w:t xml:space="preserve">0.00 m</w:t>
      </w:r>
      <m:oMath>
        <m:sSup>
          <m:e>
            <m:r>
              <m:t>​</m:t>
            </m:r>
          </m:e>
          <m:sup>
            <m:r>
              <m:t>3</m:t>
            </m:r>
          </m:sup>
        </m:sSup>
      </m:oMath>
      <w:r>
        <w:rPr>
          <w:rFonts w:ascii="Calibri" w:hAnsi="Calibri"/>
          <w:b/>
          <w:bCs/>
          <w:color w:val="0F172A"/>
          <w:sz w:val="21"/>
        </w:rPr>
        <w:t xml:space="preserve">/s</w:t>
      </w:r>
      <w:r>
        <w:rPr>
          <w:rFonts w:ascii="Calibri" w:hAnsi="Calibri"/>
          <w:color w:val="0F172A"/>
          <w:sz w:val="21"/>
        </w:rPr>
        <w:t xml:space="preserve">,</w:t>
      </w:r>
      <w:r>
        <w:rPr>
          <w:rFonts w:ascii="Calibri" w:hAnsi="Calibri"/>
          <w:color w:val="0F172A"/>
          <w:sz w:val="21"/>
        </w:rPr>
        <w:t xml:space="preserve"> </w:t>
      </w:r>
      <w:r>
        <w:rPr>
          <w:rFonts w:ascii="Calibri" w:hAnsi="Calibri"/>
          <w:b/>
          <w:bCs/>
          <w:color w:val="0F172A"/>
          <w:sz w:val="21"/>
        </w:rPr>
        <w:t xml:space="preserve">0.00 m</w:t>
      </w:r>
      <m:oMath>
        <m:sSup>
          <m:e>
            <m:r>
              <m:t>​</m:t>
            </m:r>
          </m:e>
          <m:sup>
            <m:r>
              <m:t>3</m:t>
            </m:r>
          </m:sup>
        </m:sSup>
      </m:oMath>
      <w:r>
        <w:rPr>
          <w:rFonts w:ascii="Calibri" w:hAnsi="Calibri"/>
          <w:b/>
          <w:bCs/>
          <w:color w:val="0F172A"/>
          <w:sz w:val="21"/>
        </w:rPr>
        <w:t xml:space="preserve">/s</w:t>
      </w:r>
      <w:r>
        <w:rPr>
          <w:rFonts w:ascii="Calibri" w:hAnsi="Calibri"/>
          <w:color w:val="0F172A"/>
          <w:sz w:val="21"/>
        </w:rPr>
        <w:t xml:space="preserve"> </w:t>
      </w:r>
      <w:r>
        <w:rPr>
          <w:rFonts w:ascii="Calibri" w:hAnsi="Calibri"/>
          <w:color w:val="0F172A"/>
          <w:sz w:val="21"/>
        </w:rPr>
        <w:t xml:space="preserve">y</w:t>
      </w:r>
      <w:r>
        <w:rPr>
          <w:rFonts w:ascii="Calibri" w:hAnsi="Calibri"/>
          <w:color w:val="0F172A"/>
          <w:sz w:val="21"/>
        </w:rPr>
        <w:t xml:space="preserve"> </w:t>
      </w:r>
      <w:r>
        <w:rPr>
          <w:rFonts w:ascii="Calibri" w:hAnsi="Calibri"/>
          <w:b/>
          <w:bCs/>
          <w:color w:val="0F172A"/>
          <w:sz w:val="21"/>
        </w:rPr>
        <w:t xml:space="preserve">0.00 m</w:t>
      </w:r>
      <m:oMath>
        <m:sSup>
          <m:e>
            <m:r>
              <m:t>​</m:t>
            </m:r>
          </m:e>
          <m:sup>
            <m:r>
              <m:t>3</m:t>
            </m:r>
          </m:sup>
        </m:sSup>
      </m:oMath>
      <w:r>
        <w:rPr>
          <w:rFonts w:ascii="Calibri" w:hAnsi="Calibri"/>
          <w:b/>
          <w:bCs/>
          <w:color w:val="0F172A"/>
          <w:sz w:val="21"/>
        </w:rPr>
        <w:t xml:space="preserve">/s</w:t>
      </w:r>
      <w:r>
        <w:rPr>
          <w:rFonts w:ascii="Calibri" w:hAnsi="Calibri"/>
          <w:color w:val="0F172A"/>
          <w:sz w:val="21"/>
        </w:rPr>
        <w:t xml:space="preserve"> </w:t>
      </w:r>
      <w:r>
        <w:rPr>
          <w:rFonts w:ascii="Calibri" w:hAnsi="Calibri"/>
          <w:color w:val="0F172A"/>
          <w:sz w:val="21"/>
        </w:rPr>
        <w:t xml:space="preserve">respectivamente.</w:t>
      </w:r>
    </w:p>
    <w:p>
      <w:pPr>
        <w:numPr>
          <w:ilvl w:val="0"/>
          <w:numId w:val="1002"/>
        </w:numPr>
        <w:spacing w:line="276" w:lineRule="auto"/>
      </w:pPr>
      <w:r>
        <w:rPr>
          <w:rFonts w:ascii="Calibri" w:hAnsi="Calibri"/>
          <w:color w:val="0F172A"/>
          <w:sz w:val="21"/>
        </w:rPr>
        <w:t xml:space="preserve">Se recomienda implementar estructuras de disipación de energía y considerar los hidrogramas generados para el análisis de tránsito de avenidas.</w:t>
      </w:r>
    </w:p>
    <w:bookmarkEnd w:id="48"/>
    <w:bookmarkStart w:id="49" w:name="limitaciones-técnicas"/>
    <w:p>
      <w:pPr>
        <w:pStyle w:val="Heading1"/>
        <w:spacing w:before="280" w:after="120"/>
      </w:pPr>
      <w:r>
        <w:rPr>
          <w:rFonts w:ascii="Calibri" w:hAnsi="Calibri"/>
          <w:b/>
          <w:color w:val="176B73"/>
          <w:sz w:val="30"/>
        </w:rPr>
        <w:t xml:space="preserve">Limitaciones Técnicas</w:t>
      </w:r>
    </w:p>
    <w:p>
      <w:pPr>
        <w:pStyle w:val="FirstParagraph"/>
        <w:spacing w:line="276" w:lineRule="auto"/>
      </w:pPr>
      <w:r>
        <w:rPr>
          <w:rFonts w:ascii="Calibri" w:hAnsi="Calibri"/>
          <w:color w:val="0F172A"/>
          <w:sz w:val="21"/>
        </w:rPr>
        <w:t xml:space="preserve">Los resultados derivan del procesamiento topográfico de modelos de elevación satelitales y formulaciones hidrológicas sintéticas. El presente estudio no reemplaza levantamientos batimétricos directos en el cauce ni la verificación estructural en campo de las obras de paso existentes.</w:t>
      </w:r>
    </w:p>
    <w:bookmarkEnd w:id="49"/>
    <w:bookmarkStart w:id="53" w:name="X42bd8e18695ae0005a8653a041e831c489f6fb5"/>
    <w:p>
      <w:pPr>
        <w:pStyle w:val="Heading1"/>
        <w:spacing w:before="280" w:after="120"/>
      </w:pPr>
      <w:r>
        <w:rPr>
          <w:rFonts w:ascii="Calibri" w:hAnsi="Calibri"/>
          <w:b/>
          <w:color w:val="176B73"/>
          <w:sz w:val="30"/>
        </w:rPr>
        <w:t xml:space="preserve">Anexos IDEAM – Registro y Tratamiento de Información Pluviométrica</w:t>
      </w:r>
    </w:p>
    <w:p>
      <w:pPr>
        <w:pStyle w:val="FirstParagraph"/>
        <w:spacing w:line="276" w:lineRule="auto"/>
      </w:pPr>
      <w:r>
        <w:rPr>
          <w:rFonts w:ascii="Calibri" w:hAnsi="Calibri"/>
          <w:color w:val="0F172A"/>
          <w:sz w:val="21"/>
        </w:rPr>
        <w:t xml:space="preserve">En este anexo se consolida el registro completo de las estaciones meteorológicas del IDEAM identificadas en el entorno territorial del proyecto, junto con las metodologías técnicas adoptadas para la verificación de consistencia, homogeneización y completación de series climáticas.</w:t>
      </w:r>
    </w:p>
    <w:bookmarkStart w:id="51" w:name="X1835c62327cb32a2e77fdbd1b925dfa6ae95851"/>
    <w:p>
      <w:pPr>
        <w:pStyle w:val="Heading2"/>
        <w:spacing w:before="200" w:after="80"/>
      </w:pPr>
      <w:r>
        <w:rPr>
          <w:rFonts w:ascii="Calibri" w:hAnsi="Calibri"/>
          <w:b/>
          <w:color w:val="1F9D8F"/>
          <w:sz w:val="25"/>
        </w:rPr>
        <w:t xml:space="preserve">Catálogo y Variables Reales de Estaciones IDEAM</w:t>
      </w:r>
    </w:p>
    <w:p>
      <w:pPr>
        <w:pStyle w:val="FirstParagraph"/>
        <w:spacing w:line="276" w:lineRule="auto"/>
      </w:pPr>
      <w:r>
        <w:rPr>
          <w:rFonts w:ascii="Calibri" w:hAnsi="Calibri"/>
          <w:color w:val="0F172A"/>
          <w:sz w:val="21"/>
        </w:rPr>
        <w:t xml:space="preserve">En el Cuadro </w:t>
      </w:r>
      <w:hyperlink w:anchor="tab:anexo_ideam">
        <w:r>
          <w:rPr>
            <w:rStyle w:val="Hyperlink"/>
          </w:rPr>
          <w:t xml:space="preserve">10</w:t>
        </w:r>
      </w:hyperlink>
      <w:r>
        <w:rPr>
          <w:rFonts w:ascii="Calibri" w:hAnsi="Calibri"/>
          <w:color w:val="0F172A"/>
          <w:sz w:val="21"/>
        </w:rPr>
        <w:t xml:space="preserve"> </w:t>
      </w:r>
      <w:r>
        <w:rPr>
          <w:rFonts w:ascii="Calibri" w:hAnsi="Calibri"/>
          <w:color w:val="0F172A"/>
          <w:sz w:val="21"/>
        </w:rPr>
        <w:t xml:space="preserve">se presentan los datos reales extraídos del Catálogo Nacional de Estaciones del IDEAM (DHIME):</w:t>
      </w:r>
    </w:p>
    <w:bookmarkStart w:id="50" w:name="tab:anexo_ideam"/>
    <w:p>
      <w:pPr>
        <w:pStyle w:val="TableCaption"/>
        <w:spacing w:after="160"/>
        <w:jc w:val="center"/>
      </w:pPr>
      <w:r>
        <w:rPr>
          <w:rFonts w:ascii="Calibri" w:hAnsi="Calibri"/>
          <w:i/>
          <w:color w:val="64748B"/>
          <w:sz w:val="18"/>
        </w:rPr>
        <w:t xml:space="preserve">Registro oficial de estaciones meteorológicas del IDEAM consultadas por HydroBasin.</w:t>
      </w:r>
    </w:p>
    <w:tbl>
      <w:tblPr>
        <w:tblStyle w:val="Table"/>
        <w:tblW w:type="auto" w:w="0"/>
        <w:jc w:val="center"/>
        <w:tblLook w:firstRow="1" w:lastRow="0" w:firstColumn="0" w:lastColumn="0" w:noHBand="0" w:noVBand="0" w:val="0020"/>
        <w:tblCaption w:val="Registro oficial de estaciones meteorológicas del IDEAM consultadas por HydroBasin."/>
        <w:tblBorders>
          <w:top w:val="single" w:sz="4" w:space="0" w:color="CBD5E1"/>
          <w:bottom w:val="single" w:sz="4" w:space="0" w:color="CBD5E1"/>
          <w:insideH w:val="single" w:sz="4" w:space="0" w:color="CBD5E1"/>
          <w:insideV w:val="none"/>
          <w:left w:val="none"/>
          <w:right w:val="none"/>
        </w:tblBorders>
      </w:tblPr>
      <w:tblGrid>
        <w:gridCol w:w="880"/>
        <w:gridCol w:w="880"/>
        <w:gridCol w:w="880"/>
        <w:gridCol w:w="880"/>
        <w:gridCol w:w="880"/>
        <w:gridCol w:w="880"/>
        <w:gridCol w:w="880"/>
        <w:gridCol w:w="880"/>
        <w:gridCol w:w="88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Código</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Nombre</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Categoría</w:t>
            </w:r>
          </w:p>
        </w:tc>
        <w:tc>
          <w:tcPr>
            <w:vAlign w:val="center"/>
            <w:tcMar>
              <w:top w:w="100" w:type="dxa"/>
              <w:bottom w:w="100" w:type="dxa"/>
              <w:left w:w="140" w:type="dxa"/>
              <w:right w:w="140" w:type="dxa"/>
            </w:tcMar>
            <w:shd w:fill="1F9D8F"/>
          </w:tcPr>
          <w:p>
            <w:pPr>
              <w:pStyle w:val="Compact"/>
              <w:jc w:val="center"/>
            </w:pPr>
            <w:r>
              <w:rPr>
                <w:rFonts w:ascii="Calibri" w:hAnsi="Calibri"/>
                <w:b/>
                <w:bCs/>
                <w:color w:val="FFFFFF"/>
                <w:sz w:val="19"/>
              </w:rPr>
              <w:t xml:space="preserve">Altitud</w:t>
            </w:r>
          </w:p>
        </w:tc>
        <w:tc>
          <w:tcPr>
            <w:vAlign w:val="center"/>
            <w:tcMar>
              <w:top w:w="100" w:type="dxa"/>
              <w:bottom w:w="100" w:type="dxa"/>
              <w:left w:w="140" w:type="dxa"/>
              <w:right w:w="140" w:type="dxa"/>
            </w:tcMar>
            <w:shd w:fill="1F9D8F"/>
          </w:tcPr>
          <w:p>
            <w:pPr>
              <w:pStyle w:val="Compact"/>
              <w:jc w:val="center"/>
            </w:pPr>
            <w:r>
              <w:rPr>
                <w:rFonts w:ascii="Calibri" w:hAnsi="Calibri"/>
                <w:b/>
                <w:bCs/>
                <w:color w:val="FFFFFF"/>
                <w:sz w:val="19"/>
              </w:rPr>
              <w:t xml:space="preserve">Latitud</w:t>
            </w:r>
          </w:p>
        </w:tc>
        <w:tc>
          <w:tcPr>
            <w:vAlign w:val="center"/>
            <w:tcMar>
              <w:top w:w="100" w:type="dxa"/>
              <w:bottom w:w="100" w:type="dxa"/>
              <w:left w:w="140" w:type="dxa"/>
              <w:right w:w="140" w:type="dxa"/>
            </w:tcMar>
            <w:shd w:fill="1F9D8F"/>
          </w:tcPr>
          <w:p>
            <w:pPr>
              <w:pStyle w:val="Compact"/>
              <w:jc w:val="center"/>
            </w:pPr>
            <w:r>
              <w:rPr>
                <w:rFonts w:ascii="Calibri" w:hAnsi="Calibri"/>
                <w:b/>
                <w:bCs/>
                <w:color w:val="FFFFFF"/>
                <w:sz w:val="19"/>
              </w:rPr>
              <w:t xml:space="preserve">Longitud</w:t>
            </w:r>
          </w:p>
        </w:tc>
        <w:tc>
          <w:tcPr>
            <w:vAlign w:val="center"/>
            <w:tcMar>
              <w:top w:w="100" w:type="dxa"/>
              <w:bottom w:w="100" w:type="dxa"/>
              <w:left w:w="140" w:type="dxa"/>
              <w:right w:w="140" w:type="dxa"/>
            </w:tcMar>
            <w:shd w:fill="1F9D8F"/>
          </w:tcPr>
          <w:p>
            <w:pPr>
              <w:pStyle w:val="Compact"/>
              <w:jc w:val="center"/>
            </w:pPr>
            <w:r>
              <w:rPr>
                <w:rFonts w:ascii="Calibri" w:hAnsi="Calibri"/>
                <w:b/>
                <w:bCs/>
                <w:color w:val="FFFFFF"/>
                <w:sz w:val="19"/>
              </w:rPr>
              <w:t xml:space="preserve">Municipio</w:t>
            </w:r>
          </w:p>
        </w:tc>
        <w:tc>
          <w:tcPr>
            <w:vAlign w:val="center"/>
            <w:tcMar>
              <w:top w:w="100" w:type="dxa"/>
              <w:bottom w:w="100" w:type="dxa"/>
              <w:left w:w="140" w:type="dxa"/>
              <w:right w:w="140" w:type="dxa"/>
            </w:tcMar>
            <w:shd w:fill="1F9D8F"/>
          </w:tcPr>
          <w:p>
            <w:pPr>
              <w:pStyle w:val="Compact"/>
              <w:jc w:val="center"/>
            </w:pPr>
            <w:r>
              <w:rPr>
                <w:rFonts w:ascii="Calibri" w:hAnsi="Calibri"/>
                <w:b/>
                <w:bCs/>
                <w:color w:val="FFFFFF"/>
                <w:sz w:val="19"/>
              </w:rPr>
              <w:t xml:space="preserve">Distancia</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Estado</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24050220</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Estación Albania</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Pluviométrica</w:t>
            </w:r>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216 m</w:t>
            </w:r>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7.0241</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-73.7999</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Barrancabermeja</w:t>
            </w:r>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7.1 km</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Activa</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24050110</w:t>
            </w:r>
          </w:p>
        </w:tc>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Estación Putana La</w:t>
            </w:r>
          </w:p>
        </w:tc>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Pluviométrica</w:t>
            </w:r>
          </w:p>
        </w:tc>
        <w:tc>
          <w:tcPr>
            <w:vAlign w:val="center"/>
            <w:tcMar>
              <w:top w:w="100" w:type="dxa"/>
              <w:bottom w:w="100" w:type="dxa"/>
              <w:left w:w="140" w:type="dxa"/>
              <w:right w:w="140" w:type="dxa"/>
            </w:tcMar>
            <w:shd w:fill="FFFFFF"/>
          </w:tcPr>
          <w:p>
            <w:pPr>
              <w:pStyle w:val="Compact"/>
              <w:jc w:val="center"/>
            </w:pPr>
            <w:r>
              <w:rPr>
                <w:rFonts w:ascii="Calibri" w:hAnsi="Calibri"/>
                <w:color w:val="0F172A"/>
                <w:sz w:val="18"/>
              </w:rPr>
              <w:t xml:space="preserve">150 m</w:t>
            </w:r>
          </w:p>
        </w:tc>
        <w:tc>
          <w:tcPr>
            <w:vAlign w:val="center"/>
            <w:tcMar>
              <w:top w:w="100" w:type="dxa"/>
              <w:bottom w:w="100" w:type="dxa"/>
              <w:left w:w="140" w:type="dxa"/>
              <w:right w:w="140" w:type="dxa"/>
            </w:tcMar>
            <w:shd w:fill="FFFFFF"/>
          </w:tcPr>
          <w:p>
            <w:pPr>
              <w:pStyle w:val="Compact"/>
              <w:jc w:val="center"/>
            </w:pPr>
            <w:r>
              <w:rPr>
                <w:rFonts w:ascii="Calibri" w:hAnsi="Calibri"/>
                <w:color w:val="0F172A"/>
                <w:sz w:val="18"/>
              </w:rPr>
              <w:t xml:space="preserve">7.1141</w:t>
            </w:r>
            <m:oMath>
              <m:sSup>
                <m:e>
                  <m:r>
                    <m:t>​</m:t>
                  </m:r>
                </m:e>
                <m:sup>
                  <m:r>
                    <m:rPr>
                      <m:sty m:val="p"/>
                    </m:rPr>
                    <m:t>∘</m:t>
                  </m:r>
                </m:sup>
              </m:sSup>
            </m:oMath>
          </w:p>
        </w:tc>
        <w:tc>
          <w:tcPr>
            <w:vAlign w:val="center"/>
            <w:tcMar>
              <w:top w:w="100" w:type="dxa"/>
              <w:bottom w:w="100" w:type="dxa"/>
              <w:left w:w="140" w:type="dxa"/>
              <w:right w:w="140" w:type="dxa"/>
            </w:tcMar>
            <w:shd w:fill="FFFFFF"/>
          </w:tcPr>
          <w:p>
            <w:pPr>
              <w:pStyle w:val="Compact"/>
              <w:jc w:val="center"/>
            </w:pPr>
            <w:r>
              <w:rPr>
                <w:rFonts w:ascii="Calibri" w:hAnsi="Calibri"/>
                <w:color w:val="0F172A"/>
                <w:sz w:val="18"/>
              </w:rPr>
              <w:t xml:space="preserve">-73.7099</w:t>
            </w:r>
            <m:oMath>
              <m:sSup>
                <m:e>
                  <m:r>
                    <m:t>​</m:t>
                  </m:r>
                </m:e>
                <m:sup>
                  <m:r>
                    <m:rPr>
                      <m:sty m:val="p"/>
                    </m:rPr>
                    <m:t>∘</m:t>
                  </m:r>
                </m:sup>
              </m:sSup>
            </m:oMath>
          </w:p>
        </w:tc>
        <w:tc>
          <w:tcPr>
            <w:vAlign w:val="center"/>
            <w:tcMar>
              <w:top w:w="100" w:type="dxa"/>
              <w:bottom w:w="100" w:type="dxa"/>
              <w:left w:w="140" w:type="dxa"/>
              <w:right w:w="140" w:type="dxa"/>
            </w:tcMar>
            <w:shd w:fill="FFFFFF"/>
          </w:tcPr>
          <w:p>
            <w:pPr>
              <w:pStyle w:val="Compact"/>
              <w:jc w:val="center"/>
            </w:pPr>
            <w:r>
              <w:rPr>
                <w:rFonts w:ascii="Calibri" w:hAnsi="Calibri"/>
                <w:color w:val="0F172A"/>
                <w:sz w:val="18"/>
              </w:rPr>
              <w:t xml:space="preserve">Betulia</w:t>
            </w:r>
          </w:p>
        </w:tc>
        <w:tc>
          <w:tcPr>
            <w:vAlign w:val="center"/>
            <w:tcMar>
              <w:top w:w="100" w:type="dxa"/>
              <w:bottom w:w="100" w:type="dxa"/>
              <w:left w:w="140" w:type="dxa"/>
              <w:right w:w="140" w:type="dxa"/>
            </w:tcMar>
            <w:shd w:fill="FFFFFF"/>
          </w:tcPr>
          <w:p>
            <w:pPr>
              <w:pStyle w:val="Compact"/>
              <w:jc w:val="center"/>
            </w:pPr>
            <w:r>
              <w:rPr>
                <w:rFonts w:ascii="Calibri" w:hAnsi="Calibri"/>
                <w:color w:val="0F172A"/>
                <w:sz w:val="18"/>
              </w:rPr>
              <w:t xml:space="preserve">7.1 km</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Activa</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24050330</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Hacienda Las Brisas</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Climatológica Ordinaria</w:t>
            </w:r>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185 m</w:t>
            </w:r>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7.0041</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-73.6799</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San Vicente</w:t>
            </w:r>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10.2 km</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Activa</w:t>
            </w:r>
          </w:p>
        </w:tc>
      </w:tr>
    </w:tbl>
    <w:bookmarkEnd w:id="50"/>
    <w:bookmarkEnd w:id="51"/>
    <w:bookmarkStart w:id="52" w:name="X2e30580a1a5b991a8da2d2982db2856904e5d6e"/>
    <w:p>
      <w:pPr>
        <w:pStyle w:val="Heading2"/>
        <w:spacing w:before="200" w:after="80"/>
      </w:pPr>
      <w:r>
        <w:rPr>
          <w:rFonts w:ascii="Calibri" w:hAnsi="Calibri"/>
          <w:b/>
          <w:color w:val="1F9D8F"/>
          <w:sz w:val="25"/>
        </w:rPr>
        <w:t xml:space="preserve">Metodología de Completación y Homogeneización de Datos</w:t>
      </w:r>
    </w:p>
    <w:p>
      <w:pPr>
        <w:pStyle w:val="FirstParagraph"/>
        <w:spacing w:line="276" w:lineRule="auto"/>
      </w:pPr>
      <w:r>
        <w:rPr>
          <w:rFonts w:ascii="Calibri" w:hAnsi="Calibri"/>
          <w:color w:val="0F172A"/>
          <w:sz w:val="21"/>
        </w:rPr>
        <w:t xml:space="preserve">Para el tratamiento de vacíos de información o registros faltantes en las series pluviométricas se aplican los criterios técnicos estandarizados por el IDEAM y la Organización Meteorológica Mundial (OMM No. 168):</w:t>
      </w:r>
    </w:p>
    <w:p>
      <w:pPr>
        <w:numPr>
          <w:ilvl w:val="0"/>
          <w:numId w:val="1003"/>
        </w:numPr>
        <w:spacing w:line="276" w:lineRule="auto"/>
      </w:pPr>
      <w:r>
        <w:rPr>
          <w:rFonts w:ascii="Calibri" w:hAnsi="Calibri"/>
          <w:b/>
          <w:bCs/>
          <w:color w:val="0F172A"/>
          <w:sz w:val="21"/>
        </w:rPr>
        <w:t xml:space="preserve">Método de Proporciones Normales (Normal Ratio Method):</w:t>
      </w:r>
      <w:r>
        <w:rPr>
          <w:rFonts w:ascii="Calibri" w:hAnsi="Calibri"/>
          <w:color w:val="0F172A"/>
          <w:sz w:val="21"/>
        </w:rPr>
        <w:t xml:space="preserve"> </w:t>
      </w:r>
      <w:r>
        <w:rPr>
          <w:rFonts w:ascii="Calibri" w:hAnsi="Calibri"/>
          <w:color w:val="0F172A"/>
          <w:sz w:val="21"/>
        </w:rPr>
        <w:t xml:space="preserve">Aplicado cuando la precipitación media anual de las estaciones vecinas difiere en más de un 10% respecto a la estación de interés:</w:t>
      </w:r>
    </w:p>
    <w:p>
      <w:pPr>
        <w:pStyle w:val="BodyText"/>
        <w:spacing w:line="276" w:lineRule="auto"/>
      </w:pPr>
      <m:oMathPara>
        <m:oMathParaPr>
          <m:jc m:val="center"/>
        </m:oMathParaPr>
        <m:oMath>
          <m:sSub>
            <m:e>
              <m:r>
                <m:t>P</m:t>
              </m:r>
            </m:e>
            <m:sub>
              <m:r>
                <m:t>x</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N</m:t>
                          </m:r>
                        </m:e>
                        <m:sub>
                          <m:r>
                            <m:t>x</m:t>
                          </m:r>
                        </m:sub>
                      </m:sSub>
                    </m:num>
                    <m:den>
                      <m:sSub>
                        <m:e>
                          <m:r>
                            <m:t>N</m:t>
                          </m:r>
                        </m:e>
                        <m:sub>
                          <m:r>
                            <m:t>i</m:t>
                          </m:r>
                        </m:sub>
                      </m:sSub>
                    </m:den>
                  </m:f>
                </m:e>
              </m:d>
            </m:e>
          </m:nary>
          <m:sSub>
            <m:e>
              <m:r>
                <m:t>P</m:t>
              </m:r>
            </m:e>
            <m:sub>
              <m:r>
                <m:t>i</m:t>
              </m:r>
            </m:sub>
          </m:sSub>
        </m:oMath>
      </m:oMathPara>
    </w:p>
    <w:p>
      <w:pPr>
        <w:numPr>
          <w:ilvl w:val="0"/>
          <w:numId w:val="1000"/>
        </w:numPr>
        <w:spacing w:line="276" w:lineRule="auto"/>
      </w:pPr>
      <w:r>
        <w:rPr>
          <w:rFonts w:ascii="Calibri" w:hAnsi="Calibri"/>
          <w:color w:val="0F172A"/>
          <w:sz w:val="21"/>
        </w:rPr>
        <w:t xml:space="preserve">Donde</w:t>
      </w:r>
      <w:r>
        <w:rPr>
          <w:rFonts w:ascii="Calibri" w:hAnsi="Calibri"/>
          <w:color w:val="0F172A"/>
          <w:sz w:val="21"/>
        </w:rPr>
        <w:t xml:space="preserve"> </w:t>
      </w:r>
      <m:oMath>
        <m:sSub>
          <m:e>
            <m:r>
              <m:t>P</m:t>
            </m:r>
          </m:e>
          <m:sub>
            <m:r>
              <m:t>x</m:t>
            </m:r>
          </m:sub>
        </m:sSub>
      </m:oMath>
      <w:r>
        <w:rPr>
          <w:rFonts w:ascii="Calibri" w:hAnsi="Calibri"/>
          <w:color w:val="0F172A"/>
          <w:sz w:val="21"/>
        </w:rPr>
        <w:t xml:space="preserve"> </w:t>
      </w:r>
      <w:r>
        <w:rPr>
          <w:rFonts w:ascii="Calibri" w:hAnsi="Calibri"/>
          <w:color w:val="0F172A"/>
          <w:sz w:val="21"/>
        </w:rPr>
        <w:t xml:space="preserve">es la precipitación estimada para la estación faltante,</w:t>
      </w:r>
      <w:r>
        <w:rPr>
          <w:rFonts w:ascii="Calibri" w:hAnsi="Calibri"/>
          <w:color w:val="0F172A"/>
          <w:sz w:val="21"/>
        </w:rPr>
        <w:t xml:space="preserve"> </w:t>
      </w:r>
      <m:oMath>
        <m:sSub>
          <m:e>
            <m:r>
              <m:t>N</m:t>
            </m:r>
          </m:e>
          <m:sub>
            <m:r>
              <m:t>x</m:t>
            </m:r>
          </m:sub>
        </m:sSub>
      </m:oMath>
      <w:r>
        <w:rPr>
          <w:rFonts w:ascii="Calibri" w:hAnsi="Calibri"/>
          <w:color w:val="0F172A"/>
          <w:sz w:val="21"/>
        </w:rPr>
        <w:t xml:space="preserve"> </w:t>
      </w:r>
      <w:r>
        <w:rPr>
          <w:rFonts w:ascii="Calibri" w:hAnsi="Calibri"/>
          <w:color w:val="0F172A"/>
          <w:sz w:val="21"/>
        </w:rPr>
        <w:t xml:space="preserve">es su precipitación media anual normal,</w:t>
      </w:r>
      <w:r>
        <w:rPr>
          <w:rFonts w:ascii="Calibri" w:hAnsi="Calibri"/>
          <w:color w:val="0F172A"/>
          <w:sz w:val="21"/>
        </w:rPr>
        <w:t xml:space="preserve"> </w:t>
      </w:r>
      <m:oMath>
        <m:sSub>
          <m:e>
            <m:r>
              <m:t>N</m:t>
            </m:r>
          </m:e>
          <m:sub>
            <m:r>
              <m:t>i</m:t>
            </m:r>
          </m:sub>
        </m:sSub>
      </m:oMath>
      <w:r>
        <w:rPr>
          <w:rFonts w:ascii="Calibri" w:hAnsi="Calibri"/>
          <w:color w:val="0F172A"/>
          <w:sz w:val="21"/>
        </w:rPr>
        <w:t xml:space="preserve"> </w:t>
      </w:r>
      <w:r>
        <w:rPr>
          <w:rFonts w:ascii="Calibri" w:hAnsi="Calibri"/>
          <w:color w:val="0F172A"/>
          <w:sz w:val="21"/>
        </w:rPr>
        <w:t xml:space="preserve">es la precipitación media anual de la estación vecina</w:t>
      </w:r>
      <w:r>
        <w:rPr>
          <w:rFonts w:ascii="Calibri" w:hAnsi="Calibri"/>
          <w:color w:val="0F172A"/>
          <w:sz w:val="21"/>
        </w:rPr>
        <w:t xml:space="preserve"> </w:t>
      </w:r>
      <m:oMath>
        <m:r>
          <m:t>i</m:t>
        </m:r>
      </m:oMath>
      <w:r>
        <w:rPr>
          <w:rFonts w:ascii="Calibri" w:hAnsi="Calibri"/>
          <w:color w:val="0F172A"/>
          <w:sz w:val="21"/>
        </w:rPr>
        <w:t xml:space="preserve">, y</w:t>
      </w:r>
      <w:r>
        <w:rPr>
          <w:rFonts w:ascii="Calibri" w:hAnsi="Calibri"/>
          <w:color w:val="0F172A"/>
          <w:sz w:val="21"/>
        </w:rPr>
        <w:t xml:space="preserve"> </w:t>
      </w:r>
      <m:oMath>
        <m:sSub>
          <m:e>
            <m:r>
              <m:t>P</m:t>
            </m:r>
          </m:e>
          <m:sub>
            <m:r>
              <m:t>i</m:t>
            </m:r>
          </m:sub>
        </m:sSub>
      </m:oMath>
      <w:r>
        <w:rPr>
          <w:rFonts w:ascii="Calibri" w:hAnsi="Calibri"/>
          <w:color w:val="0F172A"/>
          <w:sz w:val="21"/>
        </w:rPr>
        <w:t xml:space="preserve"> </w:t>
      </w:r>
      <w:r>
        <w:rPr>
          <w:rFonts w:ascii="Calibri" w:hAnsi="Calibri"/>
          <w:color w:val="0F172A"/>
          <w:sz w:val="21"/>
        </w:rPr>
        <w:t xml:space="preserve">es la precipitación observada en el periodo correspondiente.</w:t>
      </w:r>
    </w:p>
    <w:p>
      <w:pPr>
        <w:numPr>
          <w:ilvl w:val="0"/>
          <w:numId w:val="1003"/>
        </w:numPr>
        <w:spacing w:line="276" w:lineRule="auto"/>
      </w:pPr>
      <w:r>
        <w:rPr>
          <w:rFonts w:ascii="Calibri" w:hAnsi="Calibri"/>
          <w:b/>
          <w:bCs/>
          <w:color w:val="0F172A"/>
          <w:sz w:val="21"/>
        </w:rPr>
        <w:t xml:space="preserve">Regresión Lineal y Correlación Cruzada:</w:t>
      </w:r>
      <w:r>
        <w:rPr>
          <w:rFonts w:ascii="Calibri" w:hAnsi="Calibri"/>
          <w:color w:val="0F172A"/>
          <w:sz w:val="21"/>
        </w:rPr>
        <w:t xml:space="preserve"> </w:t>
      </w:r>
      <w:r>
        <w:rPr>
          <w:rFonts w:ascii="Calibri" w:hAnsi="Calibri"/>
          <w:color w:val="0F172A"/>
          <w:sz w:val="21"/>
        </w:rPr>
        <w:t xml:space="preserve">Utilizada para estaciones con coeficientes de correlación</w:t>
      </w:r>
      <w:r>
        <w:rPr>
          <w:rFonts w:ascii="Calibri" w:hAnsi="Calibri"/>
          <w:color w:val="0F172A"/>
          <w:sz w:val="21"/>
        </w:rPr>
        <w:t xml:space="preserve"> </w:t>
      </w:r>
      <m:oMath>
        <m:sSup>
          <m:e>
            <m:r>
              <m:t>R</m:t>
            </m:r>
          </m:e>
          <m:sup>
            <m:r>
              <m:t>2</m:t>
            </m:r>
          </m:sup>
        </m:sSup>
        <m:r>
          <m:rPr>
            <m:sty m:val="p"/>
          </m:rPr>
          <m:t>≥</m:t>
        </m:r>
        <m:r>
          <m:t>0.75</m:t>
        </m:r>
      </m:oMath>
      <w:r>
        <w:rPr>
          <w:rFonts w:ascii="Calibri" w:hAnsi="Calibri"/>
          <w:color w:val="0F172A"/>
          <w:sz w:val="21"/>
        </w:rPr>
        <w:t xml:space="preserve"> </w:t>
      </w:r>
      <w:r>
        <w:rPr>
          <w:rFonts w:ascii="Calibri" w:hAnsi="Calibri"/>
          <w:color w:val="0F172A"/>
          <w:sz w:val="21"/>
        </w:rPr>
        <w:t xml:space="preserve">y regímenes pluviométricos climatológicamente análogos.</w:t>
      </w:r>
    </w:p>
    <w:p>
      <w:pPr>
        <w:numPr>
          <w:ilvl w:val="0"/>
          <w:numId w:val="1003"/>
        </w:numPr>
        <w:spacing w:line="276" w:lineRule="auto"/>
      </w:pPr>
      <w:r>
        <w:rPr>
          <w:rFonts w:ascii="Calibri" w:hAnsi="Calibri"/>
          <w:b/>
          <w:bCs/>
          <w:color w:val="0F172A"/>
          <w:sz w:val="21"/>
        </w:rPr>
        <w:t xml:space="preserve">Interpolación Espacial por Distancia Inversa Ponderada (IDW):</w:t>
      </w:r>
      <w:r>
        <w:rPr>
          <w:rFonts w:ascii="Calibri" w:hAnsi="Calibri"/>
          <w:color w:val="0F172A"/>
          <w:sz w:val="21"/>
        </w:rPr>
        <w:t xml:space="preserve"> </w:t>
      </w:r>
      <w:r>
        <w:rPr>
          <w:rFonts w:ascii="Calibri" w:hAnsi="Calibri"/>
          <w:color w:val="0F172A"/>
          <w:sz w:val="21"/>
        </w:rPr>
        <w:t xml:space="preserve">Empleada para construir campos continuos de precipitación a partir de la red pluviométrica circundante:</w:t>
      </w:r>
    </w:p>
    <w:p>
      <w:pPr>
        <w:pStyle w:val="BodyText"/>
        <w:spacing w:line="276" w:lineRule="auto"/>
      </w:pPr>
      <m:oMathPara>
        <m:oMathParaPr>
          <m:jc m:val="center"/>
        </m:oMathParaPr>
        <m:oMath>
          <m:r>
            <m:t>P</m:t>
          </m:r>
          <m:r>
            <m:rPr>
              <m:sty m:val="p"/>
            </m:rPr>
            <m:t>(</m:t>
          </m:r>
          <m:r>
            <m:t>x</m:t>
          </m:r>
          <m:r>
            <m:rPr>
              <m:sty m:val="p"/>
            </m:rPr>
            <m:t>,</m:t>
          </m:r>
          <m:r>
            <m:t>y</m:t>
          </m:r>
          <m:r>
            <m:rPr>
              <m:sty m:val="p"/>
            </m:rPr>
            <m:t>)</m:t>
          </m:r>
          <m:r>
            <m:rPr>
              <m:sty m:val="p"/>
            </m:rPr>
            <m:t>=</m:t>
          </m:r>
          <m:f>
            <m:fPr>
              <m:type m:val="bar"/>
            </m:fPr>
            <m:num>
              <m:nary>
                <m:naryPr>
                  <m:chr m:val="∑"/>
                  <m:limLoc m:val="undOvr"/>
                  <m:subHide m:val="off"/>
                  <m:supHide m:val="off"/>
                </m:naryPr>
                <m:sub>
                  <m:r>
                    <m:t>i</m:t>
                  </m:r>
                  <m:r>
                    <m:rPr>
                      <m:sty m:val="p"/>
                    </m:rPr>
                    <m:t>=</m:t>
                  </m:r>
                  <m:r>
                    <m:t>1</m:t>
                  </m:r>
                </m:sub>
                <m:sup>
                  <m:r>
                    <m:t>n</m:t>
                  </m:r>
                </m:sup>
                <m:e>
                  <m:f>
                    <m:fPr>
                      <m:type m:val="bar"/>
                    </m:fPr>
                    <m:num>
                      <m:sSub>
                        <m:e>
                          <m:r>
                            <m:t>P</m:t>
                          </m:r>
                        </m:e>
                        <m:sub>
                          <m:r>
                            <m:t>i</m:t>
                          </m:r>
                        </m:sub>
                      </m:sSub>
                    </m:num>
                    <m:den>
                      <m:sSubSup>
                        <m:e>
                          <m:r>
                            <m:t>d</m:t>
                          </m:r>
                        </m:e>
                        <m:sub>
                          <m:r>
                            <m:t>i</m:t>
                          </m:r>
                        </m:sub>
                        <m:sup>
                          <m:r>
                            <m:t>p</m:t>
                          </m:r>
                        </m:sup>
                      </m:sSubSup>
                    </m:den>
                  </m:f>
                </m:e>
              </m:nary>
            </m:num>
            <m:den>
              <m:nary>
                <m:naryPr>
                  <m:chr m:val="∑"/>
                  <m:limLoc m:val="undOvr"/>
                  <m:subHide m:val="off"/>
                  <m:supHide m:val="off"/>
                </m:naryPr>
                <m:sub>
                  <m:r>
                    <m:t>i</m:t>
                  </m:r>
                  <m:r>
                    <m:rPr>
                      <m:sty m:val="p"/>
                    </m:rPr>
                    <m:t>=</m:t>
                  </m:r>
                  <m:r>
                    <m:t>1</m:t>
                  </m:r>
                </m:sub>
                <m:sup>
                  <m:r>
                    <m:t>n</m:t>
                  </m:r>
                </m:sup>
                <m:e>
                  <m:f>
                    <m:fPr>
                      <m:type m:val="bar"/>
                    </m:fPr>
                    <m:num>
                      <m:r>
                        <m:t>1</m:t>
                      </m:r>
                    </m:num>
                    <m:den>
                      <m:sSubSup>
                        <m:e>
                          <m:r>
                            <m:t>d</m:t>
                          </m:r>
                        </m:e>
                        <m:sub>
                          <m:r>
                            <m:t>i</m:t>
                          </m:r>
                        </m:sub>
                        <m:sup>
                          <m:r>
                            <m:t>p</m:t>
                          </m:r>
                        </m:sup>
                      </m:sSubSup>
                    </m:den>
                  </m:f>
                </m:e>
              </m:nary>
            </m:den>
          </m:f>
        </m:oMath>
      </m:oMathPara>
    </w:p>
    <w:p>
      <w:pPr>
        <w:numPr>
          <w:ilvl w:val="0"/>
          <w:numId w:val="1000"/>
        </w:numPr>
        <w:spacing w:line="276" w:lineRule="auto"/>
      </w:pPr>
      <w:r>
        <w:rPr>
          <w:rFonts w:ascii="Calibri" w:hAnsi="Calibri"/>
          <w:color w:val="0F172A"/>
          <w:sz w:val="21"/>
        </w:rPr>
        <w:t xml:space="preserve">Donde</w:t>
      </w:r>
      <w:r>
        <w:rPr>
          <w:rFonts w:ascii="Calibri" w:hAnsi="Calibri"/>
          <w:color w:val="0F172A"/>
          <w:sz w:val="21"/>
        </w:rPr>
        <w:t xml:space="preserve"> </w:t>
      </w:r>
      <m:oMath>
        <m:sSub>
          <m:e>
            <m:r>
              <m:t>d</m:t>
            </m:r>
          </m:e>
          <m:sub>
            <m:r>
              <m:t>i</m:t>
            </m:r>
          </m:sub>
        </m:sSub>
      </m:oMath>
      <w:r>
        <w:rPr>
          <w:rFonts w:ascii="Calibri" w:hAnsi="Calibri"/>
          <w:color w:val="0F172A"/>
          <w:sz w:val="21"/>
        </w:rPr>
        <w:t xml:space="preserve"> </w:t>
      </w:r>
      <w:r>
        <w:rPr>
          <w:rFonts w:ascii="Calibri" w:hAnsi="Calibri"/>
          <w:color w:val="0F172A"/>
          <w:sz w:val="21"/>
        </w:rPr>
        <w:t xml:space="preserve">es la distancia geodésica a la estación</w:t>
      </w:r>
      <w:r>
        <w:rPr>
          <w:rFonts w:ascii="Calibri" w:hAnsi="Calibri"/>
          <w:color w:val="0F172A"/>
          <w:sz w:val="21"/>
        </w:rPr>
        <w:t xml:space="preserve"> </w:t>
      </w:r>
      <m:oMath>
        <m:r>
          <m:t>i</m:t>
        </m:r>
      </m:oMath>
      <w:r>
        <w:rPr>
          <w:rFonts w:ascii="Calibri" w:hAnsi="Calibri"/>
          <w:color w:val="0F172A"/>
          <w:sz w:val="21"/>
        </w:rPr>
        <w:t xml:space="preserve"> </w:t>
      </w:r>
      <w:r>
        <w:rPr>
          <w:rFonts w:ascii="Calibri" w:hAnsi="Calibri"/>
          <w:color w:val="0F172A"/>
          <w:sz w:val="21"/>
        </w:rPr>
        <w:t xml:space="preserve">y</w:t>
      </w:r>
      <w:r>
        <w:rPr>
          <w:rFonts w:ascii="Calibri" w:hAnsi="Calibri"/>
          <w:color w:val="0F172A"/>
          <w:sz w:val="21"/>
        </w:rPr>
        <w:t xml:space="preserve"> </w:t>
      </w:r>
      <m:oMath>
        <m:r>
          <m:t>p</m:t>
        </m:r>
        <m:r>
          <m:rPr>
            <m:sty m:val="p"/>
          </m:rPr>
          <m:t>=</m:t>
        </m:r>
        <m:r>
          <m:t>2</m:t>
        </m:r>
      </m:oMath>
      <w:r>
        <w:rPr>
          <w:rFonts w:ascii="Calibri" w:hAnsi="Calibri"/>
          <w:color w:val="0F172A"/>
          <w:sz w:val="21"/>
        </w:rPr>
        <w:t xml:space="preserve"> </w:t>
      </w:r>
      <w:r>
        <w:rPr>
          <w:rFonts w:ascii="Calibri" w:hAnsi="Calibri"/>
          <w:color w:val="0F172A"/>
          <w:sz w:val="21"/>
        </w:rPr>
        <w:t xml:space="preserve">es el exponente de ponderación adoptado.</w:t>
      </w:r>
    </w:p>
    <w:bookmarkEnd w:id="52"/>
    <w:bookmarkEnd w:id="53"/>
    <w:sectPr>
      <w:footnotePr>
        <w:numRestart w:val="eachSect"/>
      </w:footnotePr>
      <w:pgMar w:top="1238" w:bottom="1238" w:left="1238" w:right="12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2026-08-21T18:32:17Z</dcterms:created>
  <dcterms:modified xsi:type="dcterms:W3CDTF">2026-08-21T18:32:17Z</dcterms:modified>
</cp:coreProperties>
</file>

<file path=docProps/custom.xml><?xml version="1.0" encoding="utf-8"?>
<Properties xmlns="http://schemas.openxmlformats.org/officeDocument/2006/custom-properties" xmlns:vt="http://schemas.openxmlformats.org/officeDocument/2006/docPropsVTypes"/>
</file>