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pPr>
      <w:r>
        <w:rPr>
          <w:b/>
        </w:rPr>
        <w:t>CONTRACTOR AGREEMENT</w:t>
      </w:r>
      <w:r>
        <w:rPr/>
        <w:br/>
      </w:r>
    </w:p>
    <w:p>
      <w:pPr>
        <w:pStyle w:val="LO-normal"/>
        <w:spacing w:lineRule="auto" w:line="240" w:before="0" w:after="240"/>
        <w:ind w:firstLine="450"/>
        <w:rPr/>
      </w:pPr>
      <w:r>
        <w:rPr>
          <w:rStyle w:val="Strong"/>
        </w:rPr>
        <w:t>THIS CONTRACTOR AGREEMENT</w:t>
      </w:r>
      <w:r>
        <w:rPr/>
        <w:t xml:space="preserve"> (the "Agreement") is made and entered into, effective as of the latest date set forth on the signature page (the "Effective Date"), by and between EmbodyGames PTY LTD, a Queensland corporation with a principal place of business located at 29 Tomkinson Street, Wilsonton, Queensland 4350, Australia, A.C.N. 675 528 837 (hereinafter referred to as the "Company" or "EmbodyGames"), a</w:t>
      </w:r>
      <w:r>
        <w:rPr>
          <w:sz w:val="22"/>
          <w:szCs w:val="22"/>
        </w:rPr>
        <w:t>nd</w:t>
      </w:r>
      <w:r>
        <w:rPr>
          <w:sz w:val="22"/>
          <w:szCs w:val="22"/>
        </w:rPr>
        <w:t xml:space="preserve"> </w:t>
      </w:r>
      <w:r>
        <w:rPr>
          <w:b w:val="false"/>
          <w:i w:val="false"/>
          <w:caps w:val="false"/>
          <w:smallCaps w:val="false"/>
          <w:spacing w:val="0"/>
          <w:sz w:val="22"/>
          <w:szCs w:val="22"/>
        </w:rPr>
        <w:t>WhoKnowsStudios LLC</w:t>
      </w:r>
      <w:r>
        <w:rPr>
          <w:sz w:val="22"/>
          <w:szCs w:val="22"/>
        </w:rPr>
        <w:t>,</w:t>
      </w:r>
      <w:r>
        <w:rPr/>
        <w:t xml:space="preserve"> with a principal p</w:t>
      </w:r>
      <w:r>
        <w:rPr>
          <w:sz w:val="22"/>
          <w:szCs w:val="22"/>
        </w:rPr>
        <w:t xml:space="preserve">lace of business at </w:t>
      </w:r>
      <w:r>
        <w:rPr>
          <w:b w:val="false"/>
          <w:i w:val="false"/>
          <w:caps w:val="false"/>
          <w:smallCaps w:val="false"/>
          <w:spacing w:val="0"/>
          <w:sz w:val="22"/>
          <w:szCs w:val="22"/>
        </w:rPr>
        <w:t>2222</w:t>
      </w:r>
      <w:r>
        <w:rPr>
          <w:sz w:val="22"/>
          <w:szCs w:val="22"/>
        </w:rPr>
        <w:t xml:space="preserve"> </w:t>
      </w:r>
      <w:r>
        <w:rPr>
          <w:b w:val="false"/>
          <w:i w:val="false"/>
          <w:caps w:val="false"/>
          <w:smallCaps w:val="false"/>
          <w:spacing w:val="0"/>
          <w:sz w:val="22"/>
          <w:szCs w:val="22"/>
        </w:rPr>
        <w:t>W. Grand River AVE STE A</w:t>
      </w:r>
      <w:r>
        <w:rPr>
          <w:sz w:val="22"/>
          <w:szCs w:val="22"/>
        </w:rPr>
        <w:t>, Okemo</w:t>
      </w:r>
      <w:r>
        <w:rPr/>
        <w:t xml:space="preserve">s, Ingham County, Michigan 80403, USA (hereinafter referred to as the "Contractor"). </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ind w:start="0" w:hanging="0"/>
        <w:rPr/>
      </w:pPr>
      <w:r>
        <w:rPr/>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TextBody"/>
        <w:ind w:firstLine="450"/>
        <w:rPr/>
      </w:pPr>
      <w:r>
        <w:rPr>
          <w:rStyle w:val="Strong"/>
          <w:b w:val="false"/>
          <w:bCs w:val="false"/>
        </w:rPr>
        <w:t xml:space="preserve">2.5   </w:t>
      </w:r>
      <w:r>
        <w:rPr>
          <w:rStyle w:val="Strong"/>
        </w:rPr>
        <w:t>Non-Completion or Abandonment of Work:</w:t>
      </w:r>
    </w:p>
    <w:p>
      <w:pPr>
        <w:pStyle w:val="TextBody"/>
        <w:rPr/>
      </w:pPr>
      <w:r>
        <w:rPr/>
        <w:t>In the event that the Contractor:</w:t>
      </w:r>
    </w:p>
    <w:p>
      <w:pPr>
        <w:pStyle w:val="TextBody"/>
        <w:widowControl/>
        <w:suppressAutoHyphens w:val="true"/>
        <w:bidi w:val="0"/>
        <w:spacing w:lineRule="auto" w:line="276" w:before="0" w:after="140"/>
        <w:ind w:start="449" w:end="0" w:hanging="0"/>
        <w:jc w:val="start"/>
        <w:rPr/>
      </w:pPr>
      <w:r>
        <w:rPr/>
        <w:t>(a) Fails to complete the Services or abandons the work described in the Statement of Work (SOW) without good cause;</w:t>
      </w:r>
    </w:p>
    <w:p>
      <w:pPr>
        <w:pStyle w:val="TextBody"/>
        <w:widowControl/>
        <w:suppressAutoHyphens w:val="true"/>
        <w:bidi w:val="0"/>
        <w:spacing w:lineRule="auto" w:line="276" w:before="0" w:after="140"/>
        <w:ind w:start="449" w:end="0" w:hanging="0"/>
        <w:jc w:val="start"/>
        <w:rPr/>
      </w:pPr>
      <w:r>
        <w:rPr/>
        <w:t>(b) Fails to meet agreed-upon deadlines or deliverables; or</w:t>
      </w:r>
    </w:p>
    <w:p>
      <w:pPr>
        <w:pStyle w:val="TextBody"/>
        <w:widowControl/>
        <w:suppressAutoHyphens w:val="true"/>
        <w:bidi w:val="0"/>
        <w:spacing w:lineRule="auto" w:line="276" w:before="0" w:after="140"/>
        <w:ind w:start="449" w:end="0" w:hanging="0"/>
        <w:jc w:val="start"/>
        <w:rPr/>
      </w:pPr>
      <w:r>
        <w:rPr/>
        <w:t>(c) Fails to provide required progress reports or engage in communication as required by the Company,</w:t>
      </w:r>
    </w:p>
    <w:p>
      <w:pPr>
        <w:pStyle w:val="TextBody"/>
        <w:rPr/>
      </w:pPr>
      <w:r>
        <w:rPr/>
        <w:t>The Company may, at its sole discretion, take the following actions:</w:t>
      </w:r>
    </w:p>
    <w:p>
      <w:pPr>
        <w:pStyle w:val="TextBody"/>
        <w:widowControl/>
        <w:suppressAutoHyphens w:val="true"/>
        <w:bidi w:val="0"/>
        <w:spacing w:lineRule="auto" w:line="276" w:before="0" w:after="140"/>
        <w:ind w:start="900" w:end="0" w:hanging="0"/>
        <w:jc w:val="start"/>
        <w:rPr/>
      </w:pPr>
      <w:r>
        <w:rPr/>
        <w:t>(i) Terminate this Agreement immediately upon written notice to the Contractor;</w:t>
      </w:r>
    </w:p>
    <w:p>
      <w:pPr>
        <w:pStyle w:val="TextBody"/>
        <w:widowControl/>
        <w:suppressAutoHyphens w:val="true"/>
        <w:bidi w:val="0"/>
        <w:spacing w:lineRule="auto" w:line="276" w:before="0" w:after="140"/>
        <w:ind w:start="900" w:end="0" w:hanging="0"/>
        <w:jc w:val="start"/>
        <w:rPr/>
      </w:pPr>
      <w:r>
        <w:rPr/>
        <w:t>(ii) Withhold payment for any incomplete or unsatisfactory work until the deliverables are completed to the satisfaction of the Company, as determined by the Company in its sole discretion; and</w:t>
      </w:r>
    </w:p>
    <w:p>
      <w:pPr>
        <w:pStyle w:val="TextBody"/>
        <w:widowControl/>
        <w:suppressAutoHyphens w:val="true"/>
        <w:bidi w:val="0"/>
        <w:spacing w:lineRule="auto" w:line="276" w:before="0" w:after="140"/>
        <w:ind w:start="900" w:end="0" w:hanging="0"/>
        <w:jc w:val="start"/>
        <w:rPr/>
      </w:pPr>
      <w:r>
        <w:rPr/>
        <w:t>(iii) Seek reimbursement for damages, including but not limited to additional costs incurred by the Company to complete the Services by hiring a replacement contractor or taking corrective actions.</w:t>
      </w:r>
    </w:p>
    <w:p>
      <w:pPr>
        <w:pStyle w:val="LO-normal"/>
        <w:ind w:firstLine="450"/>
        <w:rPr/>
      </w:pPr>
      <w:r>
        <w:rPr/>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firstLine="450"/>
        <w:rPr/>
      </w:pPr>
      <w:r>
        <w:rPr/>
      </w:r>
    </w:p>
    <w:p>
      <w:pPr>
        <w:pStyle w:val="LO-normal"/>
        <w:ind w:firstLine="450"/>
        <w:rPr/>
      </w:pPr>
      <w:r>
        <w:rPr/>
        <w:t xml:space="preserve">4.   </w:t>
      </w:r>
      <w:r>
        <w:rPr>
          <w:b/>
          <w:i/>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rPr>
        <w:t xml:space="preserve">Prior Contracts.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firstLine="450"/>
        <w:rPr/>
      </w:pPr>
      <w:r>
        <w:rPr/>
      </w:r>
    </w:p>
    <w:p>
      <w:pPr>
        <w:pStyle w:val="LO-normal"/>
        <w:ind w:firstLine="450"/>
        <w:rPr/>
      </w:pPr>
      <w:r>
        <w:rPr/>
        <w:t xml:space="preserve">8.   </w:t>
      </w:r>
      <w:r>
        <w:rPr>
          <w:b/>
          <w:i/>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widowControl/>
        <w:suppressAutoHyphens w:val="true"/>
        <w:bidi w:val="0"/>
        <w:spacing w:lineRule="auto" w:line="276" w:before="0" w:after="0"/>
        <w:ind w:start="0" w:end="0" w:firstLine="449"/>
        <w:jc w:val="start"/>
        <w:rPr>
          <w:b/>
        </w:rPr>
      </w:pPr>
      <w:r>
        <w:rPr/>
        <w:t>10.</w:t>
      </w:r>
      <w:r>
        <w:rPr>
          <w:b/>
        </w:rPr>
        <w:t xml:space="preserve"> Reference to Mutual Confidentiality and Non-Disclosure Agreement</w:t>
      </w:r>
    </w:p>
    <w:p>
      <w:pPr>
        <w:pStyle w:val="Heading4"/>
        <w:keepNext w:val="false"/>
        <w:keepLines w:val="false"/>
        <w:spacing w:lineRule="auto" w:line="240" w:before="240" w:after="40"/>
        <w:ind w:firstLine="450"/>
        <w:rPr>
          <w:color w:val="000000"/>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Heading4"/>
        <w:keepNext w:val="false"/>
        <w:keepLines w:val="false"/>
        <w:spacing w:lineRule="auto" w:line="240" w:before="240" w:after="40"/>
        <w:ind w:firstLine="450"/>
        <w:rPr>
          <w:b/>
          <w:i/>
          <w:i/>
          <w:color w:val="000000"/>
          <w:sz w:val="22"/>
          <w:szCs w:val="22"/>
        </w:rPr>
      </w:pPr>
      <w:bookmarkStart w:id="1" w:name="_gqedj1c7vwfd"/>
      <w:bookmarkEnd w:id="1"/>
      <w:r>
        <w:rPr>
          <w:color w:val="000000"/>
          <w:sz w:val="22"/>
          <w:szCs w:val="22"/>
        </w:rPr>
        <w:t xml:space="preserve">10.2 </w:t>
      </w:r>
      <w:r>
        <w:rPr>
          <w:b/>
          <w:i/>
          <w:color w:val="000000"/>
          <w:sz w:val="22"/>
          <w:szCs w:val="22"/>
        </w:rPr>
        <w:t>Confidentiality Obligations</w:t>
      </w:r>
    </w:p>
    <w:p>
      <w:pPr>
        <w:pStyle w:val="LO-normal"/>
        <w:spacing w:lineRule="auto" w:line="240" w:before="240" w:after="240"/>
        <w:rPr/>
      </w:pPr>
      <w:r>
        <w:rPr/>
        <w:t>The Contractor acknowledges and agrees that all provisions regarding Confidential Information, as defined in the NDA, contained within this Agreement shall be interpreted in accordance with the terms of the NDA.</w:t>
      </w:r>
    </w:p>
    <w:p>
      <w:pPr>
        <w:pStyle w:val="Heading4"/>
        <w:keepNext w:val="false"/>
        <w:keepLines w:val="false"/>
        <w:spacing w:lineRule="auto" w:line="240" w:before="240" w:after="40"/>
        <w:ind w:firstLine="450"/>
        <w:rPr>
          <w:b/>
          <w:i/>
          <w:i/>
          <w:color w:val="000000"/>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240" w:after="240"/>
        <w:rPr/>
      </w:pPr>
      <w:r>
        <w:rPr/>
        <w:t>The obligations of confidentiality and non-disclosure under this Agreement shall survive the termination or expiration of this Agreement in accordance with the terms of the NDA.</w:t>
      </w:r>
    </w:p>
    <w:p>
      <w:pPr>
        <w:pStyle w:val="LO-normal"/>
        <w:ind w:firstLine="450"/>
        <w:rPr>
          <w:b/>
          <w:i/>
          <w:i/>
        </w:rPr>
      </w:pPr>
      <w:r>
        <w:rPr/>
        <w:t xml:space="preserve">11.   </w:t>
      </w:r>
      <w:r>
        <w:rPr>
          <w:b/>
          <w:i/>
        </w:rPr>
        <w:t>Miscellaneous.</w:t>
      </w:r>
    </w:p>
    <w:p>
      <w:pPr>
        <w:pStyle w:val="LO-normal"/>
        <w:ind w:firstLine="450"/>
        <w:rPr/>
      </w:pPr>
      <w:r>
        <w:rPr/>
      </w:r>
    </w:p>
    <w:p>
      <w:pPr>
        <w:pStyle w:val="LO-normal"/>
        <w:ind w:firstLine="450"/>
        <w:rPr/>
      </w:pPr>
      <w:r>
        <w:rPr/>
        <w:t xml:space="preserve">11.1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11.2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11.3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11.4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11.5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t xml:space="preserve">116  </w:t>
      </w:r>
      <w:r>
        <w:rPr>
          <w:b/>
          <w:i/>
        </w:rPr>
        <w:t xml:space="preserve"> 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11.7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11.8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11.9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11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start="0" w:hanging="0"/>
        <w:jc w:val="center"/>
        <w:rPr/>
      </w:pPr>
      <w:r>
        <w:rPr/>
        <w:t>[SIGNATURE PAGE FOLLOWS]</w:t>
      </w:r>
    </w:p>
    <w:p>
      <w:pPr>
        <w:pStyle w:val="LO-normal"/>
        <w:ind w:firstLine="450"/>
        <w:jc w:val="center"/>
        <w:rPr/>
      </w:pPr>
      <w:r>
        <w:rPr/>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tab/>
        <w:tab/>
        <w:tab/>
      </w:r>
    </w:p>
    <w:p>
      <w:pPr>
        <w:pStyle w:val="LO-normal"/>
        <w:rPr/>
      </w:pPr>
      <w:r>
        <w:rPr/>
      </w:r>
    </w:p>
    <w:p>
      <w:pPr>
        <w:pStyle w:val="LO-normal"/>
        <w:rPr/>
      </w:pPr>
      <w:r>
        <w:rPr/>
        <w:tab/>
        <w:tab/>
        <w:tab/>
        <w:tab/>
        <w:tab/>
      </w:r>
      <w:r>
        <w:rPr>
          <w:rFonts w:eastAsia="Palatino Linotype" w:cs="Palatino Linotype" w:ascii="Palatino Linotype" w:hAnsi="Palatino Linotype"/>
        </w:rPr>
        <w:t>WHOKNOWSSTUDIOS</w:t>
      </w:r>
      <w:r>
        <w:rPr>
          <w:rFonts w:ascii="Palatino Linotype" w:hAnsi="Palatino Linotype"/>
        </w:rPr>
        <w:t xml:space="preserve"> LLC</w:t>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spacing w:lineRule="auto" w:line="360"/>
        <w:rPr/>
      </w:pPr>
      <w:r>
        <w:rPr/>
        <w:tab/>
        <w:tab/>
        <w:tab/>
        <w:tab/>
        <w:tab/>
        <w:t>Date:</w:t>
      </w:r>
    </w:p>
    <w:p>
      <w:pPr>
        <w:pStyle w:val="LO-normal"/>
        <w:jc w:val="center"/>
        <w:rPr>
          <w:b/>
        </w:rPr>
      </w:pPr>
      <w:r>
        <w:rPr>
          <w:b/>
        </w:rPr>
      </w:r>
    </w:p>
    <w:p>
      <w:pPr>
        <w:pStyle w:val="LO-normal"/>
        <w:jc w:val="center"/>
        <w:rPr>
          <w:b/>
        </w:rPr>
      </w:pPr>
      <w:r>
        <w:rPr>
          <w:b/>
        </w:rPr>
      </w:r>
      <w:r>
        <w:br w:type="page"/>
      </w:r>
    </w:p>
    <w:p>
      <w:pPr>
        <w:pStyle w:val="LO-normal"/>
        <w:jc w:val="center"/>
        <w:rPr>
          <w:b/>
        </w:rPr>
      </w:pPr>
      <w:r>
        <w:rPr>
          <w:b/>
        </w:rPr>
        <w:t>APPENDIX A</w:t>
      </w:r>
    </w:p>
    <w:p>
      <w:pPr>
        <w:pStyle w:val="LO-normal"/>
        <w:jc w:val="center"/>
        <w:rPr/>
      </w:pPr>
      <w:r>
        <w:rPr/>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t>Company: WhoKnowsStudios LLC</w:t>
        <w:br/>
        <w:tab/>
        <w:t>Name:</w:t>
      </w:r>
      <w:r>
        <w:rPr>
          <w:b w:val="false"/>
          <w:i w:val="false"/>
          <w:caps w:val="false"/>
          <w:smallCaps w:val="false"/>
          <w:spacing w:val="0"/>
          <w:sz w:val="22"/>
          <w:szCs w:val="22"/>
        </w:rPr>
        <w:t xml:space="preserve"> Titus Evans</w:t>
      </w:r>
    </w:p>
    <w:p>
      <w:pPr>
        <w:pStyle w:val="LO-normal"/>
        <w:ind w:start="720" w:hanging="0"/>
        <w:rPr/>
      </w:pPr>
      <w:r>
        <w:rPr/>
        <w:t xml:space="preserve">Email: </w:t>
      </w:r>
      <w:r>
        <w:rPr>
          <w:b w:val="false"/>
          <w:i w:val="false"/>
          <w:caps w:val="false"/>
          <w:smallCaps w:val="false"/>
          <w:spacing w:val="0"/>
          <w:sz w:val="22"/>
          <w:szCs w:val="22"/>
        </w:rPr>
        <w:t xml:space="preserve"> </w:t>
      </w:r>
      <w:r>
        <w:rPr/>
        <w:br/>
        <w:t>Phone: +1 (734)-890-4882</w:t>
        <w:br/>
        <w:t xml:space="preserve">Address: </w:t>
      </w:r>
      <w:r>
        <w:rPr>
          <w:b w:val="false"/>
          <w:i w:val="false"/>
          <w:caps w:val="false"/>
          <w:smallCaps w:val="false"/>
          <w:spacing w:val="0"/>
          <w:sz w:val="22"/>
          <w:szCs w:val="22"/>
        </w:rPr>
        <w:t xml:space="preserve">2222 W. Grand River AVE STE A Okemos, Iingham County, MI 48864 USA </w:t>
      </w:r>
      <w:r>
        <w:rPr/>
        <w:br/>
        <w:t>Reporting to: Quinten Bench</w:t>
        <w:br/>
        <w:tab/>
      </w:r>
    </w:p>
    <w:p>
      <w:pPr>
        <w:pStyle w:val="LO-normal"/>
        <w:rPr>
          <w:b/>
        </w:rPr>
      </w:pPr>
      <w:r>
        <w:rPr/>
        <w:t xml:space="preserve">1. </w:t>
      </w:r>
      <w:r>
        <w:rPr>
          <w:b/>
        </w:rPr>
        <w:t>SCOPE OF WORK</w:t>
      </w:r>
    </w:p>
    <w:p>
      <w:pPr>
        <w:pStyle w:val="LO-normal"/>
        <w:ind w:start="270" w:hanging="0"/>
        <w:rPr/>
      </w:pPr>
      <w:r>
        <w:rPr>
          <w:b w:val="false"/>
          <w:bCs w:val="false"/>
        </w:rPr>
        <w:t xml:space="preserve">Programming, design, and implementation of foundational systems and functionality for the </w:t>
      </w:r>
      <w:r>
        <w:rPr>
          <w:rStyle w:val="StrongEmphasis"/>
          <w:b w:val="false"/>
          <w:bCs w:val="false"/>
        </w:rPr>
        <w:t>Catnip</w:t>
      </w:r>
      <w:r>
        <w:rPr>
          <w:b w:val="false"/>
          <w:bCs w:val="false"/>
        </w:rPr>
        <w:t xml:space="preserve"> project, including delivery of a </w:t>
      </w:r>
      <w:r>
        <w:rPr>
          <w:rStyle w:val="StrongEmphasis"/>
          <w:b w:val="false"/>
          <w:bCs w:val="false"/>
        </w:rPr>
        <w:t>fully functional prototype</w:t>
      </w:r>
      <w:r>
        <w:rPr>
          <w:b w:val="false"/>
          <w:bCs w:val="false"/>
        </w:rPr>
        <w:t xml:space="preserve"> that showcases the core gameplay loop and mechanics in a fun and meaningful way sufficient for investor presentation. </w:t>
      </w:r>
    </w:p>
    <w:p>
      <w:pPr>
        <w:pStyle w:val="LO-normal"/>
        <w:ind w:start="270" w:hanging="0"/>
        <w:rPr/>
      </w:pPr>
      <w:r>
        <w:rPr/>
      </w:r>
    </w:p>
    <w:p>
      <w:pPr>
        <w:pStyle w:val="Heading3"/>
        <w:spacing w:before="57" w:after="57"/>
        <w:rPr>
          <w:color w:val="000000"/>
          <w:sz w:val="22"/>
          <w:szCs w:val="22"/>
        </w:rPr>
      </w:pPr>
      <w:r>
        <w:rPr>
          <w:b/>
          <w:color w:val="000000"/>
          <w:sz w:val="22"/>
          <w:szCs w:val="22"/>
        </w:rPr>
        <w:t>2. ROLES AND RESPONSIBILITIES</w:t>
      </w:r>
    </w:p>
    <w:p>
      <w:pPr>
        <w:pStyle w:val="TextBody"/>
        <w:widowControl/>
        <w:suppressAutoHyphens w:val="true"/>
        <w:bidi w:val="0"/>
        <w:spacing w:lineRule="auto" w:line="276" w:before="0" w:after="0"/>
        <w:ind w:start="269" w:end="0" w:hanging="0"/>
        <w:jc w:val="start"/>
        <w:rPr/>
      </w:pPr>
      <w:r>
        <w:rPr>
          <w:rStyle w:val="StrongEmphasis"/>
          <w:b w:val="false"/>
          <w:bCs w:val="false"/>
        </w:rPr>
        <w:t>EmbodyGames Responsibilities:</w:t>
      </w:r>
    </w:p>
    <w:p>
      <w:pPr>
        <w:pStyle w:val="TextBody"/>
        <w:numPr>
          <w:ilvl w:val="0"/>
          <w:numId w:val="0"/>
        </w:numPr>
        <w:spacing w:before="0" w:after="0"/>
        <w:ind w:hanging="0"/>
        <w:rPr>
          <w:b w:val="false"/>
          <w:bCs w:val="false"/>
        </w:rPr>
      </w:pPr>
      <w:r>
        <w:rPr>
          <w:b w:val="false"/>
          <w:bCs w:val="false"/>
        </w:rPr>
        <w:t>Provide necessary information and details about Catnip to ensure the contractor is set up for success.</w:t>
      </w:r>
    </w:p>
    <w:p>
      <w:pPr>
        <w:pStyle w:val="TextBody"/>
        <w:numPr>
          <w:ilvl w:val="0"/>
          <w:numId w:val="0"/>
        </w:numPr>
        <w:spacing w:before="0" w:after="0"/>
        <w:ind w:hanging="0"/>
        <w:rPr>
          <w:b w:val="false"/>
          <w:bCs w:val="false"/>
        </w:rPr>
      </w:pPr>
      <w:r>
        <w:rPr>
          <w:b w:val="false"/>
          <w:bCs w:val="false"/>
        </w:rPr>
        <w:t>Provide timely feedback and direction for all iterations of relevant project work.</w:t>
      </w:r>
    </w:p>
    <w:p>
      <w:pPr>
        <w:pStyle w:val="TextBody"/>
        <w:numPr>
          <w:ilvl w:val="0"/>
          <w:numId w:val="0"/>
        </w:numPr>
        <w:spacing w:before="0" w:after="0"/>
        <w:ind w:hanging="0"/>
        <w:rPr>
          <w:b w:val="false"/>
          <w:bCs w:val="false"/>
        </w:rPr>
      </w:pPr>
      <w:r>
        <w:rPr>
          <w:b w:val="false"/>
          <w:bCs w:val="false"/>
        </w:rPr>
        <w:t>Secure funding and manage the overall production schedule.</w:t>
      </w:r>
    </w:p>
    <w:p>
      <w:pPr>
        <w:pStyle w:val="TextBody"/>
        <w:widowControl/>
        <w:suppressAutoHyphens w:val="true"/>
        <w:bidi w:val="0"/>
        <w:spacing w:lineRule="auto" w:line="276" w:before="0" w:after="0"/>
        <w:ind w:start="269" w:end="0" w:hanging="0"/>
        <w:jc w:val="start"/>
        <w:rPr/>
      </w:pPr>
      <w:r>
        <w:rPr>
          <w:rStyle w:val="StrongEmphasis"/>
          <w:b w:val="false"/>
          <w:bCs w:val="false"/>
        </w:rPr>
        <w:t>Contractor Responsibilities:</w:t>
      </w:r>
    </w:p>
    <w:p>
      <w:pPr>
        <w:pStyle w:val="TextBody"/>
        <w:numPr>
          <w:ilvl w:val="0"/>
          <w:numId w:val="0"/>
        </w:numPr>
        <w:spacing w:before="0" w:after="0"/>
        <w:ind w:hanging="0"/>
        <w:rPr>
          <w:b/>
        </w:rPr>
      </w:pPr>
      <w:r>
        <w:rPr/>
        <w:t>Collaborate with EmbodyGames during the pre-production, production, and post-production process to formulate plans and direction for Catnip.</w:t>
      </w:r>
    </w:p>
    <w:p>
      <w:pPr>
        <w:pStyle w:val="TextBody"/>
        <w:numPr>
          <w:ilvl w:val="0"/>
          <w:numId w:val="0"/>
        </w:numPr>
        <w:spacing w:before="0" w:after="0"/>
        <w:ind w:hanging="0"/>
        <w:rPr>
          <w:b/>
        </w:rPr>
      </w:pPr>
      <w:r>
        <w:rPr/>
        <w:t>Responsibilities include but are not limited to:</w:t>
        <w:br/>
        <w:t xml:space="preserve"> -   Programming of core gameplay systems and tools</w:t>
        <w:br/>
        <w:t xml:space="preserve"> -   Implementation of core mechanics, UI logic, and gameplay loops</w:t>
        <w:br/>
        <w:t xml:space="preserve"> -   Debugging, optimization, and performance improvements</w:t>
        <w:br/>
        <w:t xml:space="preserve"> -   Documentation of code and systems</w:t>
        <w:br/>
        <w:t xml:space="preserve"> -   Testing and iteration of prototype features</w:t>
        <w:br/>
        <w:t xml:space="preserve"> -   Participation in EmbodyGames-hosted meetings</w:t>
      </w:r>
    </w:p>
    <w:p>
      <w:pPr>
        <w:pStyle w:val="TextBody"/>
        <w:spacing w:before="0" w:after="0"/>
        <w:rPr>
          <w:b/>
        </w:rPr>
      </w:pPr>
      <w:r>
        <w:rPr/>
      </w:r>
    </w:p>
    <w:p>
      <w:pPr>
        <w:pStyle w:val="Heading3"/>
        <w:spacing w:before="57" w:after="57"/>
        <w:rPr>
          <w:color w:val="000000"/>
          <w:sz w:val="22"/>
          <w:szCs w:val="22"/>
        </w:rPr>
      </w:pPr>
      <w:r>
        <w:rPr>
          <w:b/>
          <w:color w:val="000000"/>
          <w:sz w:val="22"/>
          <w:szCs w:val="22"/>
        </w:rPr>
        <w:t>3. DELIVERABLE MATERIALS</w:t>
      </w:r>
    </w:p>
    <w:p>
      <w:pPr>
        <w:pStyle w:val="Heading3"/>
        <w:keepNext w:val="true"/>
        <w:keepLines/>
        <w:pageBreakBefore w:val="false"/>
        <w:widowControl/>
        <w:suppressAutoHyphens w:val="true"/>
        <w:bidi w:val="0"/>
        <w:spacing w:lineRule="auto" w:line="240" w:before="0" w:after="0"/>
        <w:ind w:start="269" w:end="0" w:hanging="0"/>
        <w:jc w:val="start"/>
        <w:rPr>
          <w:color w:val="000000"/>
          <w:sz w:val="22"/>
          <w:szCs w:val="22"/>
        </w:rPr>
      </w:pPr>
      <w:r>
        <w:rPr>
          <w:color w:val="000000"/>
          <w:sz w:val="22"/>
          <w:szCs w:val="22"/>
        </w:rPr>
        <w:t>Contractor will perform the responsibilities on the days scheduled.</w:t>
      </w:r>
    </w:p>
    <w:p>
      <w:pPr>
        <w:pStyle w:val="Heading3"/>
        <w:keepNext w:val="true"/>
        <w:keepLines/>
        <w:pageBreakBefore w:val="false"/>
        <w:widowControl/>
        <w:suppressAutoHyphens w:val="true"/>
        <w:bidi w:val="0"/>
        <w:spacing w:lineRule="auto" w:line="240" w:before="0" w:after="0"/>
        <w:ind w:start="269" w:end="0" w:hanging="0"/>
        <w:jc w:val="start"/>
        <w:rPr/>
      </w:pPr>
      <w:r>
        <w:rPr>
          <w:color w:val="000000"/>
          <w:sz w:val="22"/>
          <w:szCs w:val="22"/>
        </w:rPr>
        <w:t xml:space="preserve">The key deliverable is </w:t>
      </w:r>
      <w:r>
        <w:rPr>
          <w:b w:val="false"/>
          <w:bCs w:val="false"/>
          <w:color w:val="000000"/>
          <w:sz w:val="22"/>
          <w:szCs w:val="22"/>
        </w:rPr>
        <w:t xml:space="preserve">a </w:t>
      </w:r>
      <w:r>
        <w:rPr>
          <w:rStyle w:val="StrongEmphasis"/>
          <w:b w:val="false"/>
          <w:bCs w:val="false"/>
          <w:color w:val="000000"/>
          <w:sz w:val="22"/>
          <w:szCs w:val="22"/>
        </w:rPr>
        <w:t>fully functional Catnip prototype</w:t>
      </w:r>
      <w:r>
        <w:rPr>
          <w:color w:val="000000"/>
          <w:sz w:val="22"/>
          <w:szCs w:val="22"/>
        </w:rPr>
        <w:t xml:space="preserve"> with all core gameplay mechanics implemented and working in a manner sufficient to demonstrate the intended player experience to potential investors.</w:t>
      </w:r>
    </w:p>
    <w:p>
      <w:pPr>
        <w:pStyle w:val="Heading3"/>
        <w:keepNext w:val="true"/>
        <w:keepLines/>
        <w:pageBreakBefore w:val="false"/>
        <w:widowControl/>
        <w:suppressAutoHyphens w:val="true"/>
        <w:bidi w:val="0"/>
        <w:spacing w:lineRule="auto" w:line="240" w:before="0" w:after="0"/>
        <w:ind w:start="269" w:end="0" w:hanging="0"/>
        <w:jc w:val="start"/>
        <w:rPr>
          <w:color w:val="000000"/>
          <w:sz w:val="22"/>
          <w:szCs w:val="22"/>
        </w:rPr>
      </w:pPr>
      <w:r>
        <w:rPr>
          <w:color w:val="000000"/>
          <w:sz w:val="22"/>
          <w:szCs w:val="22"/>
        </w:rPr>
        <w:t>All third-party software utilized by Contractor in the creation of the Work Product shall have an active subscription during the performance of the Services.</w:t>
      </w:r>
    </w:p>
    <w:p>
      <w:pPr>
        <w:pStyle w:val="Heading3"/>
        <w:keepNext w:val="true"/>
        <w:keepLines/>
        <w:pageBreakBefore w:val="false"/>
        <w:widowControl/>
        <w:suppressAutoHyphens w:val="true"/>
        <w:bidi w:val="0"/>
        <w:spacing w:lineRule="auto" w:line="240" w:before="0" w:after="0"/>
        <w:ind w:start="269" w:end="0" w:hanging="0"/>
        <w:jc w:val="start"/>
        <w:rPr>
          <w:color w:val="000000"/>
          <w:sz w:val="22"/>
          <w:szCs w:val="22"/>
        </w:rPr>
      </w:pPr>
      <w:r>
        <w:rPr>
          <w:color w:val="000000"/>
          <w:sz w:val="22"/>
          <w:szCs w:val="22"/>
        </w:rPr>
        <w:t>In the event Contractor utilizes open-source software in the creation of the Work Product, its use in a commercial and production environment shall not create any legal rights by, and/or obligations to, the open-source community.</w:t>
      </w:r>
    </w:p>
    <w:p>
      <w:pPr>
        <w:pStyle w:val="LO-normal"/>
        <w:rPr/>
      </w:pPr>
      <w:r>
        <w:rPr/>
      </w:r>
    </w:p>
    <w:p>
      <w:pPr>
        <w:pStyle w:val="LO-normal"/>
        <w:rPr>
          <w:b/>
        </w:rPr>
      </w:pPr>
      <w:r>
        <w:rPr/>
      </w:r>
      <w:r>
        <w:br w:type="page"/>
      </w:r>
    </w:p>
    <w:p>
      <w:pPr>
        <w:pStyle w:val="LO-normal"/>
        <w:rPr>
          <w:b/>
        </w:rPr>
      </w:pPr>
      <w:r>
        <w:rPr/>
        <w:t xml:space="preserve">4. </w:t>
      </w:r>
      <w:r>
        <w:rPr>
          <w:b/>
        </w:rPr>
        <w:t>ESTIMATED SCHEDULE</w:t>
      </w:r>
    </w:p>
    <w:p>
      <w:pPr>
        <w:pStyle w:val="TextBody"/>
        <w:spacing w:before="0" w:after="0"/>
        <w:ind w:start="270" w:hanging="0"/>
        <w:rPr/>
      </w:pPr>
      <w:r>
        <w:rPr/>
        <w:t xml:space="preserve">Estimated: </w:t>
      </w:r>
      <w:r>
        <w:rPr>
          <w:b w:val="false"/>
          <w:bCs w:val="false"/>
        </w:rPr>
        <w:t>0</w:t>
      </w:r>
      <w:r>
        <w:rPr>
          <w:rStyle w:val="StrongEmphasis"/>
          <w:b w:val="false"/>
          <w:bCs w:val="false"/>
        </w:rPr>
        <w:t xml:space="preserve"> – 160 hours per month</w:t>
      </w:r>
    </w:p>
    <w:p>
      <w:pPr>
        <w:pStyle w:val="TextBody"/>
        <w:spacing w:before="0" w:after="0"/>
        <w:ind w:start="270" w:hanging="0"/>
        <w:rPr/>
      </w:pPr>
      <w:r>
        <w:rPr/>
        <w:t>Term length:</w:t>
      </w:r>
      <w:r>
        <w:rPr>
          <w:b w:val="false"/>
          <w:bCs w:val="false"/>
        </w:rPr>
        <w:t xml:space="preserve"> </w:t>
      </w:r>
      <w:r>
        <w:rPr>
          <w:rStyle w:val="StrongEmphasis"/>
          <w:b w:val="false"/>
          <w:bCs w:val="false"/>
        </w:rPr>
        <w:t>Ongoing</w:t>
      </w:r>
      <w:r>
        <w:rPr>
          <w:b w:val="false"/>
          <w:bCs w:val="false"/>
        </w:rPr>
        <w:t>,</w:t>
      </w:r>
      <w:r>
        <w:rPr/>
        <w:t xml:space="preserve"> and will remain in effect as long as both parties are in agreement. Either party may terminate the agreement at any time with written notice.</w:t>
      </w:r>
    </w:p>
    <w:p>
      <w:pPr>
        <w:pStyle w:val="LO-normal"/>
        <w:ind w:start="270" w:hanging="0"/>
        <w:rPr/>
      </w:pPr>
      <w:r>
        <w:rPr/>
      </w:r>
    </w:p>
    <w:p>
      <w:pPr>
        <w:pStyle w:val="LO-normal"/>
        <w:rPr>
          <w:b/>
        </w:rPr>
      </w:pPr>
      <w:r>
        <w:rPr/>
        <w:t xml:space="preserve">5. </w:t>
      </w:r>
      <w:r>
        <w:rPr>
          <w:b/>
        </w:rPr>
        <w:t>COMPLETION CRITERIA</w:t>
      </w:r>
    </w:p>
    <w:p>
      <w:pPr>
        <w:pStyle w:val="TextBody"/>
        <w:spacing w:before="0" w:after="0"/>
        <w:ind w:start="270" w:hanging="0"/>
        <w:rPr/>
      </w:pPr>
      <w:r>
        <w:rPr/>
        <w:t>Responsibilities shall be completed on time per the production schedule provided by Embo</w:t>
      </w:r>
      <w:r>
        <w:rPr>
          <w:b w:val="false"/>
          <w:bCs w:val="false"/>
        </w:rPr>
        <w:t>dyGames.</w:t>
      </w:r>
    </w:p>
    <w:p>
      <w:pPr>
        <w:pStyle w:val="TextBody"/>
        <w:numPr>
          <w:ilvl w:val="0"/>
          <w:numId w:val="0"/>
        </w:numPr>
        <w:spacing w:before="0" w:after="0"/>
        <w:ind w:hanging="0"/>
        <w:rPr/>
      </w:pPr>
      <w:r>
        <w:rPr>
          <w:b w:val="false"/>
          <w:bCs w:val="false"/>
        </w:rPr>
        <w:t xml:space="preserve">The 1.5% profit share (see Section 6) is only earned if the Contractor </w:t>
      </w:r>
      <w:r>
        <w:rPr>
          <w:rStyle w:val="StrongEmphasis"/>
          <w:b w:val="false"/>
          <w:bCs w:val="false"/>
        </w:rPr>
        <w:t>delivers a functional, featured Catnip prototype</w:t>
      </w:r>
      <w:r>
        <w:rPr>
          <w:b w:val="false"/>
          <w:bCs w:val="false"/>
        </w:rPr>
        <w:t xml:space="preserve"> meeting the description above.</w:t>
      </w:r>
    </w:p>
    <w:p>
      <w:pPr>
        <w:pStyle w:val="TextBody"/>
        <w:numPr>
          <w:ilvl w:val="0"/>
          <w:numId w:val="0"/>
        </w:numPr>
        <w:spacing w:before="0" w:after="0"/>
        <w:ind w:hanging="0"/>
        <w:rPr/>
      </w:pPr>
      <w:r>
        <w:rPr>
          <w:b w:val="false"/>
          <w:bCs w:val="false"/>
        </w:rPr>
        <w:t>If the project receives investment prior to completion of the prototype, the Contractor will continue development to completion of the agreed prototype; the ear</w:t>
      </w:r>
      <w:r>
        <w:rPr/>
        <w:t>ly investment does not alter the requirement or timing for completion.</w:t>
      </w:r>
    </w:p>
    <w:p>
      <w:pPr>
        <w:pStyle w:val="LO-normal"/>
        <w:ind w:hanging="0"/>
        <w:rPr/>
      </w:pPr>
      <w:r>
        <w:rPr/>
      </w:r>
    </w:p>
    <w:p>
      <w:pPr>
        <w:pStyle w:val="LO-normal"/>
        <w:rPr>
          <w:b/>
        </w:rPr>
      </w:pPr>
      <w:r>
        <w:rPr/>
        <w:t xml:space="preserve">6. </w:t>
      </w:r>
      <w:r>
        <w:rPr>
          <w:b/>
        </w:rPr>
        <w:t>COST &amp; REIMBURSABLE EXPENSES</w:t>
      </w:r>
    </w:p>
    <w:p>
      <w:pPr>
        <w:pStyle w:val="TextBody"/>
        <w:spacing w:before="0" w:after="0"/>
        <w:ind w:start="270" w:hanging="0"/>
        <w:rPr/>
      </w:pPr>
      <w:r>
        <w:rPr>
          <w:rStyle w:val="StrongEmphasis"/>
          <w:b w:val="false"/>
          <w:bCs w:val="false"/>
        </w:rPr>
        <w:t>Hourly Reimbursement (Retroactive):</w:t>
      </w:r>
    </w:p>
    <w:p>
      <w:pPr>
        <w:pStyle w:val="TextBody"/>
        <w:numPr>
          <w:ilvl w:val="0"/>
          <w:numId w:val="0"/>
        </w:numPr>
        <w:spacing w:before="0" w:after="0"/>
        <w:ind w:hanging="0"/>
        <w:rPr/>
      </w:pPr>
      <w:r>
        <w:rPr>
          <w:b w:val="false"/>
          <w:bCs w:val="false"/>
        </w:rPr>
        <w:t xml:space="preserve">Contractor agrees to work </w:t>
      </w:r>
      <w:r>
        <w:rPr>
          <w:rStyle w:val="StrongEmphasis"/>
          <w:b w:val="false"/>
          <w:bCs w:val="false"/>
        </w:rPr>
        <w:t>unpaid until EmbodyGames secures project funding</w:t>
      </w:r>
      <w:r>
        <w:rPr>
          <w:b w:val="false"/>
          <w:bCs w:val="false"/>
        </w:rPr>
        <w:t>.</w:t>
      </w:r>
    </w:p>
    <w:p>
      <w:pPr>
        <w:pStyle w:val="TextBody"/>
        <w:numPr>
          <w:ilvl w:val="0"/>
          <w:numId w:val="0"/>
        </w:numPr>
        <w:spacing w:before="0" w:after="0"/>
        <w:ind w:hanging="0"/>
        <w:rPr/>
      </w:pPr>
      <w:r>
        <w:rPr>
          <w:b w:val="false"/>
          <w:bCs w:val="false"/>
        </w:rPr>
        <w:t xml:space="preserve">Upon funding, EmbodyGames will reimburse the Contractor at a rate of </w:t>
      </w:r>
      <w:r>
        <w:rPr>
          <w:rStyle w:val="StrongEmphasis"/>
          <w:b w:val="false"/>
          <w:bCs w:val="false"/>
        </w:rPr>
        <w:t>$40 USD per hour</w:t>
      </w:r>
      <w:r>
        <w:rPr>
          <w:b w:val="false"/>
          <w:bCs w:val="false"/>
        </w:rPr>
        <w:t xml:space="preserve"> for </w:t>
      </w:r>
      <w:r>
        <w:rPr>
          <w:rStyle w:val="StrongEmphasis"/>
          <w:b w:val="false"/>
          <w:bCs w:val="false"/>
        </w:rPr>
        <w:t>all documented and approved hours worked prior to funding</w:t>
      </w:r>
      <w:r>
        <w:rPr>
          <w:b w:val="false"/>
          <w:bCs w:val="false"/>
        </w:rPr>
        <w:t xml:space="preserve"> (“Retroactive Reimbursement”).</w:t>
      </w:r>
    </w:p>
    <w:p>
      <w:pPr>
        <w:pStyle w:val="TextBody"/>
        <w:numPr>
          <w:ilvl w:val="0"/>
          <w:numId w:val="0"/>
        </w:numPr>
        <w:spacing w:before="0" w:after="0"/>
        <w:ind w:hanging="0"/>
        <w:rPr/>
      </w:pPr>
      <w:r>
        <w:rPr>
          <w:b w:val="false"/>
          <w:bCs w:val="false"/>
        </w:rPr>
        <w:t xml:space="preserve">Hours will be tracked and submitted monthly for record-keeping, but </w:t>
      </w:r>
      <w:r>
        <w:rPr>
          <w:rStyle w:val="StrongEmphasis"/>
          <w:b w:val="false"/>
          <w:bCs w:val="false"/>
        </w:rPr>
        <w:t>no payment will be due until funding is secured</w:t>
      </w:r>
      <w:r>
        <w:rPr>
          <w:b w:val="false"/>
          <w:bCs w:val="false"/>
        </w:rPr>
        <w:t>.</w:t>
      </w:r>
    </w:p>
    <w:p>
      <w:pPr>
        <w:pStyle w:val="TextBody"/>
        <w:numPr>
          <w:ilvl w:val="0"/>
          <w:numId w:val="0"/>
        </w:numPr>
        <w:spacing w:before="0" w:after="0"/>
        <w:ind w:hanging="0"/>
        <w:rPr/>
      </w:pPr>
      <w:r>
        <w:rPr>
          <w:b w:val="false"/>
          <w:bCs w:val="false"/>
        </w:rPr>
        <w:t xml:space="preserve">After funding, the same $40/hr rate will continue to apply for approved future work, paid on a normal </w:t>
      </w:r>
      <w:r>
        <w:rPr>
          <w:b w:val="false"/>
          <w:bCs w:val="false"/>
        </w:rPr>
        <w:t xml:space="preserve">monthly </w:t>
      </w:r>
      <w:r>
        <w:rPr>
          <w:b w:val="false"/>
          <w:bCs w:val="false"/>
        </w:rPr>
        <w:t xml:space="preserve">invoicing schedule </w:t>
      </w:r>
      <w:r>
        <w:rPr>
          <w:b w:val="false"/>
          <w:bCs w:val="false"/>
        </w:rPr>
        <w:t xml:space="preserve">where, </w:t>
      </w:r>
      <w:r>
        <w:rPr/>
        <w:t xml:space="preserve">EmbodyGames will submit payment within 30 days from date of receipt of the invoice. </w:t>
      </w:r>
    </w:p>
    <w:p>
      <w:pPr>
        <w:pStyle w:val="TextBody"/>
        <w:widowControl/>
        <w:suppressAutoHyphens w:val="true"/>
        <w:bidi w:val="0"/>
        <w:spacing w:lineRule="auto" w:line="276" w:before="0" w:after="0"/>
        <w:ind w:start="269" w:end="0" w:hanging="0"/>
        <w:jc w:val="start"/>
        <w:rPr/>
      </w:pPr>
      <w:r>
        <w:rPr>
          <w:rStyle w:val="StrongEmphasis"/>
          <w:b w:val="false"/>
          <w:bCs w:val="false"/>
        </w:rPr>
        <w:t>Profit Participation:</w:t>
      </w:r>
    </w:p>
    <w:p>
      <w:pPr>
        <w:pStyle w:val="TextBody"/>
        <w:numPr>
          <w:ilvl w:val="0"/>
          <w:numId w:val="0"/>
        </w:numPr>
        <w:spacing w:before="0" w:after="0"/>
        <w:ind w:hanging="0"/>
        <w:rPr/>
      </w:pPr>
      <w:r>
        <w:rPr>
          <w:b w:val="false"/>
          <w:bCs w:val="false"/>
        </w:rPr>
        <w:t xml:space="preserve">Contractor will be entitled to </w:t>
      </w:r>
      <w:r>
        <w:rPr>
          <w:rStyle w:val="StrongEmphasis"/>
          <w:b w:val="false"/>
          <w:bCs w:val="false"/>
        </w:rPr>
        <w:t>1.5% of net profits from Catnip</w:t>
      </w:r>
      <w:r>
        <w:rPr>
          <w:b w:val="false"/>
          <w:bCs w:val="false"/>
        </w:rPr>
        <w:t xml:space="preserve"> </w:t>
      </w:r>
      <w:r>
        <w:rPr>
          <w:rStyle w:val="StrongEmphasis"/>
          <w:b w:val="false"/>
          <w:bCs w:val="false"/>
        </w:rPr>
        <w:t>only if</w:t>
      </w:r>
      <w:r>
        <w:rPr>
          <w:b w:val="false"/>
          <w:bCs w:val="false"/>
        </w:rPr>
        <w:t xml:space="preserve"> a </w:t>
      </w:r>
      <w:r>
        <w:rPr>
          <w:rStyle w:val="StrongEmphasis"/>
          <w:b w:val="false"/>
          <w:bCs w:val="false"/>
        </w:rPr>
        <w:t>fully functional Catnip prototype</w:t>
      </w:r>
      <w:r>
        <w:rPr>
          <w:b w:val="false"/>
          <w:bCs w:val="false"/>
        </w:rPr>
        <w:t xml:space="preserve"> is delivered and accepted.</w:t>
      </w:r>
    </w:p>
    <w:p>
      <w:pPr>
        <w:pStyle w:val="TextBody"/>
        <w:numPr>
          <w:ilvl w:val="0"/>
          <w:numId w:val="0"/>
        </w:numPr>
        <w:spacing w:before="0" w:after="0"/>
        <w:ind w:hanging="0"/>
        <w:rPr>
          <w:b w:val="false"/>
          <w:bCs w:val="false"/>
        </w:rPr>
      </w:pPr>
      <w:r>
        <w:rPr>
          <w:b w:val="false"/>
          <w:bCs w:val="false"/>
        </w:rPr>
        <w:t>“</w:t>
      </w:r>
      <w:r>
        <w:rPr>
          <w:b w:val="false"/>
          <w:bCs w:val="false"/>
        </w:rPr>
        <w:t>Fully functional prototype” means a playable build with all core gameplay mechanics implemented and working in a fun and meaningful way, sufficient for investor demonstration.</w:t>
      </w:r>
    </w:p>
    <w:p>
      <w:pPr>
        <w:pStyle w:val="TextBody"/>
        <w:numPr>
          <w:ilvl w:val="0"/>
          <w:numId w:val="0"/>
        </w:numPr>
        <w:spacing w:before="0" w:after="0"/>
        <w:ind w:hanging="0"/>
        <w:rPr>
          <w:b w:val="false"/>
          <w:bCs w:val="false"/>
        </w:rPr>
      </w:pPr>
      <w:r>
        <w:rPr>
          <w:b w:val="false"/>
          <w:bCs w:val="false"/>
        </w:rPr>
        <w:t>Early funding does not remove the requirement to complete the prototype.</w:t>
      </w:r>
    </w:p>
    <w:p>
      <w:pPr>
        <w:pStyle w:val="TextBody"/>
        <w:numPr>
          <w:ilvl w:val="0"/>
          <w:numId w:val="0"/>
        </w:numPr>
        <w:spacing w:before="0" w:after="0"/>
        <w:ind w:hanging="0"/>
        <w:rPr>
          <w:b w:val="false"/>
          <w:bCs w:val="false"/>
        </w:rPr>
      </w:pPr>
      <w:r>
        <w:rPr>
          <w:b w:val="false"/>
          <w:bCs w:val="false"/>
        </w:rPr>
        <w:t>If the Contractor ceases work or fails to deliver the prototype, the 1.5% profit share is forfeited.</w:t>
      </w:r>
    </w:p>
    <w:p>
      <w:pPr>
        <w:pStyle w:val="TextBody"/>
        <w:numPr>
          <w:ilvl w:val="0"/>
          <w:numId w:val="0"/>
        </w:numPr>
        <w:spacing w:before="0" w:after="0"/>
        <w:ind w:hanging="0"/>
        <w:rPr>
          <w:b w:val="false"/>
          <w:bCs w:val="false"/>
        </w:rPr>
      </w:pPr>
      <w:r>
        <w:rPr>
          <w:b w:val="false"/>
          <w:bCs w:val="false"/>
        </w:rPr>
        <w:t xml:space="preserve">Profit share payments will be calculated based on EmbodyGames’ accounting records and will be distributed </w:t>
      </w:r>
      <w:r>
        <w:rPr>
          <w:rStyle w:val="StrongEmphasis"/>
          <w:b w:val="false"/>
          <w:bCs w:val="false"/>
        </w:rPr>
        <w:t>on a reasonable schedule to be determined by EmbodyGames, which may be adjusted in the future as needed</w:t>
      </w:r>
      <w:r>
        <w:rPr>
          <w:b w:val="false"/>
          <w:bCs w:val="false"/>
        </w:rPr>
        <w:t xml:space="preserve">. </w:t>
      </w:r>
    </w:p>
    <w:p>
      <w:pPr>
        <w:pStyle w:val="TextBody"/>
        <w:widowControl/>
        <w:suppressAutoHyphens w:val="true"/>
        <w:bidi w:val="0"/>
        <w:spacing w:lineRule="auto" w:line="276" w:before="0" w:after="0"/>
        <w:ind w:start="269" w:end="0" w:hanging="0"/>
        <w:jc w:val="start"/>
        <w:rPr/>
      </w:pPr>
      <w:r>
        <w:rPr>
          <w:rStyle w:val="StrongEmphasis"/>
          <w:b w:val="false"/>
          <w:bCs w:val="false"/>
        </w:rPr>
        <w:t>Code Re-Use if Unfunded:</w:t>
      </w:r>
    </w:p>
    <w:p>
      <w:pPr>
        <w:pStyle w:val="TextBody"/>
        <w:numPr>
          <w:ilvl w:val="0"/>
          <w:numId w:val="0"/>
        </w:numPr>
        <w:spacing w:before="0" w:after="0"/>
        <w:ind w:hanging="0"/>
        <w:rPr/>
      </w:pPr>
      <w:r>
        <w:rPr>
          <w:b w:val="false"/>
          <w:bCs w:val="false"/>
        </w:rPr>
        <w:t xml:space="preserve">If Catnip does not receive funding within </w:t>
      </w:r>
      <w:r>
        <w:rPr>
          <w:rStyle w:val="StrongEmphasis"/>
          <w:b w:val="false"/>
          <w:bCs w:val="false"/>
        </w:rPr>
        <w:t>one (1) year of prototype completion</w:t>
      </w:r>
      <w:r>
        <w:rPr>
          <w:b w:val="false"/>
          <w:bCs w:val="false"/>
        </w:rPr>
        <w:t xml:space="preserve">, the Contractor retains the right to reuse any </w:t>
      </w:r>
      <w:r>
        <w:rPr>
          <w:rStyle w:val="StrongEmphasis"/>
          <w:b w:val="false"/>
          <w:bCs w:val="false"/>
        </w:rPr>
        <w:t>generic systems and code personally developed</w:t>
      </w:r>
      <w:r>
        <w:rPr>
          <w:b w:val="false"/>
          <w:bCs w:val="false"/>
        </w:rPr>
        <w:t xml:space="preserve"> (e.g., player controllers, modular systems) for personal or future projects, excluding any Catnip-specific art, story elements, or unique gameplay concepts.</w:t>
      </w:r>
    </w:p>
    <w:p>
      <w:pPr>
        <w:pStyle w:val="TextBody"/>
        <w:widowControl/>
        <w:suppressAutoHyphens w:val="true"/>
        <w:bidi w:val="0"/>
        <w:spacing w:lineRule="auto" w:line="276" w:before="0" w:after="0"/>
        <w:ind w:start="269" w:end="0" w:hanging="0"/>
        <w:jc w:val="start"/>
        <w:rPr/>
      </w:pPr>
      <w:r>
        <w:rPr>
          <w:rStyle w:val="StrongEmphasis"/>
          <w:b w:val="false"/>
          <w:bCs w:val="false"/>
        </w:rPr>
        <w:t>Expenses:</w:t>
      </w:r>
    </w:p>
    <w:p>
      <w:pPr>
        <w:pStyle w:val="TextBody"/>
        <w:numPr>
          <w:ilvl w:val="0"/>
          <w:numId w:val="0"/>
        </w:numPr>
        <w:spacing w:before="0" w:after="0"/>
        <w:ind w:hanging="0"/>
        <w:rPr>
          <w:b w:val="false"/>
          <w:bCs w:val="false"/>
        </w:rPr>
      </w:pPr>
      <w:r>
        <w:rPr>
          <w:b w:val="false"/>
          <w:bCs w:val="false"/>
        </w:rPr>
        <w:t>Any other expenses must be pre-approved in writing by EmbodyGames.</w:t>
      </w:r>
    </w:p>
    <w:p>
      <w:pPr>
        <w:pStyle w:val="LO-normal"/>
        <w:ind w:start="0" w:hanging="0"/>
        <w:rPr/>
      </w:pPr>
      <w:r>
        <w:rPr/>
      </w:r>
    </w:p>
    <w:p>
      <w:pPr>
        <w:pStyle w:val="TextBody"/>
        <w:spacing w:before="0" w:after="0"/>
        <w:ind w:start="0" w:hanging="0"/>
        <w:rPr>
          <w:rStyle w:val="Strong"/>
          <w:b w:val="false"/>
          <w:bCs w:val="false"/>
        </w:rPr>
      </w:pPr>
      <w:r>
        <w:rPr/>
      </w:r>
      <w:r>
        <w:br w:type="page"/>
      </w:r>
    </w:p>
    <w:p>
      <w:pPr>
        <w:pStyle w:val="TextBody"/>
        <w:spacing w:before="0" w:after="0"/>
        <w:ind w:start="0" w:hanging="0"/>
        <w:rPr/>
      </w:pPr>
      <w:r>
        <w:rPr>
          <w:rStyle w:val="Strong"/>
          <w:b w:val="false"/>
          <w:bCs w:val="false"/>
        </w:rPr>
        <w:t>7.</w:t>
      </w:r>
      <w:r>
        <w:rPr>
          <w:rStyle w:val="Strong"/>
        </w:rPr>
        <w:t xml:space="preserve"> CONFIDENTIAL WORK AND USAGE RESTRICTIONS</w:t>
      </w:r>
    </w:p>
    <w:p>
      <w:pPr>
        <w:pStyle w:val="TextBody"/>
        <w:widowControl/>
        <w:suppressAutoHyphens w:val="true"/>
        <w:bidi w:val="0"/>
        <w:spacing w:lineRule="auto" w:line="276" w:before="0" w:after="0"/>
        <w:ind w:start="269" w:end="0" w:hanging="0"/>
        <w:jc w:val="start"/>
        <w:rPr/>
      </w:pPr>
      <w:r>
        <w:rPr/>
        <w:t>From time to time, EmbodyGames may designate certain deliverables as confidential and non-disclosable (“Confidential Work”). EmbodyGames will inform the Contractor in writing when a deliverable falls under this category.</w:t>
      </w:r>
    </w:p>
    <w:p>
      <w:pPr>
        <w:pStyle w:val="TextBody"/>
        <w:widowControl/>
        <w:suppressAutoHyphens w:val="true"/>
        <w:bidi w:val="0"/>
        <w:spacing w:lineRule="auto" w:line="276" w:before="0" w:after="0"/>
        <w:ind w:start="269" w:end="0" w:hanging="0"/>
        <w:jc w:val="start"/>
        <w:rPr/>
      </w:pPr>
      <w:r>
        <w:rPr/>
        <w:t>For any such Confidential Work:</w:t>
      </w:r>
    </w:p>
    <w:p>
      <w:pPr>
        <w:pStyle w:val="TextBody"/>
        <w:numPr>
          <w:ilvl w:val="0"/>
          <w:numId w:val="0"/>
        </w:numPr>
        <w:tabs>
          <w:tab w:val="clear" w:pos="720"/>
          <w:tab w:val="left" w:pos="0" w:leader="none"/>
        </w:tabs>
        <w:spacing w:before="0" w:after="0"/>
        <w:ind w:start="709" w:hanging="0"/>
        <w:rPr/>
      </w:pPr>
      <w:r>
        <w:rPr/>
        <w:t>Contractor may not share, display, or disclose the work publicly or privately, including but not limited to portfolios, websites, social media, or job applications.</w:t>
      </w:r>
    </w:p>
    <w:p>
      <w:pPr>
        <w:pStyle w:val="TextBody"/>
        <w:numPr>
          <w:ilvl w:val="0"/>
          <w:numId w:val="0"/>
        </w:numPr>
        <w:tabs>
          <w:tab w:val="clear" w:pos="720"/>
          <w:tab w:val="left" w:pos="0" w:leader="none"/>
        </w:tabs>
        <w:spacing w:before="0" w:after="0"/>
        <w:ind w:start="709" w:hanging="0"/>
        <w:rPr/>
      </w:pPr>
      <w:r>
        <w:rPr/>
        <w:t>Contractor may not claim authorship, ownership, or creative contribution to the Confidential Work, unless otherwise authorized in writing by EmbodyGames.</w:t>
      </w:r>
    </w:p>
    <w:p>
      <w:pPr>
        <w:pStyle w:val="TextBody"/>
        <w:numPr>
          <w:ilvl w:val="0"/>
          <w:numId w:val="0"/>
        </w:numPr>
        <w:tabs>
          <w:tab w:val="clear" w:pos="720"/>
          <w:tab w:val="left" w:pos="0" w:leader="none"/>
        </w:tabs>
        <w:spacing w:before="0" w:after="0"/>
        <w:ind w:start="709" w:hanging="0"/>
        <w:rPr/>
      </w:pPr>
      <w:r>
        <w:rPr/>
        <w:t>Confidential Work remains the exclusive property of EmbodyGames and may not be reused or repurposed by the Contractor for any other project or purpose.</w:t>
      </w:r>
    </w:p>
    <w:p>
      <w:pPr>
        <w:pStyle w:val="TextBody"/>
        <w:numPr>
          <w:ilvl w:val="0"/>
          <w:numId w:val="0"/>
        </w:numPr>
        <w:tabs>
          <w:tab w:val="clear" w:pos="720"/>
          <w:tab w:val="left" w:pos="0" w:leader="none"/>
        </w:tabs>
        <w:spacing w:before="0" w:after="0"/>
        <w:ind w:hanging="0"/>
        <w:rPr/>
      </w:pPr>
      <w:r>
        <w:rPr/>
      </w:r>
    </w:p>
    <w:p>
      <w:pPr>
        <w:pStyle w:val="TextBody"/>
        <w:widowControl/>
        <w:suppressAutoHyphens w:val="true"/>
        <w:bidi w:val="0"/>
        <w:spacing w:lineRule="auto" w:line="276" w:before="0" w:after="140"/>
        <w:ind w:start="269" w:end="0" w:hanging="0"/>
        <w:jc w:val="start"/>
        <w:rPr/>
      </w:pPr>
      <w:r>
        <w:rPr/>
        <w:t>These restrictions will remain in effect indefinitely and survive the termination of this agreement.</w:t>
      </w:r>
    </w:p>
    <w:p>
      <w:pPr>
        <w:pStyle w:val="LO-normal"/>
        <w:ind w:start="0" w:hanging="0"/>
        <w:rPr/>
      </w:pPr>
      <w:r>
        <w:rPr/>
      </w:r>
    </w:p>
    <w:p>
      <w:pPr>
        <w:pStyle w:val="LO-normal"/>
        <w:rPr>
          <w:b/>
        </w:rPr>
      </w:pPr>
      <w:r>
        <w:rPr/>
        <w:t xml:space="preserve">8. </w:t>
      </w:r>
      <w:r>
        <w:rPr>
          <w:b/>
        </w:rPr>
        <w:t>CHANGE ORDER PROCEDURE</w:t>
      </w:r>
    </w:p>
    <w:p>
      <w:pPr>
        <w:pStyle w:val="LO-normal"/>
        <w:ind w:start="270" w:hanging="0"/>
        <w:rPr/>
      </w:pPr>
      <w:r>
        <w:rPr/>
        <w:t>All change orders must be mutually agreed upon in writing by both parties.</w:t>
      </w:r>
    </w:p>
    <w:p>
      <w:pPr>
        <w:pStyle w:val="LO-normal"/>
        <w:rPr/>
      </w:pPr>
      <w:r>
        <w:rPr/>
      </w:r>
    </w:p>
    <w:p>
      <w:pPr>
        <w:pStyle w:val="LO-normal"/>
        <w:rPr/>
      </w:pPr>
      <w:r>
        <w:rPr/>
      </w:r>
    </w:p>
    <w:p>
      <w:pPr>
        <w:pStyle w:val="LO-normal"/>
        <w:ind w:hanging="0"/>
        <w:rPr/>
      </w:pPr>
      <w:r>
        <w:rPr/>
      </w:r>
    </w:p>
    <w:p>
      <w:pPr>
        <w:pStyle w:val="LO-normal"/>
        <w:ind w:firstLine="450"/>
        <w:rPr/>
      </w:pPr>
      <w:r>
        <w:rPr/>
      </w:r>
    </w:p>
    <w:p>
      <w:pPr>
        <w:pStyle w:val="LO-normal"/>
        <w:ind w:start="0" w:hanging="0"/>
        <w:jc w:val="center"/>
        <w:rPr/>
      </w:pPr>
      <w:r>
        <w:rPr/>
        <w:t>[SIGNATURE PAGE FOLLOWS]</w:t>
      </w:r>
      <w:r>
        <w:br w:type="page"/>
      </w:r>
    </w:p>
    <w:p>
      <w:pPr>
        <w:pStyle w:val="LO-normal"/>
        <w:ind w:firstLine="450"/>
        <w:rPr/>
      </w:pPr>
      <w:r>
        <w:rPr/>
        <w:t>IN WITNESS WHEREOF, the Parties have executed this Statement of Work as of the latest date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r>
    </w:p>
    <w:p>
      <w:pPr>
        <w:pStyle w:val="LO-normal"/>
        <w:rPr/>
      </w:pPr>
      <w:r>
        <w:rPr/>
        <w:tab/>
        <w:tab/>
        <w:tab/>
      </w:r>
    </w:p>
    <w:p>
      <w:pPr>
        <w:pStyle w:val="LO-normal"/>
        <w:rPr/>
      </w:pPr>
      <w:r>
        <w:rPr/>
        <w:tab/>
        <w:tab/>
        <w:tab/>
        <w:tab/>
        <w:tab/>
      </w:r>
      <w:r>
        <w:rPr>
          <w:rFonts w:eastAsia="Palatino Linotype" w:cs="Palatino Linotype" w:ascii="Palatino Linotype" w:hAnsi="Palatino Linotype"/>
        </w:rPr>
        <w:t>WHOKNOWSSTUDIOS</w:t>
      </w:r>
      <w:r>
        <w:rPr>
          <w:rFonts w:ascii="Palatino Linotype" w:hAnsi="Palatino Linotype"/>
        </w:rPr>
        <w:t xml:space="preserve"> LLC</w:t>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tab/>
        <w:tab/>
        <w:tab/>
        <w:tab/>
        <w:tab/>
      </w:r>
    </w:p>
    <w:p>
      <w:pPr>
        <w:pStyle w:val="LO-normal"/>
        <w:jc w:val="center"/>
        <w:rPr/>
      </w:pPr>
      <w:r>
        <w:rPr/>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start="3600" w:firstLine="720"/>
        <w:jc w:val="start"/>
        <w:rPr/>
      </w:pPr>
      <w:r>
        <w:rPr/>
        <w:t>Signature</w:t>
      </w:r>
    </w:p>
    <w:p>
      <w:pPr>
        <w:pStyle w:val="LO-normal"/>
        <w:ind w:start="4320" w:firstLine="720"/>
        <w:jc w:val="start"/>
        <w:rPr/>
      </w:pPr>
      <w:r>
        <w:rPr/>
      </w:r>
    </w:p>
    <w:p>
      <w:pPr>
        <w:pStyle w:val="LO-normal"/>
        <w:ind w:start="4320" w:firstLine="720"/>
        <w:jc w:val="start"/>
        <w:rPr/>
      </w:pPr>
      <w:r>
        <w:rPr/>
      </w:r>
    </w:p>
    <w:p>
      <w:pPr>
        <w:pStyle w:val="LO-normal"/>
        <w:ind w:start="4320" w:hanging="0"/>
        <w:jc w:val="start"/>
        <w:rPr/>
      </w:pPr>
      <w:r>
        <w:rPr/>
        <w:t>_________________________________</w:t>
      </w:r>
    </w:p>
    <w:p>
      <w:pPr>
        <w:pStyle w:val="LO-normal"/>
        <w:ind w:start="4320" w:hanging="0"/>
        <w:jc w:val="star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Palatino Linotype">
    <w:charset w:val="00" w:characterSet="windows-1252"/>
    <w:family w:val="roman"/>
    <w:pitch w:val="variable"/>
  </w:font>
  <w:font w:name="Palatino Linotype">
    <w:charset w:val="01"/>
    <w:family w:val="roman"/>
    <w:pitch w:val="variable"/>
  </w:font>
  <w:font w:name="Calibri">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18252</TotalTime>
  <Application>LibreOffice/7.5.0.3$Windows_X86_64 LibreOffice_project/c21113d003cd3efa8c53188764377a8272d9d6de</Application>
  <AppVersion>15.0000</AppVersion>
  <Pages>12</Pages>
  <Words>3877</Words>
  <Characters>22154</Characters>
  <CharactersWithSpaces>26162</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2025-09-20T05:12:51Z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