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8"/>
        <w:gridCol w:w="1492"/>
        <w:gridCol w:w="1356"/>
        <w:gridCol w:w="1702"/>
        <w:gridCol w:w="3416"/>
      </w:tblGrid>
      <w:tr w14:paraId="243703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CC46F7">
            <w:pPr>
              <w:bidi w:val="0"/>
            </w:pPr>
            <w:r>
              <w:rPr>
                <w:rFonts w:hint="default"/>
                <w:lang w:val="en-US" w:eastAsia="zh-CN"/>
              </w:rPr>
              <w:t>Entry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378B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Module Target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D0B8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Generated AI Prompt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1C89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Defect Captured via Code Inspection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A3C5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Human Resolution &amp; Optimization</w:t>
            </w:r>
          </w:p>
        </w:tc>
      </w:tr>
      <w:tr w14:paraId="5DEE45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70A1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0164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MyGraph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A83D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"Generate a clean undirected graph add connection function using standard Java arrays."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E28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only appended Node B to Node A's edge tracker, completely missing reciprocal visibility configurations.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456C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Manually added the counterbalanced association reference string: nodeB.addEdge(nodeA); to honor undirected data platform properties.</w:t>
            </w:r>
          </w:p>
        </w:tc>
      </w:tr>
      <w:tr w14:paraId="2B6704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50A6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9ADB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SuggestionEngine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1994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"Write a basic breadth-first search logic loop for suggesting network paths."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0BB2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skipped initializing a closed-set tracking state array to isolate visited graph elements.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383F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Injected explicit tracking storage maps: boolean[] visited; to block cyclic traversal loops from triggering fatal engine crashes.</w:t>
            </w:r>
          </w:p>
        </w:tc>
      </w:tr>
      <w:tr w14:paraId="03B77E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DD1A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CF5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MyBST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6A35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"Generate an iterative insert element operation into a Binary Search Tree framework."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8261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neglected structural integrity filtering requirements if an incoming identifier perfectly matched pre-existing data keys.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8052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Built a functional preventive check block: if (newKey == currentKey) return; to lock out duplicated system entries safely.</w:t>
            </w:r>
          </w:p>
        </w:tc>
      </w:tr>
      <w:tr w14:paraId="1C5F9D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5677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BED0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DataStore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EE6F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"Parse structured local data object payloads using core org.json library classes."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299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initiated file reader streams without wrapping underlying tasks inside platform execution exceptions.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E91B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Encapsulated input logic routines inside guarded statements: try { ... } catch (JSONException e) to capture broken streams gracefully.</w:t>
            </w:r>
          </w:p>
        </w:tc>
      </w:tr>
      <w:tr w14:paraId="233FFC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4CE3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854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ApiServer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FA60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"Configure java internal HttpServer context routes returning json format strings."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164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omitted declaring proper internet media protocol headers within data exchange configurations.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9BC8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Forcefully appended appropriate connection header variables: exchange.getResponseHeaders().set("Content-Type", "application/json");.</w:t>
            </w:r>
          </w:p>
        </w:tc>
      </w:tr>
      <w:tr w14:paraId="7CD3F6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374E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B91C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AppInterface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1E32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"Fetch platform network object arrays asynchronously across web clients."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08E6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sequenced dependency assignment operations inside primitive structural execution blocks instead of waiting on incoming network calls.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EBF5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Restructured runtime execution chains safely inside explicit asynchronous boundaries using native JS keywords: async/await.</w:t>
            </w:r>
          </w:p>
        </w:tc>
      </w:tr>
      <w:tr w14:paraId="053A0F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DDC9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DAFA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Benchmark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6825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"Track precise algorithmic method processing speed durations across test samples."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9A53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called high-resolution timing APIs (System.nanoTime()) but applied faulty scaling equations during conversion routines.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2FEC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Rebuilt accurate time tracking calculations by enforcing correct translation divisions down to clean millisecond values.</w:t>
            </w:r>
          </w:p>
        </w:tc>
      </w:tr>
      <w:tr w14:paraId="6A4179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165C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79D9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Similarity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938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"Compute standard Jaccard Similarity index equations across two independent arrays."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6AC2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erroneously evaluated overall union metrics by measuring intersections against the single isolated length properties of User 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18D8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Rectified mathematical logic defects inside the core denominator formula using proper set properties: (SetA + SetB - Intersection).</w:t>
            </w:r>
          </w:p>
        </w:tc>
      </w:tr>
      <w:tr w14:paraId="5F58DB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C85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FAC1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MyQueue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3818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"Build a custom queue class layout based on linked node objects for BFS operations."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FA94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implemented standard dequeue lookups without verifying if inner head pointers were referencing null objects.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FA65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Appended runtime validation logic gates: if (isEmpty()) throw new NoSuchElementException(); to secure operational flow paths.</w:t>
            </w:r>
          </w:p>
        </w:tc>
      </w:tr>
      <w:tr w14:paraId="1DE418B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F6C8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4E6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MyMinHeap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442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"Implement an array-based min-heap trickle up bubble operation sequence."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EC78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wrote out loop boundary indexes using rigid fixed values that overlooked runtime capacity mutations.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2143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Replaced index constants with dynamic references pointing directly to active size attributes: while (index &gt; 0 &amp;&amp; parentIndex &gt;= 0).</w:t>
            </w:r>
          </w:p>
        </w:tc>
      </w:tr>
    </w:tbl>
    <w:p w14:paraId="39DAB2DE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02075"/>
    <w:rsid w:val="50F0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2026-05-30T01:31:00Z</dcterms:created>
  <dc:creator>Nhân Đinh</dc:creator>
  <cp:lastModifiedBy>Nhân Đinh</cp:lastModifiedBy>
  <dcterms:modified xsi:type="dcterms:W3CDTF">2026-05-30T01:34:46Z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B468FDA3B5714E4B940F5BC2DC2561B0_11</vt:lpwstr>
  </property>
  <property fmtid="{D5CDD505-2E9C-101B-9397-08002B2CF9AE}" pid="4" name="KSOTemplateDocerSaveRecord">
    <vt:lpwstr>eyJoZGlkIjoiOTRjNGMzNjNlYTkwNDQ4YmYxM2RhODgxODA2NDU5YTkiLCJ1c2VySWQiOiIxMzc0MzkzMzYxNjE4In0=</vt:lpwstr>
  </property>
</Properties>
</file>