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정보통신대학원 GITG 312: Crypto Basics and Network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Fal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One of the desirable properties of the cryptographic hash functions is ‘ireversibilty’. Describe ‘ireversibilty”.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Describe how ‘server authentication’ is performed in the SL/TLS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IPsec and 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Briefly describe the Security Asociation in the IPsec protocol.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Describe the (state) information maintained by the sending/receiving entiy of a security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asociation.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Describe briefly the DTLS protocol.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Describe the role of nonce used to combat he replay atack. Include in your answer the description 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explaining how the nonce works to do its role.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Describe the man-in-the-midle atack.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List some common symmetric ciphers or encryption algorithms used in the SL/TLS. 8. Explain the role of the sequence number embeded in the SL/TLS record.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Describe the truncation atack in SL/TLS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Describe the works achieved over the handshake phase of the SL/TLS protocol.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