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&lt;IT를 위한 금융시장&gt;은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1. PER를 이용한 적정주가 산출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2. 위험과 기대수익의 관계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3. 수익률곡선(또는 이자율의 기간구조)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4. 주가분석에 있어서의 기본적 분석과 기술적 분석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5. PER와 EV/EBITDA를 설명하시오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6. 듀레이션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7. 신용창조금액의 계산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8. 화폐수량설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9. 그레샴의 법칙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222222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10. 배당할인모형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