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4.png" ContentType="image/png"/>
  <Override PartName="/word/media/rId78.png" ContentType="image/png"/>
  <Override PartName="/word/media/rId82.png" ContentType="image/png"/>
  <Override PartName="/word/media/rId86.png" ContentType="image/png"/>
  <Override PartName="/word/media/rId90.png" ContentType="image/png"/>
  <Override PartName="/word/media/rId94.png" ContentType="image/png"/>
  <Override PartName="/word/media/rId98.png" ContentType="image/png"/>
  <Override PartName="/word/media/rId102.png" ContentType="image/png"/>
  <Override PartName="/word/media/rId106.png" ContentType="image/png"/>
  <Override PartName="/word/media/rId110.png" ContentType="image/png"/>
  <Override PartName="/word/media/rId114.png" ContentType="image/png"/>
  <Override PartName="/word/media/rId11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Quantitative</w:t>
      </w:r>
      <w:r>
        <w:t xml:space="preserve"> </w:t>
      </w:r>
      <w:r>
        <w:t xml:space="preserve">strategies</w:t>
      </w:r>
      <w:r>
        <w:t xml:space="preserve"> </w:t>
      </w:r>
      <w:r>
        <w:t xml:space="preserve">on</w:t>
      </w:r>
      <w:r>
        <w:t xml:space="preserve"> </w:t>
      </w:r>
      <w:r>
        <w:t xml:space="preserve">High</w:t>
      </w:r>
      <w:r>
        <w:t xml:space="preserve"> </w:t>
      </w:r>
      <w:r>
        <w:t xml:space="preserve">Frequency</w:t>
      </w:r>
      <w:r>
        <w:t xml:space="preserve"> </w:t>
      </w:r>
      <w:r>
        <w:t xml:space="preserve">Data</w:t>
      </w:r>
    </w:p>
    <w:p>
      <w:pPr>
        <w:pStyle w:val="Subtitle"/>
      </w:pPr>
      <w:r>
        <w:t xml:space="preserve">Final</w:t>
      </w:r>
      <w:r>
        <w:t xml:space="preserve"> </w:t>
      </w:r>
      <w:r>
        <w:t xml:space="preserve">Report</w:t>
      </w:r>
      <w:r>
        <w:t xml:space="preserve"> </w:t>
      </w:r>
      <w:r>
        <w:t xml:space="preserve">-</w:t>
      </w:r>
      <w:r>
        <w:t xml:space="preserve"> </w:t>
      </w:r>
      <w:r>
        <w:t xml:space="preserve">Submission</w:t>
      </w:r>
      <w:r>
        <w:t xml:space="preserve"> </w:t>
      </w:r>
      <w:r>
        <w:t xml:space="preserve">of</w:t>
      </w:r>
      <w:r>
        <w:t xml:space="preserve"> </w:t>
      </w:r>
      <w:r>
        <w:t xml:space="preserve">project</w:t>
      </w:r>
    </w:p>
    <w:p>
      <w:pPr>
        <w:pStyle w:val="Author"/>
      </w:pPr>
      <w:r>
        <w:t xml:space="preserve">Team</w:t>
      </w:r>
      <w:r>
        <w:t xml:space="preserve"> </w:t>
      </w:r>
      <w:r>
        <w:t xml:space="preserve">members:</w:t>
      </w:r>
      <w:r>
        <w:t xml:space="preserve"> </w:t>
      </w:r>
      <w:r>
        <w:t xml:space="preserve">Aziz</w:t>
      </w:r>
      <w:r>
        <w:t xml:space="preserve"> </w:t>
      </w:r>
      <w:r>
        <w:t xml:space="preserve">Aliev</w:t>
      </w:r>
      <w:r>
        <w:t xml:space="preserve"> </w:t>
      </w:r>
      <w:r>
        <w:t xml:space="preserve">and</w:t>
      </w:r>
      <w:r>
        <w:t xml:space="preserve"> </w:t>
      </w:r>
      <w:r>
        <w:t xml:space="preserve">Nijat</w:t>
      </w:r>
      <w:r>
        <w:t xml:space="preserve"> </w:t>
      </w:r>
      <w:r>
        <w:t xml:space="preserve">Hasanli</w:t>
      </w:r>
    </w:p>
    <w:p>
      <w:pPr>
        <w:pStyle w:val="Date"/>
      </w:pPr>
      <w:r>
        <w:t xml:space="preserve">academic</w:t>
      </w:r>
      <w:r>
        <w:t xml:space="preserve"> </w:t>
      </w:r>
      <w:r>
        <w:t xml:space="preserve">year</w:t>
      </w:r>
      <w:r>
        <w:t xml:space="preserve"> </w:t>
      </w:r>
      <w:r>
        <w:t xml:space="preserve">2023/2024</w:t>
      </w:r>
    </w:p>
    <w:bookmarkStart w:id="20" w:name="approaches-undertaken"/>
    <w:p>
      <w:pPr>
        <w:pStyle w:val="Heading1"/>
      </w:pPr>
      <w:r>
        <w:t xml:space="preserve">Approaches undertaken</w:t>
      </w:r>
    </w:p>
    <w:p>
      <w:pPr>
        <w:pStyle w:val="FirstParagraph"/>
      </w:pPr>
      <w:r>
        <w:t xml:space="preserve">Our project focused on Moving Averages (MAs), utilizing Crossing EMAs and Single EMA for both asset groups. We optimized MA parameters for each asset, incorporating them into the portfolio based on Net P&amp;L in both Momentum and Mean-Reverting Strategies.</w:t>
      </w:r>
    </w:p>
    <w:p>
      <w:pPr>
        <w:pStyle w:val="BodyText"/>
      </w:pPr>
      <w:r>
        <w:t xml:space="preserve">No additional assumptions have been considered, only the commonly accepted ones for both Group 1 and Group 2.</w:t>
      </w:r>
    </w:p>
    <w:p>
      <w:pPr>
        <w:pStyle w:val="BodyText"/>
      </w:pPr>
      <w:r>
        <w:t xml:space="preserve">To determine optimal MAs parameters, we utilized both the HeatMap method and manual exploration. When it comes to manual exploration, it was based on the open sources, such as books and forums which aims to test the parameters which are considered the</w:t>
      </w:r>
      <w:r>
        <w:t xml:space="preserve"> </w:t>
      </w:r>
      <w:r>
        <w:t xml:space="preserve">“</w:t>
      </w:r>
      <w:r>
        <w:t xml:space="preserve">best</w:t>
      </w:r>
      <w:r>
        <w:t xml:space="preserve">”</w:t>
      </w:r>
      <w:r>
        <w:t xml:space="preserve"> </w:t>
      </w:r>
      <w:r>
        <w:t xml:space="preserve">by public. Our primary focus was identifying the most profitable configurations across the entire timeframe. In cases where multiple settings proved lucrative, we assessed their consistency in generating profits on a quarterly basis.</w:t>
      </w:r>
    </w:p>
    <w:bookmarkEnd w:id="20"/>
    <w:bookmarkStart w:id="71" w:name="Xa0c0a70da7307b45f5e2775e2e90a373c34dbda"/>
    <w:p>
      <w:pPr>
        <w:pStyle w:val="Heading1"/>
      </w:pPr>
      <w:r>
        <w:t xml:space="preserve">Group 1 – summary of results (including out-of-sample)</w:t>
      </w:r>
    </w:p>
    <w:bookmarkStart w:id="21" w:name="finally-selected-strategy-for-group-1"/>
    <w:p>
      <w:pPr>
        <w:pStyle w:val="Heading2"/>
      </w:pPr>
      <w:r>
        <w:t xml:space="preserve">Finally selected strategy for group 1</w:t>
      </w:r>
    </w:p>
    <w:p>
      <w:pPr>
        <w:pStyle w:val="FirstParagraph"/>
      </w:pPr>
      <w:r>
        <w:t xml:space="preserve">When assessing Group 1 assets encompassing two indexes, our analysis spanned Momentum and Mean-Reverting strategies. However, we encountered challenges in achieving positive P&amp;Ls with the Mean-Reverting approach. Consequently, our focus shifted towards a Trending strategy, for which we identified optimal parameters leading to favorable outcomes.</w:t>
      </w:r>
    </w:p>
    <w:p>
      <w:pPr>
        <w:pStyle w:val="BodyText"/>
      </w:pPr>
      <w:r>
        <w:t xml:space="preserve">In comparing strategies, the Crossing EMAs technique exhibited superior P&amp;Ls compared to the Single EMA method. As a result, we opted for the Crossing EMAs approach and implemented the following set of parameters:</w:t>
      </w:r>
    </w:p>
    <w:p>
      <w:pPr>
        <w:pStyle w:val="BodyText"/>
      </w:pPr>
      <w:r>
        <w:rPr>
          <w:rStyle w:val="VerbatimChar"/>
        </w:rPr>
        <w:t xml:space="preserve">NASDAQ - 35/134</w:t>
      </w:r>
    </w:p>
    <w:p>
      <w:pPr>
        <w:pStyle w:val="BodyText"/>
      </w:pPr>
      <w:r>
        <w:rPr>
          <w:rStyle w:val="VerbatimChar"/>
        </w:rPr>
        <w:t xml:space="preserve">SP500 - 55/80</w:t>
      </w:r>
    </w:p>
    <w:p>
      <w:pPr>
        <w:pStyle w:val="SourceCode"/>
      </w:pPr>
      <w:r>
        <w:rPr>
          <w:rStyle w:val="VerbatimChar"/>
        </w:rPr>
        <w:t xml:space="preserve">## [1] 9277.55</w:t>
      </w:r>
    </w:p>
    <w:bookmarkEnd w:id="21"/>
    <w:bookmarkStart w:id="22" w:name="summary-of-results-for-group-1"/>
    <w:p>
      <w:pPr>
        <w:pStyle w:val="Heading2"/>
      </w:pPr>
      <w:r>
        <w:t xml:space="preserve">Summary of results for group 1</w:t>
      </w:r>
    </w:p>
    <w:tbl>
      <w:tblPr>
        <w:tblStyle w:val="Table"/>
        <w:tblW w:type="pct" w:w="5000"/>
        <w:tblLook w:firstRow="1" w:lastRow="0" w:firstColumn="0" w:lastColumn="0" w:noHBand="0" w:noVBand="0" w:val="0020"/>
        <w:jc w:val="start"/>
      </w:tblPr>
      <w:tblGrid>
        <w:gridCol w:w="792"/>
        <w:gridCol w:w="792"/>
        <w:gridCol w:w="594"/>
        <w:gridCol w:w="792"/>
        <w:gridCol w:w="594"/>
        <w:gridCol w:w="1683"/>
        <w:gridCol w:w="990"/>
        <w:gridCol w:w="990"/>
        <w:gridCol w:w="693"/>
      </w:tblGrid>
      <w:tr>
        <w:trPr>
          <w:tblHeader w:val="true"/>
        </w:trPr>
        <w:tc>
          <w:tcPr/>
          <w:p>
            <w:pPr>
              <w:pStyle w:val="Compact"/>
              <w:jc w:val="right"/>
            </w:pPr>
            <w:r>
              <w:t xml:space="preserve">quarter</w:t>
            </w:r>
          </w:p>
        </w:tc>
        <w:tc>
          <w:tcPr/>
          <w:p>
            <w:pPr>
              <w:pStyle w:val="Compact"/>
              <w:jc w:val="right"/>
            </w:pPr>
            <w:r>
              <w:t xml:space="preserve">grossSR</w:t>
            </w:r>
          </w:p>
        </w:tc>
        <w:tc>
          <w:tcPr/>
          <w:p>
            <w:pPr>
              <w:pStyle w:val="Compact"/>
              <w:jc w:val="right"/>
            </w:pPr>
            <w:r>
              <w:t xml:space="preserve">netSR</w:t>
            </w:r>
          </w:p>
        </w:tc>
        <w:tc>
          <w:tcPr/>
          <w:p>
            <w:pPr>
              <w:pStyle w:val="Compact"/>
              <w:jc w:val="right"/>
            </w:pPr>
            <w:r>
              <w:t xml:space="preserve">grossCR</w:t>
            </w:r>
          </w:p>
        </w:tc>
        <w:tc>
          <w:tcPr/>
          <w:p>
            <w:pPr>
              <w:pStyle w:val="Compact"/>
              <w:jc w:val="right"/>
            </w:pPr>
            <w:r>
              <w:t xml:space="preserve">netCR</w:t>
            </w:r>
          </w:p>
        </w:tc>
        <w:tc>
          <w:tcPr/>
          <w:p>
            <w:pPr>
              <w:pStyle w:val="Compact"/>
              <w:jc w:val="right"/>
            </w:pPr>
            <w:r>
              <w:t xml:space="preserve">av.daily.ntrades</w:t>
            </w:r>
          </w:p>
        </w:tc>
        <w:tc>
          <w:tcPr/>
          <w:p>
            <w:pPr>
              <w:pStyle w:val="Compact"/>
              <w:jc w:val="right"/>
            </w:pPr>
            <w:r>
              <w:t xml:space="preserve">grossPnL</w:t>
            </w:r>
          </w:p>
        </w:tc>
        <w:tc>
          <w:tcPr/>
          <w:p>
            <w:pPr>
              <w:pStyle w:val="Compact"/>
              <w:jc w:val="right"/>
            </w:pPr>
            <w:r>
              <w:t xml:space="preserve">netPnL</w:t>
            </w:r>
          </w:p>
        </w:tc>
        <w:tc>
          <w:tcPr/>
          <w:p>
            <w:pPr>
              <w:pStyle w:val="Compact"/>
              <w:jc w:val="right"/>
            </w:pPr>
            <w:r>
              <w:t xml:space="preserve">stat</w:t>
            </w:r>
          </w:p>
        </w:tc>
      </w:tr>
      <w:tr>
        <w:tc>
          <w:tcPr/>
          <w:p>
            <w:pPr>
              <w:pStyle w:val="Compact"/>
              <w:jc w:val="right"/>
            </w:pPr>
            <w:r>
              <w:t xml:space="preserve">2021_Q1</w:t>
            </w:r>
          </w:p>
        </w:tc>
        <w:tc>
          <w:tcPr/>
          <w:p>
            <w:pPr>
              <w:pStyle w:val="Compact"/>
              <w:jc w:val="right"/>
            </w:pPr>
            <w:r>
              <w:t xml:space="preserve">2.44</w:t>
            </w:r>
          </w:p>
        </w:tc>
        <w:tc>
          <w:tcPr/>
          <w:p>
            <w:pPr>
              <w:pStyle w:val="Compact"/>
              <w:jc w:val="right"/>
            </w:pPr>
            <w:r>
              <w:t xml:space="preserve">1.78</w:t>
            </w:r>
          </w:p>
        </w:tc>
        <w:tc>
          <w:tcPr/>
          <w:p>
            <w:pPr>
              <w:pStyle w:val="Compact"/>
              <w:jc w:val="right"/>
            </w:pPr>
            <w:r>
              <w:t xml:space="preserve">10.84</w:t>
            </w:r>
          </w:p>
        </w:tc>
        <w:tc>
          <w:tcPr/>
          <w:p>
            <w:pPr>
              <w:pStyle w:val="Compact"/>
              <w:jc w:val="right"/>
            </w:pPr>
            <w:r>
              <w:t xml:space="preserve">7.36</w:t>
            </w:r>
          </w:p>
        </w:tc>
        <w:tc>
          <w:tcPr/>
          <w:p>
            <w:pPr>
              <w:pStyle w:val="Compact"/>
              <w:jc w:val="right"/>
            </w:pPr>
            <w:r>
              <w:t xml:space="preserve">14.48</w:t>
            </w:r>
          </w:p>
        </w:tc>
        <w:tc>
          <w:tcPr/>
          <w:p>
            <w:pPr>
              <w:pStyle w:val="Compact"/>
              <w:jc w:val="right"/>
            </w:pPr>
            <w:r>
              <w:t xml:space="preserve">34546.62</w:t>
            </w:r>
          </w:p>
        </w:tc>
        <w:tc>
          <w:tcPr/>
          <w:p>
            <w:pPr>
              <w:pStyle w:val="Compact"/>
              <w:jc w:val="right"/>
            </w:pPr>
            <w:r>
              <w:t xml:space="preserve">25426.62</w:t>
            </w:r>
          </w:p>
        </w:tc>
        <w:tc>
          <w:tcPr/>
          <w:p>
            <w:pPr>
              <w:pStyle w:val="Compact"/>
              <w:jc w:val="right"/>
            </w:pPr>
            <w:r>
              <w:t xml:space="preserve">23.80</w:t>
            </w:r>
          </w:p>
        </w:tc>
      </w:tr>
      <w:tr>
        <w:tc>
          <w:tcPr/>
          <w:p>
            <w:pPr>
              <w:pStyle w:val="Compact"/>
              <w:jc w:val="right"/>
            </w:pPr>
            <w:r>
              <w:t xml:space="preserve">2021_Q2</w:t>
            </w:r>
          </w:p>
        </w:tc>
        <w:tc>
          <w:tcPr/>
          <w:p>
            <w:pPr>
              <w:pStyle w:val="Compact"/>
              <w:jc w:val="right"/>
            </w:pPr>
            <w:r>
              <w:t xml:space="preserve">-2.49</w:t>
            </w:r>
          </w:p>
        </w:tc>
        <w:tc>
          <w:tcPr/>
          <w:p>
            <w:pPr>
              <w:pStyle w:val="Compact"/>
              <w:jc w:val="right"/>
            </w:pPr>
            <w:r>
              <w:t xml:space="preserve">-3.42</w:t>
            </w:r>
          </w:p>
        </w:tc>
        <w:tc>
          <w:tcPr/>
          <w:p>
            <w:pPr>
              <w:pStyle w:val="Compact"/>
              <w:jc w:val="right"/>
            </w:pPr>
            <w:r>
              <w:t xml:space="preserve">-3.51</w:t>
            </w:r>
          </w:p>
        </w:tc>
        <w:tc>
          <w:tcPr/>
          <w:p>
            <w:pPr>
              <w:pStyle w:val="Compact"/>
              <w:jc w:val="right"/>
            </w:pPr>
            <w:r>
              <w:t xml:space="preserve">-3.87</w:t>
            </w:r>
          </w:p>
        </w:tc>
        <w:tc>
          <w:tcPr/>
          <w:p>
            <w:pPr>
              <w:pStyle w:val="Compact"/>
              <w:jc w:val="right"/>
            </w:pPr>
            <w:r>
              <w:t xml:space="preserve">16.16</w:t>
            </w:r>
          </w:p>
        </w:tc>
        <w:tc>
          <w:tcPr/>
          <w:p>
            <w:pPr>
              <w:pStyle w:val="Compact"/>
              <w:jc w:val="right"/>
            </w:pPr>
            <w:r>
              <w:t xml:space="preserve">-25445.72</w:t>
            </w:r>
          </w:p>
        </w:tc>
        <w:tc>
          <w:tcPr/>
          <w:p>
            <w:pPr>
              <w:pStyle w:val="Compact"/>
              <w:jc w:val="right"/>
            </w:pPr>
            <w:r>
              <w:t xml:space="preserve">-35785.72</w:t>
            </w:r>
          </w:p>
        </w:tc>
        <w:tc>
          <w:tcPr/>
          <w:p>
            <w:pPr>
              <w:pStyle w:val="Compact"/>
              <w:jc w:val="right"/>
            </w:pPr>
            <w:r>
              <w:t xml:space="preserve">-13.83</w:t>
            </w:r>
          </w:p>
        </w:tc>
      </w:tr>
      <w:tr>
        <w:tc>
          <w:tcPr/>
          <w:p>
            <w:pPr>
              <w:pStyle w:val="Compact"/>
              <w:jc w:val="right"/>
            </w:pPr>
            <w:r>
              <w:t xml:space="preserve">2021_Q3</w:t>
            </w:r>
          </w:p>
        </w:tc>
        <w:tc>
          <w:tcPr/>
          <w:p>
            <w:pPr>
              <w:pStyle w:val="Compact"/>
              <w:jc w:val="right"/>
            </w:pPr>
            <w:r>
              <w:t xml:space="preserve">0.36</w:t>
            </w:r>
          </w:p>
        </w:tc>
        <w:tc>
          <w:tcPr/>
          <w:p>
            <w:pPr>
              <w:pStyle w:val="Compact"/>
              <w:jc w:val="right"/>
            </w:pPr>
            <w:r>
              <w:t xml:space="preserve">-0.49</w:t>
            </w:r>
          </w:p>
        </w:tc>
        <w:tc>
          <w:tcPr/>
          <w:p>
            <w:pPr>
              <w:pStyle w:val="Compact"/>
              <w:jc w:val="right"/>
            </w:pPr>
            <w:r>
              <w:t xml:space="preserve">1.04</w:t>
            </w:r>
          </w:p>
        </w:tc>
        <w:tc>
          <w:tcPr/>
          <w:p>
            <w:pPr>
              <w:pStyle w:val="Compact"/>
              <w:jc w:val="right"/>
            </w:pPr>
            <w:r>
              <w:t xml:space="preserve">-1.32</w:t>
            </w:r>
          </w:p>
        </w:tc>
        <w:tc>
          <w:tcPr/>
          <w:p>
            <w:pPr>
              <w:pStyle w:val="Compact"/>
              <w:jc w:val="right"/>
            </w:pPr>
            <w:r>
              <w:t xml:space="preserve">13.36</w:t>
            </w:r>
          </w:p>
        </w:tc>
        <w:tc>
          <w:tcPr/>
          <w:p>
            <w:pPr>
              <w:pStyle w:val="Compact"/>
              <w:jc w:val="right"/>
            </w:pPr>
            <w:r>
              <w:t xml:space="preserve">3686.71</w:t>
            </w:r>
          </w:p>
        </w:tc>
        <w:tc>
          <w:tcPr/>
          <w:p>
            <w:pPr>
              <w:pStyle w:val="Compact"/>
              <w:jc w:val="right"/>
            </w:pPr>
            <w:r>
              <w:t xml:space="preserve">-5133.29</w:t>
            </w:r>
          </w:p>
        </w:tc>
        <w:tc>
          <w:tcPr/>
          <w:p>
            <w:pPr>
              <w:pStyle w:val="Compact"/>
              <w:jc w:val="right"/>
            </w:pPr>
            <w:r>
              <w:t xml:space="preserve">-2.15</w:t>
            </w:r>
          </w:p>
        </w:tc>
      </w:tr>
      <w:tr>
        <w:tc>
          <w:tcPr/>
          <w:p>
            <w:pPr>
              <w:pStyle w:val="Compact"/>
              <w:jc w:val="right"/>
            </w:pPr>
            <w:r>
              <w:t xml:space="preserve">2021_Q4</w:t>
            </w:r>
          </w:p>
        </w:tc>
        <w:tc>
          <w:tcPr/>
          <w:p>
            <w:pPr>
              <w:pStyle w:val="Compact"/>
              <w:jc w:val="right"/>
            </w:pPr>
            <w:r>
              <w:t xml:space="preserve">4.79</w:t>
            </w:r>
          </w:p>
        </w:tc>
        <w:tc>
          <w:tcPr/>
          <w:p>
            <w:pPr>
              <w:pStyle w:val="Compact"/>
              <w:jc w:val="right"/>
            </w:pPr>
            <w:r>
              <w:t xml:space="preserve">4.14</w:t>
            </w:r>
          </w:p>
        </w:tc>
        <w:tc>
          <w:tcPr/>
          <w:p>
            <w:pPr>
              <w:pStyle w:val="Compact"/>
              <w:jc w:val="right"/>
            </w:pPr>
            <w:r>
              <w:t xml:space="preserve">26.33</w:t>
            </w:r>
          </w:p>
        </w:tc>
        <w:tc>
          <w:tcPr/>
          <w:p>
            <w:pPr>
              <w:pStyle w:val="Compact"/>
              <w:jc w:val="right"/>
            </w:pPr>
            <w:r>
              <w:t xml:space="preserve">22.41</w:t>
            </w:r>
          </w:p>
        </w:tc>
        <w:tc>
          <w:tcPr/>
          <w:p>
            <w:pPr>
              <w:pStyle w:val="Compact"/>
              <w:jc w:val="right"/>
            </w:pPr>
            <w:r>
              <w:t xml:space="preserve">13.52</w:t>
            </w:r>
          </w:p>
        </w:tc>
        <w:tc>
          <w:tcPr/>
          <w:p>
            <w:pPr>
              <w:pStyle w:val="Compact"/>
              <w:jc w:val="right"/>
            </w:pPr>
            <w:r>
              <w:t xml:space="preserve">70959.00</w:t>
            </w:r>
          </w:p>
        </w:tc>
        <w:tc>
          <w:tcPr/>
          <w:p>
            <w:pPr>
              <w:pStyle w:val="Compact"/>
              <w:jc w:val="right"/>
            </w:pPr>
            <w:r>
              <w:t xml:space="preserve">62039.00</w:t>
            </w:r>
          </w:p>
        </w:tc>
        <w:tc>
          <w:tcPr/>
          <w:p>
            <w:pPr>
              <w:pStyle w:val="Compact"/>
              <w:jc w:val="right"/>
            </w:pPr>
            <w:r>
              <w:t xml:space="preserve">92.49</w:t>
            </w:r>
          </w:p>
        </w:tc>
      </w:tr>
      <w:tr>
        <w:tc>
          <w:tcPr/>
          <w:p>
            <w:pPr>
              <w:pStyle w:val="Compact"/>
              <w:jc w:val="right"/>
            </w:pPr>
            <w:r>
              <w:t xml:space="preserve">2022_Q1</w:t>
            </w:r>
          </w:p>
        </w:tc>
        <w:tc>
          <w:tcPr/>
          <w:p>
            <w:pPr>
              <w:pStyle w:val="Compact"/>
              <w:jc w:val="right"/>
            </w:pPr>
            <w:r>
              <w:t xml:space="preserve">3.58</w:t>
            </w:r>
          </w:p>
        </w:tc>
        <w:tc>
          <w:tcPr/>
          <w:p>
            <w:pPr>
              <w:pStyle w:val="Compact"/>
              <w:jc w:val="right"/>
            </w:pPr>
            <w:r>
              <w:t xml:space="preserve">3.11</w:t>
            </w:r>
          </w:p>
        </w:tc>
        <w:tc>
          <w:tcPr/>
          <w:p>
            <w:pPr>
              <w:pStyle w:val="Compact"/>
              <w:jc w:val="right"/>
            </w:pPr>
            <w:r>
              <w:t xml:space="preserve">11.01</w:t>
            </w:r>
          </w:p>
        </w:tc>
        <w:tc>
          <w:tcPr/>
          <w:p>
            <w:pPr>
              <w:pStyle w:val="Compact"/>
              <w:jc w:val="right"/>
            </w:pPr>
            <w:r>
              <w:t xml:space="preserve">8.94</w:t>
            </w:r>
          </w:p>
        </w:tc>
        <w:tc>
          <w:tcPr/>
          <w:p>
            <w:pPr>
              <w:pStyle w:val="Compact"/>
              <w:jc w:val="right"/>
            </w:pPr>
            <w:r>
              <w:t xml:space="preserve">14.06</w:t>
            </w:r>
          </w:p>
        </w:tc>
        <w:tc>
          <w:tcPr/>
          <w:p>
            <w:pPr>
              <w:pStyle w:val="Compact"/>
              <w:jc w:val="right"/>
            </w:pPr>
            <w:r>
              <w:t xml:space="preserve">72921.37</w:t>
            </w:r>
          </w:p>
        </w:tc>
        <w:tc>
          <w:tcPr/>
          <w:p>
            <w:pPr>
              <w:pStyle w:val="Compact"/>
              <w:jc w:val="right"/>
            </w:pPr>
            <w:r>
              <w:t xml:space="preserve">63921.37</w:t>
            </w:r>
          </w:p>
        </w:tc>
        <w:tc>
          <w:tcPr/>
          <w:p>
            <w:pPr>
              <w:pStyle w:val="Compact"/>
              <w:jc w:val="right"/>
            </w:pPr>
            <w:r>
              <w:t xml:space="preserve">37.19</w:t>
            </w:r>
          </w:p>
        </w:tc>
      </w:tr>
      <w:tr>
        <w:tc>
          <w:tcPr/>
          <w:p>
            <w:pPr>
              <w:pStyle w:val="Compact"/>
              <w:jc w:val="right"/>
            </w:pPr>
            <w:r>
              <w:t xml:space="preserve">2022_Q2</w:t>
            </w:r>
          </w:p>
        </w:tc>
        <w:tc>
          <w:tcPr/>
          <w:p>
            <w:pPr>
              <w:pStyle w:val="Compact"/>
              <w:jc w:val="right"/>
            </w:pPr>
            <w:r>
              <w:t xml:space="preserve">0.30</w:t>
            </w:r>
          </w:p>
        </w:tc>
        <w:tc>
          <w:tcPr/>
          <w:p>
            <w:pPr>
              <w:pStyle w:val="Compact"/>
              <w:jc w:val="right"/>
            </w:pPr>
            <w:r>
              <w:t xml:space="preserve">-0.09</w:t>
            </w:r>
          </w:p>
        </w:tc>
        <w:tc>
          <w:tcPr/>
          <w:p>
            <w:pPr>
              <w:pStyle w:val="Compact"/>
              <w:jc w:val="right"/>
            </w:pPr>
            <w:r>
              <w:t xml:space="preserve">0.63</w:t>
            </w:r>
          </w:p>
        </w:tc>
        <w:tc>
          <w:tcPr/>
          <w:p>
            <w:pPr>
              <w:pStyle w:val="Compact"/>
              <w:jc w:val="right"/>
            </w:pPr>
            <w:r>
              <w:t xml:space="preserve">-0.16</w:t>
            </w:r>
          </w:p>
        </w:tc>
        <w:tc>
          <w:tcPr/>
          <w:p>
            <w:pPr>
              <w:pStyle w:val="Compact"/>
              <w:jc w:val="right"/>
            </w:pPr>
            <w:r>
              <w:t xml:space="preserve">14.49</w:t>
            </w:r>
          </w:p>
        </w:tc>
        <w:tc>
          <w:tcPr/>
          <w:p>
            <w:pPr>
              <w:pStyle w:val="Compact"/>
              <w:jc w:val="right"/>
            </w:pPr>
            <w:r>
              <w:t xml:space="preserve">7325.08</w:t>
            </w:r>
          </w:p>
        </w:tc>
        <w:tc>
          <w:tcPr/>
          <w:p>
            <w:pPr>
              <w:pStyle w:val="Compact"/>
              <w:jc w:val="right"/>
            </w:pPr>
            <w:r>
              <w:t xml:space="preserve">-2094.92</w:t>
            </w:r>
          </w:p>
        </w:tc>
        <w:tc>
          <w:tcPr/>
          <w:p>
            <w:pPr>
              <w:pStyle w:val="Compact"/>
              <w:jc w:val="right"/>
            </w:pPr>
            <w:r>
              <w:t xml:space="preserve">-0.12</w:t>
            </w:r>
          </w:p>
        </w:tc>
      </w:tr>
      <w:tr>
        <w:tc>
          <w:tcPr/>
          <w:p>
            <w:pPr>
              <w:pStyle w:val="Compact"/>
              <w:jc w:val="right"/>
            </w:pPr>
            <w:r>
              <w:t xml:space="preserve">2022_Q3</w:t>
            </w:r>
          </w:p>
        </w:tc>
        <w:tc>
          <w:tcPr/>
          <w:p>
            <w:pPr>
              <w:pStyle w:val="Compact"/>
              <w:jc w:val="right"/>
            </w:pPr>
            <w:r>
              <w:t xml:space="preserve">-0.35</w:t>
            </w:r>
          </w:p>
        </w:tc>
        <w:tc>
          <w:tcPr/>
          <w:p>
            <w:pPr>
              <w:pStyle w:val="Compact"/>
              <w:jc w:val="right"/>
            </w:pPr>
            <w:r>
              <w:t xml:space="preserve">-0.80</w:t>
            </w:r>
          </w:p>
        </w:tc>
        <w:tc>
          <w:tcPr/>
          <w:p>
            <w:pPr>
              <w:pStyle w:val="Compact"/>
              <w:jc w:val="right"/>
            </w:pPr>
            <w:r>
              <w:t xml:space="preserve">-0.71</w:t>
            </w:r>
          </w:p>
        </w:tc>
        <w:tc>
          <w:tcPr/>
          <w:p>
            <w:pPr>
              <w:pStyle w:val="Compact"/>
              <w:jc w:val="right"/>
            </w:pPr>
            <w:r>
              <w:t xml:space="preserve">-1.41</w:t>
            </w:r>
          </w:p>
        </w:tc>
        <w:tc>
          <w:tcPr/>
          <w:p>
            <w:pPr>
              <w:pStyle w:val="Compact"/>
              <w:jc w:val="right"/>
            </w:pPr>
            <w:r>
              <w:t xml:space="preserve">14.27</w:t>
            </w:r>
          </w:p>
        </w:tc>
        <w:tc>
          <w:tcPr/>
          <w:p>
            <w:pPr>
              <w:pStyle w:val="Compact"/>
              <w:jc w:val="right"/>
            </w:pPr>
            <w:r>
              <w:t xml:space="preserve">-7074.86</w:t>
            </w:r>
          </w:p>
        </w:tc>
        <w:tc>
          <w:tcPr/>
          <w:p>
            <w:pPr>
              <w:pStyle w:val="Compact"/>
              <w:jc w:val="right"/>
            </w:pPr>
            <w:r>
              <w:t xml:space="preserve">-16494.86</w:t>
            </w:r>
          </w:p>
        </w:tc>
        <w:tc>
          <w:tcPr/>
          <w:p>
            <w:pPr>
              <w:pStyle w:val="Compact"/>
              <w:jc w:val="right"/>
            </w:pPr>
            <w:r>
              <w:t xml:space="preserve">-3.96</w:t>
            </w:r>
          </w:p>
        </w:tc>
      </w:tr>
      <w:tr>
        <w:tc>
          <w:tcPr/>
          <w:p>
            <w:pPr>
              <w:pStyle w:val="Compact"/>
              <w:jc w:val="right"/>
            </w:pPr>
            <w:r>
              <w:t xml:space="preserve">2022_Q4</w:t>
            </w:r>
          </w:p>
        </w:tc>
        <w:tc>
          <w:tcPr/>
          <w:p>
            <w:pPr>
              <w:pStyle w:val="Compact"/>
              <w:jc w:val="right"/>
            </w:pPr>
            <w:r>
              <w:t xml:space="preserve">0.55</w:t>
            </w:r>
          </w:p>
        </w:tc>
        <w:tc>
          <w:tcPr/>
          <w:p>
            <w:pPr>
              <w:pStyle w:val="Compact"/>
              <w:jc w:val="right"/>
            </w:pPr>
            <w:r>
              <w:t xml:space="preserve">0.11</w:t>
            </w:r>
          </w:p>
        </w:tc>
        <w:tc>
          <w:tcPr/>
          <w:p>
            <w:pPr>
              <w:pStyle w:val="Compact"/>
              <w:jc w:val="right"/>
            </w:pPr>
            <w:r>
              <w:t xml:space="preserve">1.68</w:t>
            </w:r>
          </w:p>
        </w:tc>
        <w:tc>
          <w:tcPr/>
          <w:p>
            <w:pPr>
              <w:pStyle w:val="Compact"/>
              <w:jc w:val="right"/>
            </w:pPr>
            <w:r>
              <w:t xml:space="preserve">0.32</w:t>
            </w:r>
          </w:p>
        </w:tc>
        <w:tc>
          <w:tcPr/>
          <w:p>
            <w:pPr>
              <w:pStyle w:val="Compact"/>
              <w:jc w:val="right"/>
            </w:pPr>
            <w:r>
              <w:t xml:space="preserve">13.63</w:t>
            </w:r>
          </w:p>
        </w:tc>
        <w:tc>
          <w:tcPr/>
          <w:p>
            <w:pPr>
              <w:pStyle w:val="Compact"/>
              <w:jc w:val="right"/>
            </w:pPr>
            <w:r>
              <w:t xml:space="preserve">11023.33</w:t>
            </w:r>
          </w:p>
        </w:tc>
        <w:tc>
          <w:tcPr/>
          <w:p>
            <w:pPr>
              <w:pStyle w:val="Compact"/>
              <w:jc w:val="right"/>
            </w:pPr>
            <w:r>
              <w:t xml:space="preserve">2163.33</w:t>
            </w:r>
          </w:p>
        </w:tc>
        <w:tc>
          <w:tcPr/>
          <w:p>
            <w:pPr>
              <w:pStyle w:val="Compact"/>
              <w:jc w:val="right"/>
            </w:pPr>
            <w:r>
              <w:t xml:space="preserve">0.24</w:t>
            </w:r>
          </w:p>
        </w:tc>
      </w:tr>
      <w:tr>
        <w:tc>
          <w:tcPr/>
          <w:p>
            <w:pPr>
              <w:pStyle w:val="Compact"/>
              <w:jc w:val="right"/>
            </w:pPr>
            <w:r>
              <w:t xml:space="preserve">2023_Q1</w:t>
            </w:r>
          </w:p>
        </w:tc>
        <w:tc>
          <w:tcPr/>
          <w:p>
            <w:pPr>
              <w:pStyle w:val="Compact"/>
              <w:jc w:val="right"/>
            </w:pPr>
            <w:r>
              <w:t xml:space="preserve">2.68</w:t>
            </w:r>
          </w:p>
        </w:tc>
        <w:tc>
          <w:tcPr/>
          <w:p>
            <w:pPr>
              <w:pStyle w:val="Compact"/>
              <w:jc w:val="right"/>
            </w:pPr>
            <w:r>
              <w:t xml:space="preserve">2.14</w:t>
            </w:r>
          </w:p>
        </w:tc>
        <w:tc>
          <w:tcPr/>
          <w:p>
            <w:pPr>
              <w:pStyle w:val="Compact"/>
              <w:jc w:val="right"/>
            </w:pPr>
            <w:r>
              <w:t xml:space="preserve">9.24</w:t>
            </w:r>
          </w:p>
        </w:tc>
        <w:tc>
          <w:tcPr/>
          <w:p>
            <w:pPr>
              <w:pStyle w:val="Compact"/>
              <w:jc w:val="right"/>
            </w:pPr>
            <w:r>
              <w:t xml:space="preserve">7.23</w:t>
            </w:r>
          </w:p>
        </w:tc>
        <w:tc>
          <w:tcPr/>
          <w:p>
            <w:pPr>
              <w:pStyle w:val="Compact"/>
              <w:jc w:val="right"/>
            </w:pPr>
            <w:r>
              <w:t xml:space="preserve">12.03</w:t>
            </w:r>
          </w:p>
        </w:tc>
        <w:tc>
          <w:tcPr/>
          <w:p>
            <w:pPr>
              <w:pStyle w:val="Compact"/>
              <w:jc w:val="right"/>
            </w:pPr>
            <w:r>
              <w:t xml:space="preserve">40843.04</w:t>
            </w:r>
          </w:p>
        </w:tc>
        <w:tc>
          <w:tcPr/>
          <w:p>
            <w:pPr>
              <w:pStyle w:val="Compact"/>
              <w:jc w:val="right"/>
            </w:pPr>
            <w:r>
              <w:t xml:space="preserve">33043.04</w:t>
            </w:r>
          </w:p>
        </w:tc>
        <w:tc>
          <w:tcPr/>
          <w:p>
            <w:pPr>
              <w:pStyle w:val="Compact"/>
              <w:jc w:val="right"/>
            </w:pPr>
            <w:r>
              <w:t xml:space="preserve">25.29</w:t>
            </w:r>
          </w:p>
        </w:tc>
      </w:tr>
      <w:tr>
        <w:tc>
          <w:tcPr/>
          <w:p>
            <w:pPr>
              <w:pStyle w:val="Compact"/>
              <w:jc w:val="right"/>
            </w:pPr>
            <w:r>
              <w:t xml:space="preserve">2023_Q2</w:t>
            </w:r>
          </w:p>
        </w:tc>
        <w:tc>
          <w:tcPr/>
          <w:p>
            <w:pPr>
              <w:pStyle w:val="Compact"/>
              <w:jc w:val="right"/>
            </w:pPr>
            <w:r>
              <w:t xml:space="preserve">0.62</w:t>
            </w:r>
          </w:p>
        </w:tc>
        <w:tc>
          <w:tcPr/>
          <w:p>
            <w:pPr>
              <w:pStyle w:val="Compact"/>
              <w:jc w:val="right"/>
            </w:pPr>
            <w:r>
              <w:t xml:space="preserve">0.04</w:t>
            </w:r>
          </w:p>
        </w:tc>
        <w:tc>
          <w:tcPr/>
          <w:p>
            <w:pPr>
              <w:pStyle w:val="Compact"/>
              <w:jc w:val="right"/>
            </w:pPr>
            <w:r>
              <w:t xml:space="preserve">1.82</w:t>
            </w:r>
          </w:p>
        </w:tc>
        <w:tc>
          <w:tcPr/>
          <w:p>
            <w:pPr>
              <w:pStyle w:val="Compact"/>
              <w:jc w:val="right"/>
            </w:pPr>
            <w:r>
              <w:t xml:space="preserve">0.10</w:t>
            </w:r>
          </w:p>
        </w:tc>
        <w:tc>
          <w:tcPr/>
          <w:p>
            <w:pPr>
              <w:pStyle w:val="Compact"/>
              <w:jc w:val="right"/>
            </w:pPr>
            <w:r>
              <w:t xml:space="preserve">11.75</w:t>
            </w:r>
          </w:p>
        </w:tc>
        <w:tc>
          <w:tcPr/>
          <w:p>
            <w:pPr>
              <w:pStyle w:val="Compact"/>
              <w:jc w:val="right"/>
            </w:pPr>
            <w:r>
              <w:t xml:space="preserve">7960.02</w:t>
            </w:r>
          </w:p>
        </w:tc>
        <w:tc>
          <w:tcPr/>
          <w:p>
            <w:pPr>
              <w:pStyle w:val="Compact"/>
              <w:jc w:val="right"/>
            </w:pPr>
            <w:r>
              <w:t xml:space="preserve">480.02</w:t>
            </w:r>
          </w:p>
        </w:tc>
        <w:tc>
          <w:tcPr/>
          <w:p>
            <w:pPr>
              <w:pStyle w:val="Compact"/>
              <w:jc w:val="right"/>
            </w:pPr>
            <w:r>
              <w:t xml:space="preserve">0.00</w:t>
            </w:r>
          </w:p>
        </w:tc>
      </w:tr>
      <w:tr>
        <w:tc>
          <w:tcPr/>
          <w:p>
            <w:pPr>
              <w:pStyle w:val="Compact"/>
              <w:jc w:val="right"/>
            </w:pPr>
            <w:r>
              <w:t xml:space="preserve">2023_Q3</w:t>
            </w:r>
          </w:p>
        </w:tc>
        <w:tc>
          <w:tcPr/>
          <w:p>
            <w:pPr>
              <w:pStyle w:val="Compact"/>
              <w:jc w:val="right"/>
            </w:pPr>
            <w:r>
              <w:t xml:space="preserve">-0.57</w:t>
            </w:r>
          </w:p>
        </w:tc>
        <w:tc>
          <w:tcPr/>
          <w:p>
            <w:pPr>
              <w:pStyle w:val="Compact"/>
              <w:jc w:val="right"/>
            </w:pPr>
            <w:r>
              <w:t xml:space="preserve">-1.29</w:t>
            </w:r>
          </w:p>
        </w:tc>
        <w:tc>
          <w:tcPr/>
          <w:p>
            <w:pPr>
              <w:pStyle w:val="Compact"/>
              <w:jc w:val="right"/>
            </w:pPr>
            <w:r>
              <w:t xml:space="preserve">-1.57</w:t>
            </w:r>
          </w:p>
        </w:tc>
        <w:tc>
          <w:tcPr/>
          <w:p>
            <w:pPr>
              <w:pStyle w:val="Compact"/>
              <w:jc w:val="right"/>
            </w:pPr>
            <w:r>
              <w:t xml:space="preserve">-2.50</w:t>
            </w:r>
          </w:p>
        </w:tc>
        <w:tc>
          <w:tcPr/>
          <w:p>
            <w:pPr>
              <w:pStyle w:val="Compact"/>
              <w:jc w:val="right"/>
            </w:pPr>
            <w:r>
              <w:t xml:space="preserve">14.68</w:t>
            </w:r>
          </w:p>
        </w:tc>
        <w:tc>
          <w:tcPr/>
          <w:p>
            <w:pPr>
              <w:pStyle w:val="Compact"/>
              <w:jc w:val="right"/>
            </w:pPr>
            <w:r>
              <w:t xml:space="preserve">-7273.42</w:t>
            </w:r>
          </w:p>
        </w:tc>
        <w:tc>
          <w:tcPr/>
          <w:p>
            <w:pPr>
              <w:pStyle w:val="Compact"/>
              <w:jc w:val="right"/>
            </w:pPr>
            <w:r>
              <w:t xml:space="preserve">-16793.42</w:t>
            </w:r>
          </w:p>
        </w:tc>
        <w:tc>
          <w:tcPr/>
          <w:p>
            <w:pPr>
              <w:pStyle w:val="Compact"/>
              <w:jc w:val="right"/>
            </w:pPr>
            <w:r>
              <w:t xml:space="preserve">-7.06</w:t>
            </w:r>
          </w:p>
        </w:tc>
      </w:tr>
      <w:tr>
        <w:tc>
          <w:tcPr/>
          <w:p>
            <w:pPr>
              <w:pStyle w:val="Compact"/>
              <w:jc w:val="right"/>
            </w:pPr>
            <w:r>
              <w:t xml:space="preserve">2023_Q4</w:t>
            </w:r>
          </w:p>
        </w:tc>
        <w:tc>
          <w:tcPr/>
          <w:p>
            <w:pPr>
              <w:pStyle w:val="Compact"/>
              <w:jc w:val="right"/>
            </w:pPr>
            <w:r>
              <w:t xml:space="preserve">1.50</w:t>
            </w:r>
          </w:p>
        </w:tc>
        <w:tc>
          <w:tcPr/>
          <w:p>
            <w:pPr>
              <w:pStyle w:val="Compact"/>
              <w:jc w:val="right"/>
            </w:pPr>
            <w:r>
              <w:t xml:space="preserve">0.72</w:t>
            </w:r>
          </w:p>
        </w:tc>
        <w:tc>
          <w:tcPr/>
          <w:p>
            <w:pPr>
              <w:pStyle w:val="Compact"/>
              <w:jc w:val="right"/>
            </w:pPr>
            <w:r>
              <w:t xml:space="preserve">4.89</w:t>
            </w:r>
          </w:p>
        </w:tc>
        <w:tc>
          <w:tcPr/>
          <w:p>
            <w:pPr>
              <w:pStyle w:val="Compact"/>
              <w:jc w:val="right"/>
            </w:pPr>
            <w:r>
              <w:t xml:space="preserve">1.83</w:t>
            </w:r>
          </w:p>
        </w:tc>
        <w:tc>
          <w:tcPr/>
          <w:p>
            <w:pPr>
              <w:pStyle w:val="Compact"/>
              <w:jc w:val="right"/>
            </w:pPr>
            <w:r>
              <w:t xml:space="preserve">14.53</w:t>
            </w:r>
          </w:p>
        </w:tc>
        <w:tc>
          <w:tcPr/>
          <w:p>
            <w:pPr>
              <w:pStyle w:val="Compact"/>
              <w:jc w:val="right"/>
            </w:pPr>
            <w:r>
              <w:t xml:space="preserve">18274.36</w:t>
            </w:r>
          </w:p>
        </w:tc>
        <w:tc>
          <w:tcPr/>
          <w:p>
            <w:pPr>
              <w:pStyle w:val="Compact"/>
              <w:jc w:val="right"/>
            </w:pPr>
            <w:r>
              <w:t xml:space="preserve">8974.36</w:t>
            </w:r>
          </w:p>
        </w:tc>
        <w:tc>
          <w:tcPr/>
          <w:p>
            <w:pPr>
              <w:pStyle w:val="Compact"/>
              <w:jc w:val="right"/>
            </w:pPr>
            <w:r>
              <w:t xml:space="preserve">4.02</w:t>
            </w:r>
          </w:p>
        </w:tc>
      </w:tr>
    </w:tbl>
    <w:p>
      <w:pPr>
        <w:pStyle w:val="BodyText"/>
      </w:pPr>
      <w:r>
        <w:t xml:space="preserve">Even though we have positive Gross P&amp;L for most of the quarters, due to the transaction costs, our Net P&amp;L has become negative for five quarters.These quarters are from Out-of-Sample data. However, in comparison with the quarters which are positive, these losses do not have a huge impact on our model’s overall performance.</w:t>
      </w:r>
    </w:p>
    <w:p>
      <w:pPr>
        <w:pStyle w:val="BodyText"/>
      </w:pPr>
      <w:r>
        <w:t xml:space="preserve">In reality, it is not always achievable to make profit consistently.</w:t>
      </w:r>
    </w:p>
    <w:bookmarkEnd w:id="22"/>
    <w:bookmarkStart w:id="26" w:name="X64166a83320cc86bef48002a0038d6579332bdd"/>
    <w:p>
      <w:pPr>
        <w:pStyle w:val="Heading2"/>
      </w:pPr>
      <w:r>
        <w:t xml:space="preserve">PnL of results for</w:t>
      </w:r>
      <w:r>
        <w:t xml:space="preserve"> </w:t>
      </w:r>
      <w:r>
        <w:rPr>
          <w:bCs/>
          <w:b/>
        </w:rPr>
        <w:t xml:space="preserve">group 1</w:t>
      </w:r>
      <w:r>
        <w:t xml:space="preserve"> </w:t>
      </w:r>
      <w:r>
        <w:t xml:space="preserve">– quarter 2021Q1</w:t>
      </w:r>
    </w:p>
    <w:p>
      <w:pPr>
        <w:pStyle w:val="FirstParagraph"/>
      </w:pPr>
      <w:r>
        <w:drawing>
          <wp:inline>
            <wp:extent cx="5334000" cy="3200400"/>
            <wp:effectExtent b="0" l="0" r="0" t="0"/>
            <wp:docPr descr="" title="" id="24" name="Picture"/>
            <a:graphic>
              <a:graphicData uri="http://schemas.openxmlformats.org/drawingml/2006/picture">
                <pic:pic>
                  <pic:nvPicPr>
                    <pic:cNvPr descr="pnl_group1_2021_Q1.png" id="25" name="Picture"/>
                    <pic:cNvPicPr>
                      <a:picLocks noChangeArrowheads="1" noChangeAspect="1"/>
                    </pic:cNvPicPr>
                  </pic:nvPicPr>
                  <pic:blipFill>
                    <a:blip r:embed="rId23"/>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Began with modest returns, saw a significant profit surge in the second part of the quarter, but ended with a decrease in Net P&amp;L from roughly $37,000 to $25,000 due to unprofitable final transactions.</w:t>
      </w:r>
    </w:p>
    <w:bookmarkEnd w:id="26"/>
    <w:bookmarkStart w:id="30" w:name="Xff45bd1c02b65f09aef298f314bb5280b4d744b"/>
    <w:p>
      <w:pPr>
        <w:pStyle w:val="Heading2"/>
      </w:pPr>
      <w:r>
        <w:t xml:space="preserve">PnL of results for</w:t>
      </w:r>
      <w:r>
        <w:t xml:space="preserve"> </w:t>
      </w:r>
      <w:r>
        <w:rPr>
          <w:bCs/>
          <w:b/>
        </w:rPr>
        <w:t xml:space="preserve">group 1</w:t>
      </w:r>
      <w:r>
        <w:t xml:space="preserve"> </w:t>
      </w:r>
      <w:r>
        <w:t xml:space="preserve">– quarter 2021Q2</w:t>
      </w:r>
    </w:p>
    <w:p>
      <w:pPr>
        <w:pStyle w:val="FirstParagraph"/>
      </w:pPr>
      <w:r>
        <w:drawing>
          <wp:inline>
            <wp:extent cx="5334000" cy="3200400"/>
            <wp:effectExtent b="0" l="0" r="0" t="0"/>
            <wp:docPr descr="" title="" id="28" name="Picture"/>
            <a:graphic>
              <a:graphicData uri="http://schemas.openxmlformats.org/drawingml/2006/picture">
                <pic:pic>
                  <pic:nvPicPr>
                    <pic:cNvPr descr="pnl_group1_2021_Q2.png" id="29" name="Picture"/>
                    <pic:cNvPicPr>
                      <a:picLocks noChangeArrowheads="1" noChangeAspect="1"/>
                    </pic:cNvPicPr>
                  </pic:nvPicPr>
                  <pic:blipFill>
                    <a:blip r:embed="rId27"/>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For Q2 2021, our model experienced significant losses with both gross and net profit and loss (PnL) being negative. Performance ratios such as Sharpe and Calmar also turned negative, indicating a downturn in risk-adjusted returns and increased losses relative to the risk taken.</w:t>
      </w:r>
    </w:p>
    <w:bookmarkEnd w:id="30"/>
    <w:bookmarkStart w:id="34" w:name="Xe83c1d1c03da0fcecacdd52315ad6415c199686"/>
    <w:p>
      <w:pPr>
        <w:pStyle w:val="Heading2"/>
      </w:pPr>
      <w:r>
        <w:t xml:space="preserve">PnL of results for</w:t>
      </w:r>
      <w:r>
        <w:t xml:space="preserve"> </w:t>
      </w:r>
      <w:r>
        <w:rPr>
          <w:bCs/>
          <w:b/>
        </w:rPr>
        <w:t xml:space="preserve">group 1</w:t>
      </w:r>
      <w:r>
        <w:t xml:space="preserve"> </w:t>
      </w:r>
      <w:r>
        <w:t xml:space="preserve">– quarter 2021Q3</w:t>
      </w:r>
    </w:p>
    <w:p>
      <w:pPr>
        <w:pStyle w:val="FirstParagraph"/>
      </w:pPr>
      <w:r>
        <w:drawing>
          <wp:inline>
            <wp:extent cx="5334000" cy="3200400"/>
            <wp:effectExtent b="0" l="0" r="0" t="0"/>
            <wp:docPr descr="" title="" id="32" name="Picture"/>
            <a:graphic>
              <a:graphicData uri="http://schemas.openxmlformats.org/drawingml/2006/picture">
                <pic:pic>
                  <pic:nvPicPr>
                    <pic:cNvPr descr="pnl_group1_2021_Q3.png" id="33" name="Picture"/>
                    <pic:cNvPicPr>
                      <a:picLocks noChangeArrowheads="1" noChangeAspect="1"/>
                    </pic:cNvPicPr>
                  </pic:nvPicPr>
                  <pic:blipFill>
                    <a:blip r:embed="rId31"/>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It has the lowest Net P&amp;L value. Especially recent transactions have completely eradicated any earnings. In general, there is a considerable amount of erratic movement, particularly with a negative impact.</w:t>
      </w:r>
    </w:p>
    <w:bookmarkEnd w:id="34"/>
    <w:bookmarkStart w:id="38" w:name="X35cf5cf30ade69b28d64f5d5b6b41cea407e7f8"/>
    <w:p>
      <w:pPr>
        <w:pStyle w:val="Heading2"/>
      </w:pPr>
      <w:r>
        <w:t xml:space="preserve">PnL of results for</w:t>
      </w:r>
      <w:r>
        <w:t xml:space="preserve"> </w:t>
      </w:r>
      <w:r>
        <w:rPr>
          <w:bCs/>
          <w:b/>
        </w:rPr>
        <w:t xml:space="preserve">group 1</w:t>
      </w:r>
      <w:r>
        <w:t xml:space="preserve"> </w:t>
      </w:r>
      <w:r>
        <w:t xml:space="preserve">– quarter 2021Q4</w:t>
      </w:r>
    </w:p>
    <w:p>
      <w:pPr>
        <w:pStyle w:val="FirstParagraph"/>
      </w:pPr>
      <w:r>
        <w:drawing>
          <wp:inline>
            <wp:extent cx="5334000" cy="3200400"/>
            <wp:effectExtent b="0" l="0" r="0" t="0"/>
            <wp:docPr descr="" title="" id="36" name="Picture"/>
            <a:graphic>
              <a:graphicData uri="http://schemas.openxmlformats.org/drawingml/2006/picture">
                <pic:pic>
                  <pic:nvPicPr>
                    <pic:cNvPr descr="pnl_group1_2021_Q4.png" id="37" name="Picture"/>
                    <pic:cNvPicPr>
                      <a:picLocks noChangeArrowheads="1" noChangeAspect="1"/>
                    </pic:cNvPicPr>
                  </pic:nvPicPr>
                  <pic:blipFill>
                    <a:blip r:embed="rId35"/>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quarter marked the highest profitability, yielding a net profit of around $62,000. The strategy has consistently stayed in positive territory, ensuring a continuous stream of profits throughout the entire quarter. The higher Sharpe ratio and Stat indicates strong risk-adjusted returns and the statistical significance, respectively.</w:t>
      </w:r>
    </w:p>
    <w:bookmarkEnd w:id="38"/>
    <w:bookmarkStart w:id="42" w:name="X0ca350d03acc110ba0853780781d671dbbfd7f1"/>
    <w:p>
      <w:pPr>
        <w:pStyle w:val="Heading2"/>
      </w:pPr>
      <w:r>
        <w:t xml:space="preserve">PnL of results for</w:t>
      </w:r>
      <w:r>
        <w:t xml:space="preserve"> </w:t>
      </w:r>
      <w:r>
        <w:rPr>
          <w:bCs/>
          <w:b/>
        </w:rPr>
        <w:t xml:space="preserve">group 1</w:t>
      </w:r>
      <w:r>
        <w:t xml:space="preserve"> </w:t>
      </w:r>
      <w:r>
        <w:t xml:space="preserve">– quarter 2022Q1</w:t>
      </w:r>
    </w:p>
    <w:p>
      <w:pPr>
        <w:pStyle w:val="FirstParagraph"/>
      </w:pPr>
      <w:r>
        <w:drawing>
          <wp:inline>
            <wp:extent cx="5334000" cy="3200400"/>
            <wp:effectExtent b="0" l="0" r="0" t="0"/>
            <wp:docPr descr="" title="" id="40" name="Picture"/>
            <a:graphic>
              <a:graphicData uri="http://schemas.openxmlformats.org/drawingml/2006/picture">
                <pic:pic>
                  <pic:nvPicPr>
                    <pic:cNvPr descr="pnl_group1_2022_Q1.png" id="41" name="Picture"/>
                    <pic:cNvPicPr>
                      <a:picLocks noChangeArrowheads="1" noChangeAspect="1"/>
                    </pic:cNvPicPr>
                  </pic:nvPicPr>
                  <pic:blipFill>
                    <a:blip r:embed="rId39"/>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For Q1 2022, our model showed strong positive performance with high gross and net profits and favorable risk-adjusted return ratios.</w:t>
      </w:r>
    </w:p>
    <w:bookmarkEnd w:id="42"/>
    <w:bookmarkStart w:id="46" w:name="X254af02c77aa00588d48387c96f77940363f6c7"/>
    <w:p>
      <w:pPr>
        <w:pStyle w:val="Heading2"/>
      </w:pPr>
      <w:r>
        <w:t xml:space="preserve">PnL of results for</w:t>
      </w:r>
      <w:r>
        <w:t xml:space="preserve"> </w:t>
      </w:r>
      <w:r>
        <w:rPr>
          <w:bCs/>
          <w:b/>
        </w:rPr>
        <w:t xml:space="preserve">group 1</w:t>
      </w:r>
      <w:r>
        <w:t xml:space="preserve"> </w:t>
      </w:r>
      <w:r>
        <w:t xml:space="preserve">– quarter 2022Q2</w:t>
      </w:r>
    </w:p>
    <w:p>
      <w:pPr>
        <w:pStyle w:val="FirstParagraph"/>
      </w:pPr>
      <w:r>
        <w:drawing>
          <wp:inline>
            <wp:extent cx="5334000" cy="3200400"/>
            <wp:effectExtent b="0" l="0" r="0" t="0"/>
            <wp:docPr descr="" title="" id="44" name="Picture"/>
            <a:graphic>
              <a:graphicData uri="http://schemas.openxmlformats.org/drawingml/2006/picture">
                <pic:pic>
                  <pic:nvPicPr>
                    <pic:cNvPr descr="pnl_group1_2022_Q2.png" id="45" name="Picture"/>
                    <pic:cNvPicPr>
                      <a:picLocks noChangeArrowheads="1" noChangeAspect="1"/>
                    </pic:cNvPicPr>
                  </pic:nvPicPr>
                  <pic:blipFill>
                    <a:blip r:embed="rId43"/>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During this quarter, the number of average daily trades is the highest. The strategy proved itself in the mid-quarter, but ended up with negative return due to losses from positions as well as transaction costs.</w:t>
      </w:r>
    </w:p>
    <w:bookmarkEnd w:id="46"/>
    <w:bookmarkStart w:id="50" w:name="X4f3ec5d7b7f78515ca068b9e9a8107019207e50"/>
    <w:p>
      <w:pPr>
        <w:pStyle w:val="Heading2"/>
      </w:pPr>
      <w:r>
        <w:t xml:space="preserve">PnL of results for</w:t>
      </w:r>
      <w:r>
        <w:t xml:space="preserve"> </w:t>
      </w:r>
      <w:r>
        <w:rPr>
          <w:bCs/>
          <w:b/>
        </w:rPr>
        <w:t xml:space="preserve">group 1</w:t>
      </w:r>
      <w:r>
        <w:t xml:space="preserve"> </w:t>
      </w:r>
      <w:r>
        <w:t xml:space="preserve">– quarter 2022Q3</w:t>
      </w:r>
    </w:p>
    <w:p>
      <w:pPr>
        <w:pStyle w:val="FirstParagraph"/>
      </w:pPr>
      <w:r>
        <w:drawing>
          <wp:inline>
            <wp:extent cx="5334000" cy="3200400"/>
            <wp:effectExtent b="0" l="0" r="0" t="0"/>
            <wp:docPr descr="" title="" id="48" name="Picture"/>
            <a:graphic>
              <a:graphicData uri="http://schemas.openxmlformats.org/drawingml/2006/picture">
                <pic:pic>
                  <pic:nvPicPr>
                    <pic:cNvPr descr="pnl_group1_2022_Q3.png" id="49" name="Picture"/>
                    <pic:cNvPicPr>
                      <a:picLocks noChangeArrowheads="1" noChangeAspect="1"/>
                    </pic:cNvPicPr>
                  </pic:nvPicPr>
                  <pic:blipFill>
                    <a:blip r:embed="rId47"/>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For Q3 2022, our model saw negative returns, with a decline in both gross and net profits, and negative performance ratios.</w:t>
      </w:r>
    </w:p>
    <w:bookmarkEnd w:id="50"/>
    <w:bookmarkStart w:id="54" w:name="X3f6eb65812fe1618857c557268f7988ea68c73d"/>
    <w:p>
      <w:pPr>
        <w:pStyle w:val="Heading2"/>
      </w:pPr>
      <w:r>
        <w:t xml:space="preserve">PnL of results for</w:t>
      </w:r>
      <w:r>
        <w:t xml:space="preserve"> </w:t>
      </w:r>
      <w:r>
        <w:rPr>
          <w:bCs/>
          <w:b/>
        </w:rPr>
        <w:t xml:space="preserve">group 1</w:t>
      </w:r>
      <w:r>
        <w:t xml:space="preserve"> </w:t>
      </w:r>
      <w:r>
        <w:t xml:space="preserve">– quarter 2022Q4</w:t>
      </w:r>
    </w:p>
    <w:p>
      <w:pPr>
        <w:pStyle w:val="FirstParagraph"/>
      </w:pPr>
      <w:r>
        <w:drawing>
          <wp:inline>
            <wp:extent cx="5334000" cy="3200400"/>
            <wp:effectExtent b="0" l="0" r="0" t="0"/>
            <wp:docPr descr="" title="" id="52" name="Picture"/>
            <a:graphic>
              <a:graphicData uri="http://schemas.openxmlformats.org/drawingml/2006/picture">
                <pic:pic>
                  <pic:nvPicPr>
                    <pic:cNvPr descr="pnl_group1_2022_Q4.png" id="53" name="Picture"/>
                    <pic:cNvPicPr>
                      <a:picLocks noChangeArrowheads="1" noChangeAspect="1"/>
                    </pic:cNvPicPr>
                  </pic:nvPicPr>
                  <pic:blipFill>
                    <a:blip r:embed="rId51"/>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This quarter shows positive success rates, gains before and after costs. The difference between Gross and Net is about $9,000 - our gains from positions has not been that much, mostly small gains from a lot of positions. This is the reason why we have $9,000 transaction costs.</w:t>
      </w:r>
    </w:p>
    <w:bookmarkEnd w:id="54"/>
    <w:bookmarkStart w:id="58" w:name="Xd87e71237003373454583fd51d11a6c4759ecd7"/>
    <w:p>
      <w:pPr>
        <w:pStyle w:val="Heading2"/>
      </w:pPr>
      <w:r>
        <w:t xml:space="preserve">PnL of results for</w:t>
      </w:r>
      <w:r>
        <w:t xml:space="preserve"> </w:t>
      </w:r>
      <w:r>
        <w:rPr>
          <w:bCs/>
          <w:b/>
        </w:rPr>
        <w:t xml:space="preserve">group 1</w:t>
      </w:r>
      <w:r>
        <w:t xml:space="preserve"> </w:t>
      </w:r>
      <w:r>
        <w:t xml:space="preserve">– quarter 2023Q1</w:t>
      </w:r>
    </w:p>
    <w:p>
      <w:pPr>
        <w:pStyle w:val="FirstParagraph"/>
      </w:pPr>
      <w:r>
        <w:drawing>
          <wp:inline>
            <wp:extent cx="5334000" cy="3200400"/>
            <wp:effectExtent b="0" l="0" r="0" t="0"/>
            <wp:docPr descr="" title="" id="56" name="Picture"/>
            <a:graphic>
              <a:graphicData uri="http://schemas.openxmlformats.org/drawingml/2006/picture">
                <pic:pic>
                  <pic:nvPicPr>
                    <pic:cNvPr descr="pnl_group1_2023_Q1.png" id="57" name="Picture"/>
                    <pic:cNvPicPr>
                      <a:picLocks noChangeArrowheads="1" noChangeAspect="1"/>
                    </pic:cNvPicPr>
                  </pic:nvPicPr>
                  <pic:blipFill>
                    <a:blip r:embed="rId55"/>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approach consistently maintained a profitable P&amp;L, and recent transactions have propelled it to its peak P&amp;L level. For such a significant profit, transaction costs are only $ 8,000. Unlike 2022Q4, we have entered</w:t>
      </w:r>
      <w:r>
        <w:t xml:space="preserve"> </w:t>
      </w:r>
      <w:r>
        <w:rPr>
          <w:bCs/>
          <w:b/>
        </w:rPr>
        <w:t xml:space="preserve">fewer trades</w:t>
      </w:r>
      <w:r>
        <w:t xml:space="preserve">, but</w:t>
      </w:r>
      <w:r>
        <w:t xml:space="preserve"> </w:t>
      </w:r>
      <w:r>
        <w:rPr>
          <w:bCs/>
          <w:b/>
        </w:rPr>
        <w:t xml:space="preserve">profitable</w:t>
      </w:r>
      <w:r>
        <w:t xml:space="preserve"> </w:t>
      </w:r>
      <w:r>
        <w:t xml:space="preserve">ones.</w:t>
      </w:r>
    </w:p>
    <w:bookmarkEnd w:id="58"/>
    <w:bookmarkStart w:id="62" w:name="Xe5b92a9a6ccfa805bd77dde3bdfe98d923ee568"/>
    <w:p>
      <w:pPr>
        <w:pStyle w:val="Heading2"/>
      </w:pPr>
      <w:r>
        <w:t xml:space="preserve">PnL of results for</w:t>
      </w:r>
      <w:r>
        <w:t xml:space="preserve"> </w:t>
      </w:r>
      <w:r>
        <w:rPr>
          <w:bCs/>
          <w:b/>
        </w:rPr>
        <w:t xml:space="preserve">group 1</w:t>
      </w:r>
      <w:r>
        <w:t xml:space="preserve"> </w:t>
      </w:r>
      <w:r>
        <w:t xml:space="preserve">– quarter 2023Q2</w:t>
      </w:r>
    </w:p>
    <w:p>
      <w:pPr>
        <w:pStyle w:val="FirstParagraph"/>
      </w:pPr>
      <w:r>
        <w:drawing>
          <wp:inline>
            <wp:extent cx="5334000" cy="3200400"/>
            <wp:effectExtent b="0" l="0" r="0" t="0"/>
            <wp:docPr descr="" title="" id="60" name="Picture"/>
            <a:graphic>
              <a:graphicData uri="http://schemas.openxmlformats.org/drawingml/2006/picture">
                <pic:pic>
                  <pic:nvPicPr>
                    <pic:cNvPr descr="pnl_group1_2023_Q2.png" id="61" name="Picture"/>
                    <pic:cNvPicPr>
                      <a:picLocks noChangeArrowheads="1" noChangeAspect="1"/>
                    </pic:cNvPicPr>
                  </pic:nvPicPr>
                  <pic:blipFill>
                    <a:blip r:embed="rId59"/>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Following a challenging first half of the quarter marked by substantial losses, the strategy managed to recover in the latter part, yielding a profit of $15,000. Unfortunately, the positive trend was short-lived, as the strategy experienced a subsequent decline, nearly reaching zero.</w:t>
      </w:r>
    </w:p>
    <w:bookmarkEnd w:id="62"/>
    <w:bookmarkStart w:id="66" w:name="X82f4ff396a4bc20ba762e457e70780a757892d9"/>
    <w:p>
      <w:pPr>
        <w:pStyle w:val="Heading2"/>
      </w:pPr>
      <w:r>
        <w:t xml:space="preserve">PnL of results for</w:t>
      </w:r>
      <w:r>
        <w:t xml:space="preserve"> </w:t>
      </w:r>
      <w:r>
        <w:rPr>
          <w:bCs/>
          <w:b/>
        </w:rPr>
        <w:t xml:space="preserve">group 1</w:t>
      </w:r>
      <w:r>
        <w:t xml:space="preserve"> </w:t>
      </w:r>
      <w:r>
        <w:t xml:space="preserve">– quarter 2023Q3</w:t>
      </w:r>
    </w:p>
    <w:p>
      <w:pPr>
        <w:pStyle w:val="FirstParagraph"/>
      </w:pPr>
      <w:r>
        <w:drawing>
          <wp:inline>
            <wp:extent cx="5334000" cy="3200400"/>
            <wp:effectExtent b="0" l="0" r="0" t="0"/>
            <wp:docPr descr="" title="" id="64" name="Picture"/>
            <a:graphic>
              <a:graphicData uri="http://schemas.openxmlformats.org/drawingml/2006/picture">
                <pic:pic>
                  <pic:nvPicPr>
                    <pic:cNvPr descr="pnl_group1_2023_Q3.png" id="65" name="Picture"/>
                    <pic:cNvPicPr>
                      <a:picLocks noChangeArrowheads="1" noChangeAspect="1"/>
                    </pic:cNvPicPr>
                  </pic:nvPicPr>
                  <pic:blipFill>
                    <a:blip r:embed="rId63"/>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In Q3 2023, our model faced a downturn with negative gross and net profits, and a decline in performance ratios.</w:t>
      </w:r>
    </w:p>
    <w:bookmarkEnd w:id="66"/>
    <w:bookmarkStart w:id="70" w:name="X7572b2a8edec02989d505141dfebd4db335c67d"/>
    <w:p>
      <w:pPr>
        <w:pStyle w:val="Heading2"/>
      </w:pPr>
      <w:r>
        <w:t xml:space="preserve">PnL of results for</w:t>
      </w:r>
      <w:r>
        <w:t xml:space="preserve"> </w:t>
      </w:r>
      <w:r>
        <w:rPr>
          <w:bCs/>
          <w:b/>
        </w:rPr>
        <w:t xml:space="preserve">group 1</w:t>
      </w:r>
      <w:r>
        <w:t xml:space="preserve"> </w:t>
      </w:r>
      <w:r>
        <w:t xml:space="preserve">– quarter 2023Q4</w:t>
      </w:r>
    </w:p>
    <w:p>
      <w:pPr>
        <w:pStyle w:val="FirstParagraph"/>
      </w:pPr>
      <w:r>
        <w:drawing>
          <wp:inline>
            <wp:extent cx="5334000" cy="3200400"/>
            <wp:effectExtent b="0" l="0" r="0" t="0"/>
            <wp:docPr descr="" title="" id="68" name="Picture"/>
            <a:graphic>
              <a:graphicData uri="http://schemas.openxmlformats.org/drawingml/2006/picture">
                <pic:pic>
                  <pic:nvPicPr>
                    <pic:cNvPr descr="pnl_group1_2023_Q4.png" id="69" name="Picture"/>
                    <pic:cNvPicPr>
                      <a:picLocks noChangeArrowheads="1" noChangeAspect="1"/>
                    </pic:cNvPicPr>
                  </pic:nvPicPr>
                  <pic:blipFill>
                    <a:blip r:embed="rId67"/>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In Q4 2023, our model showed positive results with improved gross and net profits and better performance ratios compared to the previous quarter.</w:t>
      </w:r>
    </w:p>
    <w:bookmarkEnd w:id="70"/>
    <w:bookmarkEnd w:id="71"/>
    <w:bookmarkStart w:id="122" w:name="X086ab722369426fb4e17c66e39bdf1b95e918d6"/>
    <w:p>
      <w:pPr>
        <w:pStyle w:val="Heading1"/>
      </w:pPr>
      <w:r>
        <w:t xml:space="preserve">Group 2 – summary of results (including out-of-sample)</w:t>
      </w:r>
    </w:p>
    <w:bookmarkStart w:id="72" w:name="finally-selected-strategy-for-group-2"/>
    <w:p>
      <w:pPr>
        <w:pStyle w:val="Heading2"/>
      </w:pPr>
      <w:r>
        <w:t xml:space="preserve">Finally selected strategy for group 2</w:t>
      </w:r>
    </w:p>
    <w:p>
      <w:pPr>
        <w:pStyle w:val="FirstParagraph"/>
      </w:pPr>
      <w:r>
        <w:t xml:space="preserve">For Group 2 assets which includes two currencies and two commodities, we checked Momentum and Mean-Reverting strategies. Based on our research we decided to continue with to Mean-Reverting strategy because of its profitability.</w:t>
      </w:r>
    </w:p>
    <w:p>
      <w:pPr>
        <w:pStyle w:val="BodyText"/>
      </w:pPr>
      <w:r>
        <w:t xml:space="preserve">We started with finding the optimal parameters for each of them individually, and then combining as a portfolio the ones that reached desirable outcomes.</w:t>
      </w:r>
    </w:p>
    <w:p>
      <w:pPr>
        <w:pStyle w:val="BodyText"/>
      </w:pPr>
      <w:r>
        <w:t xml:space="preserve">After our research, we decided to remove AUD and CAD. They didn’t yield much profit and the results was not reliable for such reason.</w:t>
      </w:r>
    </w:p>
    <w:p>
      <w:pPr>
        <w:pStyle w:val="BodyText"/>
      </w:pPr>
      <w:r>
        <w:t xml:space="preserve">The P&amp;Ls of Crossing EMAs was higher that Single EMA technique, so we preferred Crossing EMAs approach and used below parameters:</w:t>
      </w:r>
    </w:p>
    <w:p>
      <w:pPr>
        <w:pStyle w:val="BodyText"/>
      </w:pPr>
      <w:r>
        <w:rPr>
          <w:rStyle w:val="VerbatimChar"/>
        </w:rPr>
        <w:t xml:space="preserve">XAG - 67/118</w:t>
      </w:r>
    </w:p>
    <w:p>
      <w:pPr>
        <w:pStyle w:val="BodyText"/>
      </w:pPr>
      <w:r>
        <w:rPr>
          <w:rStyle w:val="VerbatimChar"/>
        </w:rPr>
        <w:t xml:space="preserve">XAU - 191/570</w:t>
      </w:r>
    </w:p>
    <w:p>
      <w:pPr>
        <w:pStyle w:val="SourceCode"/>
      </w:pPr>
      <w:r>
        <w:rPr>
          <w:rStyle w:val="VerbatimChar"/>
        </w:rPr>
        <w:t xml:space="preserve">## [1] 58292.9</w:t>
      </w:r>
    </w:p>
    <w:bookmarkEnd w:id="72"/>
    <w:bookmarkStart w:id="73" w:name="summary-of-results-for-group-2"/>
    <w:p>
      <w:pPr>
        <w:pStyle w:val="Heading2"/>
      </w:pPr>
      <w:r>
        <w:t xml:space="preserve">Summary of results for group 2</w:t>
      </w:r>
    </w:p>
    <w:tbl>
      <w:tblPr>
        <w:tblStyle w:val="Table"/>
        <w:tblW w:type="pct" w:w="5000"/>
        <w:tblLook w:firstRow="1" w:lastRow="0" w:firstColumn="0" w:lastColumn="0" w:noHBand="0" w:noVBand="0" w:val="0020"/>
        <w:jc w:val="start"/>
      </w:tblPr>
      <w:tblGrid>
        <w:gridCol w:w="822"/>
        <w:gridCol w:w="822"/>
        <w:gridCol w:w="617"/>
        <w:gridCol w:w="822"/>
        <w:gridCol w:w="617"/>
        <w:gridCol w:w="1748"/>
        <w:gridCol w:w="925"/>
        <w:gridCol w:w="925"/>
        <w:gridCol w:w="617"/>
      </w:tblGrid>
      <w:tr>
        <w:trPr>
          <w:tblHeader w:val="true"/>
        </w:trPr>
        <w:tc>
          <w:tcPr/>
          <w:p>
            <w:pPr>
              <w:pStyle w:val="Compact"/>
              <w:jc w:val="right"/>
            </w:pPr>
            <w:r>
              <w:t xml:space="preserve">quarter</w:t>
            </w:r>
          </w:p>
        </w:tc>
        <w:tc>
          <w:tcPr/>
          <w:p>
            <w:pPr>
              <w:pStyle w:val="Compact"/>
              <w:jc w:val="right"/>
            </w:pPr>
            <w:r>
              <w:t xml:space="preserve">grossSR</w:t>
            </w:r>
          </w:p>
        </w:tc>
        <w:tc>
          <w:tcPr/>
          <w:p>
            <w:pPr>
              <w:pStyle w:val="Compact"/>
              <w:jc w:val="right"/>
            </w:pPr>
            <w:r>
              <w:t xml:space="preserve">netSR</w:t>
            </w:r>
          </w:p>
        </w:tc>
        <w:tc>
          <w:tcPr/>
          <w:p>
            <w:pPr>
              <w:pStyle w:val="Compact"/>
              <w:jc w:val="right"/>
            </w:pPr>
            <w:r>
              <w:t xml:space="preserve">grossCR</w:t>
            </w:r>
          </w:p>
        </w:tc>
        <w:tc>
          <w:tcPr/>
          <w:p>
            <w:pPr>
              <w:pStyle w:val="Compact"/>
              <w:jc w:val="right"/>
            </w:pPr>
            <w:r>
              <w:t xml:space="preserve">netCR</w:t>
            </w:r>
          </w:p>
        </w:tc>
        <w:tc>
          <w:tcPr/>
          <w:p>
            <w:pPr>
              <w:pStyle w:val="Compact"/>
              <w:jc w:val="right"/>
            </w:pPr>
            <w:r>
              <w:t xml:space="preserve">av.daily.ntrades</w:t>
            </w:r>
          </w:p>
        </w:tc>
        <w:tc>
          <w:tcPr/>
          <w:p>
            <w:pPr>
              <w:pStyle w:val="Compact"/>
              <w:jc w:val="right"/>
            </w:pPr>
            <w:r>
              <w:t xml:space="preserve">grossPnL</w:t>
            </w:r>
          </w:p>
        </w:tc>
        <w:tc>
          <w:tcPr/>
          <w:p>
            <w:pPr>
              <w:pStyle w:val="Compact"/>
              <w:jc w:val="right"/>
            </w:pPr>
            <w:r>
              <w:t xml:space="preserve">netPnL</w:t>
            </w:r>
          </w:p>
        </w:tc>
        <w:tc>
          <w:tcPr/>
          <w:p>
            <w:pPr>
              <w:pStyle w:val="Compact"/>
              <w:jc w:val="right"/>
            </w:pPr>
            <w:r>
              <w:t xml:space="preserve">stat</w:t>
            </w:r>
          </w:p>
        </w:tc>
      </w:tr>
      <w:tr>
        <w:tc>
          <w:tcPr/>
          <w:p>
            <w:pPr>
              <w:pStyle w:val="Compact"/>
              <w:jc w:val="right"/>
            </w:pPr>
            <w:r>
              <w:t xml:space="preserve">2021_Q1</w:t>
            </w:r>
          </w:p>
        </w:tc>
        <w:tc>
          <w:tcPr/>
          <w:p>
            <w:pPr>
              <w:pStyle w:val="Compact"/>
              <w:jc w:val="right"/>
            </w:pPr>
            <w:r>
              <w:t xml:space="preserve">-0.88</w:t>
            </w:r>
          </w:p>
        </w:tc>
        <w:tc>
          <w:tcPr/>
          <w:p>
            <w:pPr>
              <w:pStyle w:val="Compact"/>
              <w:jc w:val="right"/>
            </w:pPr>
            <w:r>
              <w:t xml:space="preserve">-1.18</w:t>
            </w:r>
          </w:p>
        </w:tc>
        <w:tc>
          <w:tcPr/>
          <w:p>
            <w:pPr>
              <w:pStyle w:val="Compact"/>
              <w:jc w:val="right"/>
            </w:pPr>
            <w:r>
              <w:t xml:space="preserve">-1.43</w:t>
            </w:r>
          </w:p>
        </w:tc>
        <w:tc>
          <w:tcPr/>
          <w:p>
            <w:pPr>
              <w:pStyle w:val="Compact"/>
              <w:jc w:val="right"/>
            </w:pPr>
            <w:r>
              <w:t xml:space="preserve">-1.75</w:t>
            </w:r>
          </w:p>
        </w:tc>
        <w:tc>
          <w:tcPr/>
          <w:p>
            <w:pPr>
              <w:pStyle w:val="Compact"/>
              <w:jc w:val="right"/>
            </w:pPr>
            <w:r>
              <w:t xml:space="preserve">7.45</w:t>
            </w:r>
          </w:p>
        </w:tc>
        <w:tc>
          <w:tcPr/>
          <w:p>
            <w:pPr>
              <w:pStyle w:val="Compact"/>
              <w:jc w:val="right"/>
            </w:pPr>
            <w:r>
              <w:t xml:space="preserve">-14618.0</w:t>
            </w:r>
          </w:p>
        </w:tc>
        <w:tc>
          <w:tcPr/>
          <w:p>
            <w:pPr>
              <w:pStyle w:val="Compact"/>
              <w:jc w:val="right"/>
            </w:pPr>
            <w:r>
              <w:t xml:space="preserve">-19526.0</w:t>
            </w:r>
          </w:p>
        </w:tc>
        <w:tc>
          <w:tcPr/>
          <w:p>
            <w:pPr>
              <w:pStyle w:val="Compact"/>
              <w:jc w:val="right"/>
            </w:pPr>
            <w:r>
              <w:t xml:space="preserve">-5.20</w:t>
            </w:r>
          </w:p>
        </w:tc>
      </w:tr>
      <w:tr>
        <w:tc>
          <w:tcPr/>
          <w:p>
            <w:pPr>
              <w:pStyle w:val="Compact"/>
              <w:jc w:val="right"/>
            </w:pPr>
            <w:r>
              <w:t xml:space="preserve">2021_Q2</w:t>
            </w:r>
          </w:p>
        </w:tc>
        <w:tc>
          <w:tcPr/>
          <w:p>
            <w:pPr>
              <w:pStyle w:val="Compact"/>
              <w:jc w:val="right"/>
            </w:pPr>
            <w:r>
              <w:t xml:space="preserve">1.90</w:t>
            </w:r>
          </w:p>
        </w:tc>
        <w:tc>
          <w:tcPr/>
          <w:p>
            <w:pPr>
              <w:pStyle w:val="Compact"/>
              <w:jc w:val="right"/>
            </w:pPr>
            <w:r>
              <w:t xml:space="preserve">1.53</w:t>
            </w:r>
          </w:p>
        </w:tc>
        <w:tc>
          <w:tcPr/>
          <w:p>
            <w:pPr>
              <w:pStyle w:val="Compact"/>
              <w:jc w:val="right"/>
            </w:pPr>
            <w:r>
              <w:t xml:space="preserve">4.27</w:t>
            </w:r>
          </w:p>
        </w:tc>
        <w:tc>
          <w:tcPr/>
          <w:p>
            <w:pPr>
              <w:pStyle w:val="Compact"/>
              <w:jc w:val="right"/>
            </w:pPr>
            <w:r>
              <w:t xml:space="preserve">3.37</w:t>
            </w:r>
          </w:p>
        </w:tc>
        <w:tc>
          <w:tcPr/>
          <w:p>
            <w:pPr>
              <w:pStyle w:val="Compact"/>
              <w:jc w:val="right"/>
            </w:pPr>
            <w:r>
              <w:t xml:space="preserve">7.37</w:t>
            </w:r>
          </w:p>
        </w:tc>
        <w:tc>
          <w:tcPr/>
          <w:p>
            <w:pPr>
              <w:pStyle w:val="Compact"/>
              <w:jc w:val="right"/>
            </w:pPr>
            <w:r>
              <w:t xml:space="preserve">25176.6</w:t>
            </w:r>
          </w:p>
        </w:tc>
        <w:tc>
          <w:tcPr/>
          <w:p>
            <w:pPr>
              <w:pStyle w:val="Compact"/>
              <w:jc w:val="right"/>
            </w:pPr>
            <w:r>
              <w:t xml:space="preserve">20161.6</w:t>
            </w:r>
          </w:p>
        </w:tc>
        <w:tc>
          <w:tcPr/>
          <w:p>
            <w:pPr>
              <w:pStyle w:val="Compact"/>
              <w:jc w:val="right"/>
            </w:pPr>
            <w:r>
              <w:t xml:space="preserve">10.14</w:t>
            </w:r>
          </w:p>
        </w:tc>
      </w:tr>
      <w:tr>
        <w:tc>
          <w:tcPr/>
          <w:p>
            <w:pPr>
              <w:pStyle w:val="Compact"/>
              <w:jc w:val="right"/>
            </w:pPr>
            <w:r>
              <w:t xml:space="preserve">2021_Q3</w:t>
            </w:r>
          </w:p>
        </w:tc>
        <w:tc>
          <w:tcPr/>
          <w:p>
            <w:pPr>
              <w:pStyle w:val="Compact"/>
              <w:jc w:val="right"/>
            </w:pPr>
            <w:r>
              <w:t xml:space="preserve">-0.05</w:t>
            </w:r>
          </w:p>
        </w:tc>
        <w:tc>
          <w:tcPr/>
          <w:p>
            <w:pPr>
              <w:pStyle w:val="Compact"/>
              <w:jc w:val="right"/>
            </w:pPr>
            <w:r>
              <w:t xml:space="preserve">-0.55</w:t>
            </w:r>
          </w:p>
        </w:tc>
        <w:tc>
          <w:tcPr/>
          <w:p>
            <w:pPr>
              <w:pStyle w:val="Compact"/>
              <w:jc w:val="right"/>
            </w:pPr>
            <w:r>
              <w:t xml:space="preserve">-0.09</w:t>
            </w:r>
          </w:p>
        </w:tc>
        <w:tc>
          <w:tcPr/>
          <w:p>
            <w:pPr>
              <w:pStyle w:val="Compact"/>
              <w:jc w:val="right"/>
            </w:pPr>
            <w:r>
              <w:t xml:space="preserve">-0.88</w:t>
            </w:r>
          </w:p>
        </w:tc>
        <w:tc>
          <w:tcPr/>
          <w:p>
            <w:pPr>
              <w:pStyle w:val="Compact"/>
              <w:jc w:val="right"/>
            </w:pPr>
            <w:r>
              <w:t xml:space="preserve">7.84</w:t>
            </w:r>
          </w:p>
        </w:tc>
        <w:tc>
          <w:tcPr/>
          <w:p>
            <w:pPr>
              <w:pStyle w:val="Compact"/>
              <w:jc w:val="right"/>
            </w:pPr>
            <w:r>
              <w:t xml:space="preserve">-543.5</w:t>
            </w:r>
          </w:p>
        </w:tc>
        <w:tc>
          <w:tcPr/>
          <w:p>
            <w:pPr>
              <w:pStyle w:val="Compact"/>
              <w:jc w:val="right"/>
            </w:pPr>
            <w:r>
              <w:t xml:space="preserve">-5926.5</w:t>
            </w:r>
          </w:p>
        </w:tc>
        <w:tc>
          <w:tcPr/>
          <w:p>
            <w:pPr>
              <w:pStyle w:val="Compact"/>
              <w:jc w:val="right"/>
            </w:pPr>
            <w:r>
              <w:t xml:space="preserve">-1.57</w:t>
            </w:r>
          </w:p>
        </w:tc>
      </w:tr>
      <w:tr>
        <w:tc>
          <w:tcPr/>
          <w:p>
            <w:pPr>
              <w:pStyle w:val="Compact"/>
              <w:jc w:val="right"/>
            </w:pPr>
            <w:r>
              <w:t xml:space="preserve">2021_Q4</w:t>
            </w:r>
          </w:p>
        </w:tc>
        <w:tc>
          <w:tcPr/>
          <w:p>
            <w:pPr>
              <w:pStyle w:val="Compact"/>
              <w:jc w:val="right"/>
            </w:pPr>
            <w:r>
              <w:t xml:space="preserve">3.82</w:t>
            </w:r>
          </w:p>
        </w:tc>
        <w:tc>
          <w:tcPr/>
          <w:p>
            <w:pPr>
              <w:pStyle w:val="Compact"/>
              <w:jc w:val="right"/>
            </w:pPr>
            <w:r>
              <w:t xml:space="preserve">3.35</w:t>
            </w:r>
          </w:p>
        </w:tc>
        <w:tc>
          <w:tcPr/>
          <w:p>
            <w:pPr>
              <w:pStyle w:val="Compact"/>
              <w:jc w:val="right"/>
            </w:pPr>
            <w:r>
              <w:t xml:space="preserve">13.25</w:t>
            </w:r>
          </w:p>
        </w:tc>
        <w:tc>
          <w:tcPr/>
          <w:p>
            <w:pPr>
              <w:pStyle w:val="Compact"/>
              <w:jc w:val="right"/>
            </w:pPr>
            <w:r>
              <w:t xml:space="preserve">11.39</w:t>
            </w:r>
          </w:p>
        </w:tc>
        <w:tc>
          <w:tcPr/>
          <w:p>
            <w:pPr>
              <w:pStyle w:val="Compact"/>
              <w:jc w:val="right"/>
            </w:pPr>
            <w:r>
              <w:t xml:space="preserve">7.91</w:t>
            </w:r>
          </w:p>
        </w:tc>
        <w:tc>
          <w:tcPr/>
          <w:p>
            <w:pPr>
              <w:pStyle w:val="Compact"/>
              <w:jc w:val="right"/>
            </w:pPr>
            <w:r>
              <w:t xml:space="preserve">39326.6</w:t>
            </w:r>
          </w:p>
        </w:tc>
        <w:tc>
          <w:tcPr/>
          <w:p>
            <w:pPr>
              <w:pStyle w:val="Compact"/>
              <w:jc w:val="right"/>
            </w:pPr>
            <w:r>
              <w:t xml:space="preserve">34165.6</w:t>
            </w:r>
          </w:p>
        </w:tc>
        <w:tc>
          <w:tcPr/>
          <w:p>
            <w:pPr>
              <w:pStyle w:val="Compact"/>
              <w:jc w:val="right"/>
            </w:pPr>
            <w:r>
              <w:t xml:space="preserve">40.21</w:t>
            </w:r>
          </w:p>
        </w:tc>
      </w:tr>
      <w:tr>
        <w:tc>
          <w:tcPr/>
          <w:p>
            <w:pPr>
              <w:pStyle w:val="Compact"/>
              <w:jc w:val="right"/>
            </w:pPr>
            <w:r>
              <w:t xml:space="preserve">2022_Q1</w:t>
            </w:r>
          </w:p>
        </w:tc>
        <w:tc>
          <w:tcPr/>
          <w:p>
            <w:pPr>
              <w:pStyle w:val="Compact"/>
              <w:jc w:val="right"/>
            </w:pPr>
            <w:r>
              <w:t xml:space="preserve">-1.29</w:t>
            </w:r>
          </w:p>
        </w:tc>
        <w:tc>
          <w:tcPr/>
          <w:p>
            <w:pPr>
              <w:pStyle w:val="Compact"/>
              <w:jc w:val="right"/>
            </w:pPr>
            <w:r>
              <w:t xml:space="preserve">-1.67</w:t>
            </w:r>
          </w:p>
        </w:tc>
        <w:tc>
          <w:tcPr/>
          <w:p>
            <w:pPr>
              <w:pStyle w:val="Compact"/>
              <w:jc w:val="right"/>
            </w:pPr>
            <w:r>
              <w:t xml:space="preserve">-2.34</w:t>
            </w:r>
          </w:p>
        </w:tc>
        <w:tc>
          <w:tcPr/>
          <w:p>
            <w:pPr>
              <w:pStyle w:val="Compact"/>
              <w:jc w:val="right"/>
            </w:pPr>
            <w:r>
              <w:t xml:space="preserve">-2.62</w:t>
            </w:r>
          </w:p>
        </w:tc>
        <w:tc>
          <w:tcPr/>
          <w:p>
            <w:pPr>
              <w:pStyle w:val="Compact"/>
              <w:jc w:val="right"/>
            </w:pPr>
            <w:r>
              <w:t xml:space="preserve">7.14</w:t>
            </w:r>
          </w:p>
        </w:tc>
        <w:tc>
          <w:tcPr/>
          <w:p>
            <w:pPr>
              <w:pStyle w:val="Compact"/>
              <w:jc w:val="right"/>
            </w:pPr>
            <w:r>
              <w:t xml:space="preserve">-16695.5</w:t>
            </w:r>
          </w:p>
        </w:tc>
        <w:tc>
          <w:tcPr/>
          <w:p>
            <w:pPr>
              <w:pStyle w:val="Compact"/>
              <w:jc w:val="right"/>
            </w:pPr>
            <w:r>
              <w:t xml:space="preserve">-21431.5</w:t>
            </w:r>
          </w:p>
        </w:tc>
        <w:tc>
          <w:tcPr/>
          <w:p>
            <w:pPr>
              <w:pStyle w:val="Compact"/>
              <w:jc w:val="right"/>
            </w:pPr>
            <w:r>
              <w:t xml:space="preserve">-8.02</w:t>
            </w:r>
          </w:p>
        </w:tc>
      </w:tr>
      <w:tr>
        <w:tc>
          <w:tcPr/>
          <w:p>
            <w:pPr>
              <w:pStyle w:val="Compact"/>
              <w:jc w:val="right"/>
            </w:pPr>
            <w:r>
              <w:t xml:space="preserve">2022_Q2</w:t>
            </w:r>
          </w:p>
        </w:tc>
        <w:tc>
          <w:tcPr/>
          <w:p>
            <w:pPr>
              <w:pStyle w:val="Compact"/>
              <w:jc w:val="right"/>
            </w:pPr>
            <w:r>
              <w:t xml:space="preserve">1.60</w:t>
            </w:r>
          </w:p>
        </w:tc>
        <w:tc>
          <w:tcPr/>
          <w:p>
            <w:pPr>
              <w:pStyle w:val="Compact"/>
              <w:jc w:val="right"/>
            </w:pPr>
            <w:r>
              <w:t xml:space="preserve">1.10</w:t>
            </w:r>
          </w:p>
        </w:tc>
        <w:tc>
          <w:tcPr/>
          <w:p>
            <w:pPr>
              <w:pStyle w:val="Compact"/>
              <w:jc w:val="right"/>
            </w:pPr>
            <w:r>
              <w:t xml:space="preserve">3.46</w:t>
            </w:r>
          </w:p>
        </w:tc>
        <w:tc>
          <w:tcPr/>
          <w:p>
            <w:pPr>
              <w:pStyle w:val="Compact"/>
              <w:jc w:val="right"/>
            </w:pPr>
            <w:r>
              <w:t xml:space="preserve">2.30</w:t>
            </w:r>
          </w:p>
        </w:tc>
        <w:tc>
          <w:tcPr/>
          <w:p>
            <w:pPr>
              <w:pStyle w:val="Compact"/>
              <w:jc w:val="right"/>
            </w:pPr>
            <w:r>
              <w:t xml:space="preserve">7.47</w:t>
            </w:r>
          </w:p>
        </w:tc>
        <w:tc>
          <w:tcPr/>
          <w:p>
            <w:pPr>
              <w:pStyle w:val="Compact"/>
              <w:jc w:val="right"/>
            </w:pPr>
            <w:r>
              <w:t xml:space="preserve">16908.7</w:t>
            </w:r>
          </w:p>
        </w:tc>
        <w:tc>
          <w:tcPr/>
          <w:p>
            <w:pPr>
              <w:pStyle w:val="Compact"/>
              <w:jc w:val="right"/>
            </w:pPr>
            <w:r>
              <w:t xml:space="preserve">11622.7</w:t>
            </w:r>
          </w:p>
        </w:tc>
        <w:tc>
          <w:tcPr/>
          <w:p>
            <w:pPr>
              <w:pStyle w:val="Compact"/>
              <w:jc w:val="right"/>
            </w:pPr>
            <w:r>
              <w:t xml:space="preserve">5.64</w:t>
            </w:r>
          </w:p>
        </w:tc>
      </w:tr>
      <w:tr>
        <w:tc>
          <w:tcPr/>
          <w:p>
            <w:pPr>
              <w:pStyle w:val="Compact"/>
              <w:jc w:val="right"/>
            </w:pPr>
            <w:r>
              <w:t xml:space="preserve">2022_Q3</w:t>
            </w:r>
          </w:p>
        </w:tc>
        <w:tc>
          <w:tcPr/>
          <w:p>
            <w:pPr>
              <w:pStyle w:val="Compact"/>
              <w:jc w:val="right"/>
            </w:pPr>
            <w:r>
              <w:t xml:space="preserve">0.49</w:t>
            </w:r>
          </w:p>
        </w:tc>
        <w:tc>
          <w:tcPr/>
          <w:p>
            <w:pPr>
              <w:pStyle w:val="Compact"/>
              <w:jc w:val="right"/>
            </w:pPr>
            <w:r>
              <w:t xml:space="preserve">0.04</w:t>
            </w:r>
          </w:p>
        </w:tc>
        <w:tc>
          <w:tcPr/>
          <w:p>
            <w:pPr>
              <w:pStyle w:val="Compact"/>
              <w:jc w:val="right"/>
            </w:pPr>
            <w:r>
              <w:t xml:space="preserve">1.59</w:t>
            </w:r>
          </w:p>
        </w:tc>
        <w:tc>
          <w:tcPr/>
          <w:p>
            <w:pPr>
              <w:pStyle w:val="Compact"/>
              <w:jc w:val="right"/>
            </w:pPr>
            <w:r>
              <w:t xml:space="preserve">0.10</w:t>
            </w:r>
          </w:p>
        </w:tc>
        <w:tc>
          <w:tcPr/>
          <w:p>
            <w:pPr>
              <w:pStyle w:val="Compact"/>
              <w:jc w:val="right"/>
            </w:pPr>
            <w:r>
              <w:t xml:space="preserve">7.51</w:t>
            </w:r>
          </w:p>
        </w:tc>
        <w:tc>
          <w:tcPr/>
          <w:p>
            <w:pPr>
              <w:pStyle w:val="Compact"/>
              <w:jc w:val="right"/>
            </w:pPr>
            <w:r>
              <w:t xml:space="preserve">5484.4</w:t>
            </w:r>
          </w:p>
        </w:tc>
        <w:tc>
          <w:tcPr/>
          <w:p>
            <w:pPr>
              <w:pStyle w:val="Compact"/>
              <w:jc w:val="right"/>
            </w:pPr>
            <w:r>
              <w:t xml:space="preserve">413.4</w:t>
            </w:r>
          </w:p>
        </w:tc>
        <w:tc>
          <w:tcPr/>
          <w:p>
            <w:pPr>
              <w:pStyle w:val="Compact"/>
              <w:jc w:val="right"/>
            </w:pPr>
            <w:r>
              <w:t xml:space="preserve">0.00</w:t>
            </w:r>
          </w:p>
        </w:tc>
      </w:tr>
      <w:tr>
        <w:tc>
          <w:tcPr/>
          <w:p>
            <w:pPr>
              <w:pStyle w:val="Compact"/>
              <w:jc w:val="right"/>
            </w:pPr>
            <w:r>
              <w:t xml:space="preserve">2022_Q4</w:t>
            </w:r>
          </w:p>
        </w:tc>
        <w:tc>
          <w:tcPr/>
          <w:p>
            <w:pPr>
              <w:pStyle w:val="Compact"/>
              <w:jc w:val="right"/>
            </w:pPr>
            <w:r>
              <w:t xml:space="preserve">0.29</w:t>
            </w:r>
          </w:p>
        </w:tc>
        <w:tc>
          <w:tcPr/>
          <w:p>
            <w:pPr>
              <w:pStyle w:val="Compact"/>
              <w:jc w:val="right"/>
            </w:pPr>
            <w:r>
              <w:t xml:space="preserve">-0.02</w:t>
            </w:r>
          </w:p>
        </w:tc>
        <w:tc>
          <w:tcPr/>
          <w:p>
            <w:pPr>
              <w:pStyle w:val="Compact"/>
              <w:jc w:val="right"/>
            </w:pPr>
            <w:r>
              <w:t xml:space="preserve">0.77</w:t>
            </w:r>
          </w:p>
        </w:tc>
        <w:tc>
          <w:tcPr/>
          <w:p>
            <w:pPr>
              <w:pStyle w:val="Compact"/>
              <w:jc w:val="right"/>
            </w:pPr>
            <w:r>
              <w:t xml:space="preserve">-0.04</w:t>
            </w:r>
          </w:p>
        </w:tc>
        <w:tc>
          <w:tcPr/>
          <w:p>
            <w:pPr>
              <w:pStyle w:val="Compact"/>
              <w:jc w:val="right"/>
            </w:pPr>
            <w:r>
              <w:t xml:space="preserve">7.10</w:t>
            </w:r>
          </w:p>
        </w:tc>
        <w:tc>
          <w:tcPr/>
          <w:p>
            <w:pPr>
              <w:pStyle w:val="Compact"/>
              <w:jc w:val="right"/>
            </w:pPr>
            <w:r>
              <w:t xml:space="preserve">4561.2</w:t>
            </w:r>
          </w:p>
        </w:tc>
        <w:tc>
          <w:tcPr/>
          <w:p>
            <w:pPr>
              <w:pStyle w:val="Compact"/>
              <w:jc w:val="right"/>
            </w:pPr>
            <w:r>
              <w:t xml:space="preserve">-237.8</w:t>
            </w:r>
          </w:p>
        </w:tc>
        <w:tc>
          <w:tcPr/>
          <w:p>
            <w:pPr>
              <w:pStyle w:val="Compact"/>
              <w:jc w:val="right"/>
            </w:pPr>
            <w:r>
              <w:t xml:space="preserve">0.00</w:t>
            </w:r>
          </w:p>
        </w:tc>
      </w:tr>
      <w:tr>
        <w:tc>
          <w:tcPr/>
          <w:p>
            <w:pPr>
              <w:pStyle w:val="Compact"/>
              <w:jc w:val="right"/>
            </w:pPr>
            <w:r>
              <w:t xml:space="preserve">2023_Q1</w:t>
            </w:r>
          </w:p>
        </w:tc>
        <w:tc>
          <w:tcPr/>
          <w:p>
            <w:pPr>
              <w:pStyle w:val="Compact"/>
              <w:jc w:val="right"/>
            </w:pPr>
            <w:r>
              <w:t xml:space="preserve">-0.12</w:t>
            </w:r>
          </w:p>
        </w:tc>
        <w:tc>
          <w:tcPr/>
          <w:p>
            <w:pPr>
              <w:pStyle w:val="Compact"/>
              <w:jc w:val="right"/>
            </w:pPr>
            <w:r>
              <w:t xml:space="preserve">-0.48</w:t>
            </w:r>
          </w:p>
        </w:tc>
        <w:tc>
          <w:tcPr/>
          <w:p>
            <w:pPr>
              <w:pStyle w:val="Compact"/>
              <w:jc w:val="right"/>
            </w:pPr>
            <w:r>
              <w:t xml:space="preserve">-0.19</w:t>
            </w:r>
          </w:p>
        </w:tc>
        <w:tc>
          <w:tcPr/>
          <w:p>
            <w:pPr>
              <w:pStyle w:val="Compact"/>
              <w:jc w:val="right"/>
            </w:pPr>
            <w:r>
              <w:t xml:space="preserve">-0.73</w:t>
            </w:r>
          </w:p>
        </w:tc>
        <w:tc>
          <w:tcPr/>
          <w:p>
            <w:pPr>
              <w:pStyle w:val="Compact"/>
              <w:jc w:val="right"/>
            </w:pPr>
            <w:r>
              <w:t xml:space="preserve">7.36</w:t>
            </w:r>
          </w:p>
        </w:tc>
        <w:tc>
          <w:tcPr/>
          <w:p>
            <w:pPr>
              <w:pStyle w:val="Compact"/>
              <w:jc w:val="right"/>
            </w:pPr>
            <w:r>
              <w:t xml:space="preserve">-1586.7</w:t>
            </w:r>
          </w:p>
        </w:tc>
        <w:tc>
          <w:tcPr/>
          <w:p>
            <w:pPr>
              <w:pStyle w:val="Compact"/>
              <w:jc w:val="right"/>
            </w:pPr>
            <w:r>
              <w:t xml:space="preserve">-6438.7</w:t>
            </w:r>
          </w:p>
        </w:tc>
        <w:tc>
          <w:tcPr/>
          <w:p>
            <w:pPr>
              <w:pStyle w:val="Compact"/>
              <w:jc w:val="right"/>
            </w:pPr>
            <w:r>
              <w:t xml:space="preserve">-1.36</w:t>
            </w:r>
          </w:p>
        </w:tc>
      </w:tr>
      <w:tr>
        <w:tc>
          <w:tcPr/>
          <w:p>
            <w:pPr>
              <w:pStyle w:val="Compact"/>
              <w:jc w:val="right"/>
            </w:pPr>
            <w:r>
              <w:t xml:space="preserve">2023_Q2</w:t>
            </w:r>
          </w:p>
        </w:tc>
        <w:tc>
          <w:tcPr/>
          <w:p>
            <w:pPr>
              <w:pStyle w:val="Compact"/>
              <w:jc w:val="right"/>
            </w:pPr>
            <w:r>
              <w:t xml:space="preserve">5.69</w:t>
            </w:r>
          </w:p>
        </w:tc>
        <w:tc>
          <w:tcPr/>
          <w:p>
            <w:pPr>
              <w:pStyle w:val="Compact"/>
              <w:jc w:val="right"/>
            </w:pPr>
            <w:r>
              <w:t xml:space="preserve">5.32</w:t>
            </w:r>
          </w:p>
        </w:tc>
        <w:tc>
          <w:tcPr/>
          <w:p>
            <w:pPr>
              <w:pStyle w:val="Compact"/>
              <w:jc w:val="right"/>
            </w:pPr>
            <w:r>
              <w:t xml:space="preserve">17.52</w:t>
            </w:r>
          </w:p>
        </w:tc>
        <w:tc>
          <w:tcPr/>
          <w:p>
            <w:pPr>
              <w:pStyle w:val="Compact"/>
              <w:jc w:val="right"/>
            </w:pPr>
            <w:r>
              <w:t xml:space="preserve">15.81</w:t>
            </w:r>
          </w:p>
        </w:tc>
        <w:tc>
          <w:tcPr/>
          <w:p>
            <w:pPr>
              <w:pStyle w:val="Compact"/>
              <w:jc w:val="right"/>
            </w:pPr>
            <w:r>
              <w:t xml:space="preserve">7.92</w:t>
            </w:r>
          </w:p>
        </w:tc>
        <w:tc>
          <w:tcPr/>
          <w:p>
            <w:pPr>
              <w:pStyle w:val="Compact"/>
              <w:jc w:val="right"/>
            </w:pPr>
            <w:r>
              <w:t xml:space="preserve">73239.7</w:t>
            </w:r>
          </w:p>
        </w:tc>
        <w:tc>
          <w:tcPr/>
          <w:p>
            <w:pPr>
              <w:pStyle w:val="Compact"/>
              <w:jc w:val="right"/>
            </w:pPr>
            <w:r>
              <w:t xml:space="preserve">67997.7</w:t>
            </w:r>
          </w:p>
        </w:tc>
        <w:tc>
          <w:tcPr/>
          <w:p>
            <w:pPr>
              <w:pStyle w:val="Compact"/>
              <w:jc w:val="right"/>
            </w:pPr>
            <w:r>
              <w:t xml:space="preserve">66.70</w:t>
            </w:r>
          </w:p>
        </w:tc>
      </w:tr>
      <w:tr>
        <w:tc>
          <w:tcPr/>
          <w:p>
            <w:pPr>
              <w:pStyle w:val="Compact"/>
              <w:jc w:val="right"/>
            </w:pPr>
            <w:r>
              <w:t xml:space="preserve">2023_Q3</w:t>
            </w:r>
          </w:p>
        </w:tc>
        <w:tc>
          <w:tcPr/>
          <w:p>
            <w:pPr>
              <w:pStyle w:val="Compact"/>
              <w:jc w:val="right"/>
            </w:pPr>
            <w:r>
              <w:t xml:space="preserve">0.31</w:t>
            </w:r>
          </w:p>
        </w:tc>
        <w:tc>
          <w:tcPr/>
          <w:p>
            <w:pPr>
              <w:pStyle w:val="Compact"/>
              <w:jc w:val="right"/>
            </w:pPr>
            <w:r>
              <w:t xml:space="preserve">-0.20</w:t>
            </w:r>
          </w:p>
        </w:tc>
        <w:tc>
          <w:tcPr/>
          <w:p>
            <w:pPr>
              <w:pStyle w:val="Compact"/>
              <w:jc w:val="right"/>
            </w:pPr>
            <w:r>
              <w:t xml:space="preserve">0.75</w:t>
            </w:r>
          </w:p>
        </w:tc>
        <w:tc>
          <w:tcPr/>
          <w:p>
            <w:pPr>
              <w:pStyle w:val="Compact"/>
              <w:jc w:val="right"/>
            </w:pPr>
            <w:r>
              <w:t xml:space="preserve">-0.47</w:t>
            </w:r>
          </w:p>
        </w:tc>
        <w:tc>
          <w:tcPr/>
          <w:p>
            <w:pPr>
              <w:pStyle w:val="Compact"/>
              <w:jc w:val="right"/>
            </w:pPr>
            <w:r>
              <w:t xml:space="preserve">7.28</w:t>
            </w:r>
          </w:p>
        </w:tc>
        <w:tc>
          <w:tcPr/>
          <w:p>
            <w:pPr>
              <w:pStyle w:val="Compact"/>
              <w:jc w:val="right"/>
            </w:pPr>
            <w:r>
              <w:t xml:space="preserve">2907.4</w:t>
            </w:r>
          </w:p>
        </w:tc>
        <w:tc>
          <w:tcPr/>
          <w:p>
            <w:pPr>
              <w:pStyle w:val="Compact"/>
              <w:jc w:val="right"/>
            </w:pPr>
            <w:r>
              <w:t xml:space="preserve">-1889.6</w:t>
            </w:r>
          </w:p>
        </w:tc>
        <w:tc>
          <w:tcPr/>
          <w:p>
            <w:pPr>
              <w:pStyle w:val="Compact"/>
              <w:jc w:val="right"/>
            </w:pPr>
            <w:r>
              <w:t xml:space="preserve">-0.30</w:t>
            </w:r>
          </w:p>
        </w:tc>
      </w:tr>
      <w:tr>
        <w:tc>
          <w:tcPr/>
          <w:p>
            <w:pPr>
              <w:pStyle w:val="Compact"/>
              <w:jc w:val="right"/>
            </w:pPr>
            <w:r>
              <w:t xml:space="preserve">2023_Q4</w:t>
            </w:r>
          </w:p>
        </w:tc>
        <w:tc>
          <w:tcPr/>
          <w:p>
            <w:pPr>
              <w:pStyle w:val="Compact"/>
              <w:jc w:val="right"/>
            </w:pPr>
            <w:r>
              <w:t xml:space="preserve">-0.67</w:t>
            </w:r>
          </w:p>
        </w:tc>
        <w:tc>
          <w:tcPr/>
          <w:p>
            <w:pPr>
              <w:pStyle w:val="Compact"/>
              <w:jc w:val="right"/>
            </w:pPr>
            <w:r>
              <w:t xml:space="preserve">-1.06</w:t>
            </w:r>
          </w:p>
        </w:tc>
        <w:tc>
          <w:tcPr/>
          <w:p>
            <w:pPr>
              <w:pStyle w:val="Compact"/>
              <w:jc w:val="right"/>
            </w:pPr>
            <w:r>
              <w:t xml:space="preserve">-1.24</w:t>
            </w:r>
          </w:p>
        </w:tc>
        <w:tc>
          <w:tcPr/>
          <w:p>
            <w:pPr>
              <w:pStyle w:val="Compact"/>
              <w:jc w:val="right"/>
            </w:pPr>
            <w:r>
              <w:t xml:space="preserve">-1.79</w:t>
            </w:r>
          </w:p>
        </w:tc>
        <w:tc>
          <w:tcPr/>
          <w:p>
            <w:pPr>
              <w:pStyle w:val="Compact"/>
              <w:jc w:val="right"/>
            </w:pPr>
            <w:r>
              <w:t xml:space="preserve">7.28</w:t>
            </w:r>
          </w:p>
        </w:tc>
        <w:tc>
          <w:tcPr/>
          <w:p>
            <w:pPr>
              <w:pStyle w:val="Compact"/>
              <w:jc w:val="right"/>
            </w:pPr>
            <w:r>
              <w:t xml:space="preserve">-8356.8</w:t>
            </w:r>
          </w:p>
        </w:tc>
        <w:tc>
          <w:tcPr/>
          <w:p>
            <w:pPr>
              <w:pStyle w:val="Compact"/>
              <w:jc w:val="right"/>
            </w:pPr>
            <w:r>
              <w:t xml:space="preserve">-13174.8</w:t>
            </w:r>
          </w:p>
        </w:tc>
        <w:tc>
          <w:tcPr/>
          <w:p>
            <w:pPr>
              <w:pStyle w:val="Compact"/>
              <w:jc w:val="right"/>
            </w:pPr>
            <w:r>
              <w:t xml:space="preserve">-4.61</w:t>
            </w:r>
          </w:p>
        </w:tc>
      </w:tr>
    </w:tbl>
    <w:p>
      <w:pPr>
        <w:pStyle w:val="BodyText"/>
      </w:pPr>
      <w:r>
        <w:t xml:space="preserve">The strategy experienced mixed performance in the initial quarters of in-sample data, marked by negative returns and varying risk-adjusted metrics. However, it showed a significant improvement in later quarters, including out-of-sample data, especially in Q2 2021, Q4 2021 and Q2 2023, with strong positive performance, high Sharpe and Calmar Ratios, and substantial profits.</w:t>
      </w:r>
    </w:p>
    <w:bookmarkEnd w:id="73"/>
    <w:bookmarkStart w:id="77" w:name="Xf68ad91498b45973c27e03e2eaaecfb54c53d10"/>
    <w:p>
      <w:pPr>
        <w:pStyle w:val="Heading2"/>
      </w:pPr>
      <w:r>
        <w:t xml:space="preserve">PnL of results for</w:t>
      </w:r>
      <w:r>
        <w:t xml:space="preserve"> </w:t>
      </w:r>
      <w:r>
        <w:rPr>
          <w:bCs/>
          <w:b/>
        </w:rPr>
        <w:t xml:space="preserve">group 2</w:t>
      </w:r>
      <w:r>
        <w:t xml:space="preserve"> </w:t>
      </w:r>
      <w:r>
        <w:t xml:space="preserve">– quarter 2021Q1</w:t>
      </w:r>
    </w:p>
    <w:p>
      <w:pPr>
        <w:pStyle w:val="FirstParagraph"/>
      </w:pPr>
      <w:r>
        <w:drawing>
          <wp:inline>
            <wp:extent cx="5334000" cy="3200400"/>
            <wp:effectExtent b="0" l="0" r="0" t="0"/>
            <wp:docPr descr="" title="" id="75" name="Picture"/>
            <a:graphic>
              <a:graphicData uri="http://schemas.openxmlformats.org/drawingml/2006/picture">
                <pic:pic>
                  <pic:nvPicPr>
                    <pic:cNvPr descr="pnl_group2_2021_Q1.png" id="76" name="Picture"/>
                    <pic:cNvPicPr>
                      <a:picLocks noChangeArrowheads="1" noChangeAspect="1"/>
                    </pic:cNvPicPr>
                  </pic:nvPicPr>
                  <pic:blipFill>
                    <a:blip r:embed="rId74"/>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01"/>
        </w:numPr>
        <w:pStyle w:val="Compact"/>
      </w:pPr>
      <w:r>
        <w:t xml:space="preserve">Substantial negative returns with both gross and net Sharpe Ratios in the negative.</w:t>
      </w:r>
    </w:p>
    <w:p>
      <w:pPr>
        <w:numPr>
          <w:ilvl w:val="0"/>
          <w:numId w:val="1001"/>
        </w:numPr>
        <w:pStyle w:val="Compact"/>
      </w:pPr>
      <w:r>
        <w:t xml:space="preserve">Negative Calmar Ratios indicate poor risk-adjusted performance.</w:t>
      </w:r>
    </w:p>
    <w:p>
      <w:pPr>
        <w:numPr>
          <w:ilvl w:val="0"/>
          <w:numId w:val="1001"/>
        </w:numPr>
        <w:pStyle w:val="Compact"/>
      </w:pPr>
      <w:r>
        <w:t xml:space="preserve">Significant losses in both gross and net profits.</w:t>
      </w:r>
    </w:p>
    <w:bookmarkEnd w:id="77"/>
    <w:bookmarkStart w:id="81" w:name="X5dbc4ab8100b05229cc18458edaecc390dd1907"/>
    <w:p>
      <w:pPr>
        <w:pStyle w:val="Heading2"/>
      </w:pPr>
      <w:r>
        <w:t xml:space="preserve">PnL of results for</w:t>
      </w:r>
      <w:r>
        <w:t xml:space="preserve"> </w:t>
      </w:r>
      <w:r>
        <w:rPr>
          <w:bCs/>
          <w:b/>
        </w:rPr>
        <w:t xml:space="preserve">group 2</w:t>
      </w:r>
      <w:r>
        <w:t xml:space="preserve"> </w:t>
      </w:r>
      <w:r>
        <w:t xml:space="preserve">– quarter 2021Q2</w:t>
      </w:r>
    </w:p>
    <w:p>
      <w:pPr>
        <w:pStyle w:val="FirstParagraph"/>
      </w:pPr>
      <w:r>
        <w:drawing>
          <wp:inline>
            <wp:extent cx="5334000" cy="3200400"/>
            <wp:effectExtent b="0" l="0" r="0" t="0"/>
            <wp:docPr descr="" title="" id="79" name="Picture"/>
            <a:graphic>
              <a:graphicData uri="http://schemas.openxmlformats.org/drawingml/2006/picture">
                <pic:pic>
                  <pic:nvPicPr>
                    <pic:cNvPr descr="pnl_group2_2021_Q2.png" id="80" name="Picture"/>
                    <pic:cNvPicPr>
                      <a:picLocks noChangeArrowheads="1" noChangeAspect="1"/>
                    </pic:cNvPicPr>
                  </pic:nvPicPr>
                  <pic:blipFill>
                    <a:blip r:embed="rId78"/>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In Q2 2021, our model had a positive performance with both gross and net profit and loss showing gains. Performance ratios like Sharpe and Calmar were also in the positive range, indicating good risk-adjusted returns.</w:t>
      </w:r>
    </w:p>
    <w:bookmarkEnd w:id="81"/>
    <w:bookmarkStart w:id="85" w:name="X83350e7dc14eef6a328eaf4f8d1afba56cdd083"/>
    <w:p>
      <w:pPr>
        <w:pStyle w:val="Heading2"/>
      </w:pPr>
      <w:r>
        <w:t xml:space="preserve">PnL of results for</w:t>
      </w:r>
      <w:r>
        <w:t xml:space="preserve"> </w:t>
      </w:r>
      <w:r>
        <w:rPr>
          <w:bCs/>
          <w:b/>
        </w:rPr>
        <w:t xml:space="preserve">group 2</w:t>
      </w:r>
      <w:r>
        <w:t xml:space="preserve"> </w:t>
      </w:r>
      <w:r>
        <w:t xml:space="preserve">– quarter 2021Q3</w:t>
      </w:r>
    </w:p>
    <w:p>
      <w:pPr>
        <w:pStyle w:val="FirstParagraph"/>
      </w:pPr>
      <w:r>
        <w:drawing>
          <wp:inline>
            <wp:extent cx="5334000" cy="3200400"/>
            <wp:effectExtent b="0" l="0" r="0" t="0"/>
            <wp:docPr descr="" title="" id="83" name="Picture"/>
            <a:graphic>
              <a:graphicData uri="http://schemas.openxmlformats.org/drawingml/2006/picture">
                <pic:pic>
                  <pic:nvPicPr>
                    <pic:cNvPr descr="pnl_group2_2021_Q3.png" id="84" name="Picture"/>
                    <pic:cNvPicPr>
                      <a:picLocks noChangeArrowheads="1" noChangeAspect="1"/>
                    </pic:cNvPicPr>
                  </pic:nvPicPr>
                  <pic:blipFill>
                    <a:blip r:embed="rId82"/>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02"/>
        </w:numPr>
        <w:pStyle w:val="Compact"/>
      </w:pPr>
      <w:r>
        <w:t xml:space="preserve">Almost $6000 net loss comes from mainly unsuccessful trades and TCs.</w:t>
      </w:r>
    </w:p>
    <w:p>
      <w:pPr>
        <w:numPr>
          <w:ilvl w:val="0"/>
          <w:numId w:val="1002"/>
        </w:numPr>
        <w:pStyle w:val="Compact"/>
      </w:pPr>
      <w:r>
        <w:t xml:space="preserve">Negative CR ratios indicates poor risk-adjusted performance.</w:t>
      </w:r>
    </w:p>
    <w:bookmarkEnd w:id="85"/>
    <w:bookmarkStart w:id="89" w:name="Xb3fc5f389046a49a54a7c0d66e904b74318f98c"/>
    <w:p>
      <w:pPr>
        <w:pStyle w:val="Heading2"/>
      </w:pPr>
      <w:r>
        <w:t xml:space="preserve">PnL of results for</w:t>
      </w:r>
      <w:r>
        <w:t xml:space="preserve"> </w:t>
      </w:r>
      <w:r>
        <w:rPr>
          <w:bCs/>
          <w:b/>
        </w:rPr>
        <w:t xml:space="preserve">group 2</w:t>
      </w:r>
      <w:r>
        <w:t xml:space="preserve"> </w:t>
      </w:r>
      <w:r>
        <w:t xml:space="preserve">– quarter 2021Q4</w:t>
      </w:r>
    </w:p>
    <w:p>
      <w:pPr>
        <w:pStyle w:val="FirstParagraph"/>
      </w:pPr>
      <w:r>
        <w:drawing>
          <wp:inline>
            <wp:extent cx="5334000" cy="3200400"/>
            <wp:effectExtent b="0" l="0" r="0" t="0"/>
            <wp:docPr descr="" title="" id="87" name="Picture"/>
            <a:graphic>
              <a:graphicData uri="http://schemas.openxmlformats.org/drawingml/2006/picture">
                <pic:pic>
                  <pic:nvPicPr>
                    <pic:cNvPr descr="pnl_group2_2021_Q4.png" id="88" name="Picture"/>
                    <pic:cNvPicPr>
                      <a:picLocks noChangeArrowheads="1" noChangeAspect="1"/>
                    </pic:cNvPicPr>
                  </pic:nvPicPr>
                  <pic:blipFill>
                    <a:blip r:embed="rId86"/>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03"/>
        </w:numPr>
        <w:pStyle w:val="Compact"/>
      </w:pPr>
      <w:r>
        <w:t xml:space="preserve">Strong positive performance with high Sharpe Ratios, indicating good risk-adjusted returns.</w:t>
      </w:r>
    </w:p>
    <w:p>
      <w:pPr>
        <w:numPr>
          <w:ilvl w:val="0"/>
          <w:numId w:val="1003"/>
        </w:numPr>
        <w:pStyle w:val="Compact"/>
      </w:pPr>
      <w:r>
        <w:t xml:space="preserve">High gross and net Calmar Ratios suggest favorable risk-adjusted performance.</w:t>
      </w:r>
    </w:p>
    <w:p>
      <w:pPr>
        <w:numPr>
          <w:ilvl w:val="0"/>
          <w:numId w:val="1003"/>
        </w:numPr>
        <w:pStyle w:val="Compact"/>
      </w:pPr>
      <w:r>
        <w:t xml:space="preserve">Significant positive gross and net profits, with a positive statistical measure.</w:t>
      </w:r>
    </w:p>
    <w:bookmarkEnd w:id="89"/>
    <w:bookmarkStart w:id="93" w:name="Xffb546d402fba4d497db41ab69cd6c703648831"/>
    <w:p>
      <w:pPr>
        <w:pStyle w:val="Heading2"/>
      </w:pPr>
      <w:r>
        <w:t xml:space="preserve">PnL of results for</w:t>
      </w:r>
      <w:r>
        <w:t xml:space="preserve"> </w:t>
      </w:r>
      <w:r>
        <w:rPr>
          <w:bCs/>
          <w:b/>
        </w:rPr>
        <w:t xml:space="preserve">group 2</w:t>
      </w:r>
      <w:r>
        <w:t xml:space="preserve"> </w:t>
      </w:r>
      <w:r>
        <w:t xml:space="preserve">– quarter 2022Q1</w:t>
      </w:r>
    </w:p>
    <w:p>
      <w:pPr>
        <w:pStyle w:val="FirstParagraph"/>
      </w:pPr>
      <w:r>
        <w:drawing>
          <wp:inline>
            <wp:extent cx="5334000" cy="3200400"/>
            <wp:effectExtent b="0" l="0" r="0" t="0"/>
            <wp:docPr descr="" title="" id="91" name="Picture"/>
            <a:graphic>
              <a:graphicData uri="http://schemas.openxmlformats.org/drawingml/2006/picture">
                <pic:pic>
                  <pic:nvPicPr>
                    <pic:cNvPr descr="pnl_group2_2022_Q1.png" id="92" name="Picture"/>
                    <pic:cNvPicPr>
                      <a:picLocks noChangeArrowheads="1" noChangeAspect="1"/>
                    </pic:cNvPicPr>
                  </pic:nvPicPr>
                  <pic:blipFill>
                    <a:blip r:embed="rId90"/>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In Q1 2022, our model had a negative quarter with losses in both gross and net PnL and negative performance ratios.</w:t>
      </w:r>
    </w:p>
    <w:bookmarkEnd w:id="93"/>
    <w:bookmarkStart w:id="97" w:name="X25b23711af9ae895a43e9ecdbe45238269fa9a4"/>
    <w:p>
      <w:pPr>
        <w:pStyle w:val="Heading2"/>
      </w:pPr>
      <w:r>
        <w:t xml:space="preserve">PnL of results for</w:t>
      </w:r>
      <w:r>
        <w:t xml:space="preserve"> </w:t>
      </w:r>
      <w:r>
        <w:rPr>
          <w:bCs/>
          <w:b/>
        </w:rPr>
        <w:t xml:space="preserve">group 2</w:t>
      </w:r>
      <w:r>
        <w:t xml:space="preserve"> </w:t>
      </w:r>
      <w:r>
        <w:t xml:space="preserve">– quarter 2022Q2</w:t>
      </w:r>
    </w:p>
    <w:p>
      <w:pPr>
        <w:pStyle w:val="FirstParagraph"/>
      </w:pPr>
      <w:r>
        <w:drawing>
          <wp:inline>
            <wp:extent cx="5334000" cy="3200400"/>
            <wp:effectExtent b="0" l="0" r="0" t="0"/>
            <wp:docPr descr="" title="" id="95" name="Picture"/>
            <a:graphic>
              <a:graphicData uri="http://schemas.openxmlformats.org/drawingml/2006/picture">
                <pic:pic>
                  <pic:nvPicPr>
                    <pic:cNvPr descr="pnl_group2_2022_Q2.png" id="96" name="Picture"/>
                    <pic:cNvPicPr>
                      <a:picLocks noChangeArrowheads="1" noChangeAspect="1"/>
                    </pic:cNvPicPr>
                  </pic:nvPicPr>
                  <pic:blipFill>
                    <a:blip r:embed="rId94"/>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04"/>
        </w:numPr>
        <w:pStyle w:val="Compact"/>
      </w:pPr>
      <w:r>
        <w:t xml:space="preserve">Positive gross and net Sharpe Ratios, indicating positive risk-adjusted returns.</w:t>
      </w:r>
    </w:p>
    <w:p>
      <w:pPr>
        <w:numPr>
          <w:ilvl w:val="0"/>
          <w:numId w:val="1004"/>
        </w:numPr>
        <w:pStyle w:val="Compact"/>
      </w:pPr>
      <w:r>
        <w:t xml:space="preserve">Positive gross and net Calmar Ratios suggest good risk-adjusted performance.</w:t>
      </w:r>
    </w:p>
    <w:p>
      <w:pPr>
        <w:numPr>
          <w:ilvl w:val="0"/>
          <w:numId w:val="1004"/>
        </w:numPr>
        <w:pStyle w:val="Compact"/>
      </w:pPr>
      <w:r>
        <w:t xml:space="preserve">Positive gross and net profits, with a positive statistical measure.</w:t>
      </w:r>
    </w:p>
    <w:bookmarkEnd w:id="97"/>
    <w:bookmarkStart w:id="101" w:name="Xdf89e4098d8029202bea529bf7c4b532d46b89b"/>
    <w:p>
      <w:pPr>
        <w:pStyle w:val="Heading2"/>
      </w:pPr>
      <w:r>
        <w:t xml:space="preserve">PnL of results for</w:t>
      </w:r>
      <w:r>
        <w:t xml:space="preserve"> </w:t>
      </w:r>
      <w:r>
        <w:rPr>
          <w:bCs/>
          <w:b/>
        </w:rPr>
        <w:t xml:space="preserve">group 2</w:t>
      </w:r>
      <w:r>
        <w:t xml:space="preserve"> </w:t>
      </w:r>
      <w:r>
        <w:t xml:space="preserve">– quarter 2022Q3</w:t>
      </w:r>
    </w:p>
    <w:p>
      <w:pPr>
        <w:pStyle w:val="FirstParagraph"/>
      </w:pPr>
      <w:r>
        <w:drawing>
          <wp:inline>
            <wp:extent cx="5334000" cy="3200400"/>
            <wp:effectExtent b="0" l="0" r="0" t="0"/>
            <wp:docPr descr="" title="" id="99" name="Picture"/>
            <a:graphic>
              <a:graphicData uri="http://schemas.openxmlformats.org/drawingml/2006/picture">
                <pic:pic>
                  <pic:nvPicPr>
                    <pic:cNvPr descr="pnl_group2_2022_Q3.png" id="100" name="Picture"/>
                    <pic:cNvPicPr>
                      <a:picLocks noChangeArrowheads="1" noChangeAspect="1"/>
                    </pic:cNvPicPr>
                  </pic:nvPicPr>
                  <pic:blipFill>
                    <a:blip r:embed="rId98"/>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In Q3 2022, our model saw modest gains in gross PnL and a slight profit in net PnL, with performance ratios close to zero, indicating a relatively stable but not highly profitable quarter.</w:t>
      </w:r>
    </w:p>
    <w:bookmarkEnd w:id="101"/>
    <w:bookmarkStart w:id="105" w:name="X77cc4b83b65e3748cfc73c63407ce232a440546"/>
    <w:p>
      <w:pPr>
        <w:pStyle w:val="Heading2"/>
      </w:pPr>
      <w:r>
        <w:t xml:space="preserve">PnL of results for</w:t>
      </w:r>
      <w:r>
        <w:t xml:space="preserve"> </w:t>
      </w:r>
      <w:r>
        <w:rPr>
          <w:bCs/>
          <w:b/>
        </w:rPr>
        <w:t xml:space="preserve">group 2</w:t>
      </w:r>
      <w:r>
        <w:t xml:space="preserve"> </w:t>
      </w:r>
      <w:r>
        <w:t xml:space="preserve">– quarter 2022Q4</w:t>
      </w:r>
    </w:p>
    <w:p>
      <w:pPr>
        <w:pStyle w:val="FirstParagraph"/>
      </w:pPr>
      <w:r>
        <w:drawing>
          <wp:inline>
            <wp:extent cx="5334000" cy="3200400"/>
            <wp:effectExtent b="0" l="0" r="0" t="0"/>
            <wp:docPr descr="" title="" id="103" name="Picture"/>
            <a:graphic>
              <a:graphicData uri="http://schemas.openxmlformats.org/drawingml/2006/picture">
                <pic:pic>
                  <pic:nvPicPr>
                    <pic:cNvPr descr="pnl_group2_2022_Q4.png" id="104" name="Picture"/>
                    <pic:cNvPicPr>
                      <a:picLocks noChangeArrowheads="1" noChangeAspect="1"/>
                    </pic:cNvPicPr>
                  </pic:nvPicPr>
                  <pic:blipFill>
                    <a:blip r:embed="rId102"/>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05"/>
        </w:numPr>
        <w:pStyle w:val="Compact"/>
      </w:pPr>
      <w:r>
        <w:t xml:space="preserve">Even though it has $4,500 Gross profit, after subtracting the costs, we have $-238 net loss.</w:t>
      </w:r>
    </w:p>
    <w:p>
      <w:pPr>
        <w:numPr>
          <w:ilvl w:val="0"/>
          <w:numId w:val="1005"/>
        </w:numPr>
        <w:pStyle w:val="Compact"/>
      </w:pPr>
      <w:r>
        <w:t xml:space="preserve">We cannot see a particular trend, it has been zigzaging.</w:t>
      </w:r>
    </w:p>
    <w:bookmarkEnd w:id="105"/>
    <w:bookmarkStart w:id="109" w:name="X9efdf08d46015a8c892917fc30186a34ec250fa"/>
    <w:p>
      <w:pPr>
        <w:pStyle w:val="Heading2"/>
      </w:pPr>
      <w:r>
        <w:t xml:space="preserve">PnL of results for</w:t>
      </w:r>
      <w:r>
        <w:t xml:space="preserve"> </w:t>
      </w:r>
      <w:r>
        <w:rPr>
          <w:bCs/>
          <w:b/>
        </w:rPr>
        <w:t xml:space="preserve">group 2</w:t>
      </w:r>
      <w:r>
        <w:t xml:space="preserve"> </w:t>
      </w:r>
      <w:r>
        <w:t xml:space="preserve">– quarter 2023Q1</w:t>
      </w:r>
    </w:p>
    <w:p>
      <w:pPr>
        <w:pStyle w:val="FirstParagraph"/>
      </w:pPr>
      <w:r>
        <w:drawing>
          <wp:inline>
            <wp:extent cx="5334000" cy="3200400"/>
            <wp:effectExtent b="0" l="0" r="0" t="0"/>
            <wp:docPr descr="" title="" id="107" name="Picture"/>
            <a:graphic>
              <a:graphicData uri="http://schemas.openxmlformats.org/drawingml/2006/picture">
                <pic:pic>
                  <pic:nvPicPr>
                    <pic:cNvPr descr="pnl_group2_2023_Q1.png" id="108" name="Picture"/>
                    <pic:cNvPicPr>
                      <a:picLocks noChangeArrowheads="1" noChangeAspect="1"/>
                    </pic:cNvPicPr>
                  </pic:nvPicPr>
                  <pic:blipFill>
                    <a:blip r:embed="rId106"/>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06"/>
        </w:numPr>
        <w:pStyle w:val="Compact"/>
      </w:pPr>
      <w:r>
        <w:t xml:space="preserve">We cannot see the continuation of positive trend in terms of P&amp;L from previous quarter.</w:t>
      </w:r>
    </w:p>
    <w:p>
      <w:pPr>
        <w:numPr>
          <w:ilvl w:val="0"/>
          <w:numId w:val="1006"/>
        </w:numPr>
        <w:pStyle w:val="Compact"/>
      </w:pPr>
      <w:r>
        <w:t xml:space="preserve">After reaching almost $9,000 profit due to fluctuations it ended up in loss.</w:t>
      </w:r>
    </w:p>
    <w:bookmarkEnd w:id="109"/>
    <w:bookmarkStart w:id="113" w:name="Xf86b90309802183befee4c15d145ffe44d3d1ff"/>
    <w:p>
      <w:pPr>
        <w:pStyle w:val="Heading2"/>
      </w:pPr>
      <w:r>
        <w:t xml:space="preserve">PnL of results for</w:t>
      </w:r>
      <w:r>
        <w:t xml:space="preserve"> </w:t>
      </w:r>
      <w:r>
        <w:rPr>
          <w:bCs/>
          <w:b/>
        </w:rPr>
        <w:t xml:space="preserve">group 2</w:t>
      </w:r>
      <w:r>
        <w:t xml:space="preserve"> </w:t>
      </w:r>
      <w:r>
        <w:t xml:space="preserve">– quarter 2023Q2</w:t>
      </w:r>
    </w:p>
    <w:p>
      <w:pPr>
        <w:pStyle w:val="FirstParagraph"/>
      </w:pPr>
      <w:r>
        <w:drawing>
          <wp:inline>
            <wp:extent cx="5334000" cy="3200400"/>
            <wp:effectExtent b="0" l="0" r="0" t="0"/>
            <wp:docPr descr="" title="" id="111" name="Picture"/>
            <a:graphic>
              <a:graphicData uri="http://schemas.openxmlformats.org/drawingml/2006/picture">
                <pic:pic>
                  <pic:nvPicPr>
                    <pic:cNvPr descr="pnl_group2_2023_Q2.png" id="112" name="Picture"/>
                    <pic:cNvPicPr>
                      <a:picLocks noChangeArrowheads="1" noChangeAspect="1"/>
                    </pic:cNvPicPr>
                  </pic:nvPicPr>
                  <pic:blipFill>
                    <a:blip r:embed="rId110"/>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07"/>
        </w:numPr>
        <w:pStyle w:val="Compact"/>
      </w:pPr>
      <w:r>
        <w:t xml:space="preserve">Very strong positive performance with Sharpe Ratios, indicating excellent risk-adjusted returns.</w:t>
      </w:r>
    </w:p>
    <w:p>
      <w:pPr>
        <w:numPr>
          <w:ilvl w:val="0"/>
          <w:numId w:val="1007"/>
        </w:numPr>
        <w:pStyle w:val="Compact"/>
      </w:pPr>
      <w:r>
        <w:t xml:space="preserve">High gross and net Calmar Ratios also suggest outstanding risk-adjusted performance.</w:t>
      </w:r>
    </w:p>
    <w:p>
      <w:pPr>
        <w:numPr>
          <w:ilvl w:val="0"/>
          <w:numId w:val="1007"/>
        </w:numPr>
        <w:pStyle w:val="Compact"/>
      </w:pPr>
      <w:r>
        <w:t xml:space="preserve">Significant positive gross and net profits, with a positive statistical measure.</w:t>
      </w:r>
    </w:p>
    <w:bookmarkEnd w:id="113"/>
    <w:bookmarkStart w:id="117" w:name="Xa619681f9c375853fdd3adcf88f328b644560c2"/>
    <w:p>
      <w:pPr>
        <w:pStyle w:val="Heading2"/>
      </w:pPr>
      <w:r>
        <w:t xml:space="preserve">PnL of results for</w:t>
      </w:r>
      <w:r>
        <w:t xml:space="preserve"> </w:t>
      </w:r>
      <w:r>
        <w:rPr>
          <w:bCs/>
          <w:b/>
        </w:rPr>
        <w:t xml:space="preserve">group 2</w:t>
      </w:r>
      <w:r>
        <w:t xml:space="preserve"> </w:t>
      </w:r>
      <w:r>
        <w:t xml:space="preserve">– quarter 2023Q3</w:t>
      </w:r>
    </w:p>
    <w:p>
      <w:pPr>
        <w:pStyle w:val="FirstParagraph"/>
      </w:pPr>
      <w:r>
        <w:drawing>
          <wp:inline>
            <wp:extent cx="5334000" cy="3200400"/>
            <wp:effectExtent b="0" l="0" r="0" t="0"/>
            <wp:docPr descr="" title="" id="115" name="Picture"/>
            <a:graphic>
              <a:graphicData uri="http://schemas.openxmlformats.org/drawingml/2006/picture">
                <pic:pic>
                  <pic:nvPicPr>
                    <pic:cNvPr descr="pnl_group2_2023_Q3.png" id="116" name="Picture"/>
                    <pic:cNvPicPr>
                      <a:picLocks noChangeArrowheads="1" noChangeAspect="1"/>
                    </pic:cNvPicPr>
                  </pic:nvPicPr>
                  <pic:blipFill>
                    <a:blip r:embed="rId114"/>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In Q3 2023, our model experienced a modest gross profit with slight overall net losses, indicating some positive movement but with costs impacting final gains.</w:t>
      </w:r>
    </w:p>
    <w:bookmarkEnd w:id="117"/>
    <w:bookmarkStart w:id="121" w:name="X621c6a9ef48fe52a59d1358dc5fe21c2774d5ac"/>
    <w:p>
      <w:pPr>
        <w:pStyle w:val="Heading2"/>
      </w:pPr>
      <w:r>
        <w:t xml:space="preserve">PnL of results for</w:t>
      </w:r>
      <w:r>
        <w:t xml:space="preserve"> </w:t>
      </w:r>
      <w:r>
        <w:rPr>
          <w:bCs/>
          <w:b/>
        </w:rPr>
        <w:t xml:space="preserve">group 2</w:t>
      </w:r>
      <w:r>
        <w:t xml:space="preserve"> </w:t>
      </w:r>
      <w:r>
        <w:t xml:space="preserve">– quarter 2023Q4</w:t>
      </w:r>
    </w:p>
    <w:p>
      <w:pPr>
        <w:pStyle w:val="FirstParagraph"/>
      </w:pPr>
      <w:r>
        <w:drawing>
          <wp:inline>
            <wp:extent cx="5334000" cy="3200400"/>
            <wp:effectExtent b="0" l="0" r="0" t="0"/>
            <wp:docPr descr="" title="" id="119" name="Picture"/>
            <a:graphic>
              <a:graphicData uri="http://schemas.openxmlformats.org/drawingml/2006/picture">
                <pic:pic>
                  <pic:nvPicPr>
                    <pic:cNvPr descr="pnl_group2_2023_Q4.png" id="120" name="Picture"/>
                    <pic:cNvPicPr>
                      <a:picLocks noChangeArrowheads="1" noChangeAspect="1"/>
                    </pic:cNvPicPr>
                  </pic:nvPicPr>
                  <pic:blipFill>
                    <a:blip r:embed="rId118"/>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In Q4 2023, our model experienced losses, with both gross and net PnL trending downwards and negative performance ratios.</w:t>
      </w:r>
    </w:p>
    <w:bookmarkEnd w:id="121"/>
    <w:bookmarkEnd w:id="122"/>
    <w:bookmarkStart w:id="125" w:name="summary-and-conclusions"/>
    <w:p>
      <w:pPr>
        <w:pStyle w:val="Heading1"/>
      </w:pPr>
      <w:r>
        <w:t xml:space="preserve">Summary and conclusions</w:t>
      </w:r>
    </w:p>
    <w:p>
      <w:pPr>
        <w:pStyle w:val="FirstParagraph"/>
      </w:pPr>
      <w:r>
        <w:t xml:space="preserve">The performance of our selected strategies was mixed, with some quarters showing significant profits, while others incurred losses. This variance can be attributed to the inherent volatility and unpredictability of high-frequency trading markets.</w:t>
      </w:r>
    </w:p>
    <w:bookmarkStart w:id="123" w:name="group-1-performance"/>
    <w:p>
      <w:pPr>
        <w:pStyle w:val="Heading2"/>
      </w:pPr>
      <w:r>
        <w:t xml:space="preserve">Group 1 Performance:</w:t>
      </w:r>
    </w:p>
    <w:p>
      <w:pPr>
        <w:pStyle w:val="FirstParagraph"/>
      </w:pPr>
      <w:r>
        <w:t xml:space="preserve">The strategy secured consistent profits in several quarters, with 2021Q1, 2021Q4, 2022Q1 and 2023Q1 being particularly notable for their high net profits and favorable risk-adjusted return ratios.</w:t>
      </w:r>
      <w:r>
        <w:t xml:space="preserve"> </w:t>
      </w:r>
      <w:r>
        <w:t xml:space="preserve">However, some quarters, such as 2021Q2, 2022Q3 2023Q3, presented challenges, resulting in negative gross and net PnL.</w:t>
      </w:r>
    </w:p>
    <w:bookmarkEnd w:id="123"/>
    <w:bookmarkStart w:id="124" w:name="group-2-performance"/>
    <w:p>
      <w:pPr>
        <w:pStyle w:val="Heading2"/>
      </w:pPr>
      <w:r>
        <w:t xml:space="preserve">Group 2 Performance:</w:t>
      </w:r>
    </w:p>
    <w:p>
      <w:pPr>
        <w:pStyle w:val="FirstParagraph"/>
      </w:pPr>
      <w:r>
        <w:t xml:space="preserve">Group 2’s strategy exhibited strong performance in quarters such as 2021Q2, 2021Q4, 2022Q2 and 2023Q2, marked by high Sharpe and Calmar Ratios and substantial net profits.</w:t>
      </w:r>
      <w:r>
        <w:t xml:space="preserve"> </w:t>
      </w:r>
      <w:r>
        <w:t xml:space="preserve">Contrarily, quarters like 2022Q1 and 2023Q4 demonstrated downturns with negative returns across both gross and net PnL.</w:t>
      </w:r>
      <w:r>
        <w:t xml:space="preserve"> </w:t>
      </w:r>
      <w:r>
        <w:t xml:space="preserve">Concluding Remarks</w:t>
      </w:r>
      <w:r>
        <w:t xml:space="preserve"> </w:t>
      </w:r>
      <w:r>
        <w:t xml:space="preserve">Our exploration into quantitative strategies reveals the complexity and dynamic nature of high-frequency trading. While we found success in certain periods, the strategies were not immune to losses, underscoring the need for continuous adaptation and risk management.</w:t>
      </w:r>
    </w:p>
    <w:p>
      <w:pPr>
        <w:pStyle w:val="BodyText"/>
      </w:pPr>
      <w:r>
        <w:rPr>
          <w:bCs/>
          <w:b/>
        </w:rPr>
        <w:t xml:space="preserve">In conclusion</w:t>
      </w:r>
      <w:r>
        <w:t xml:space="preserve">, our project underscores the potential of quantitative strategies in high-frequency data. However, it also serves as a reminder that profitability is not guaranteed, and a prudent trading approach should be balanced with rigorous risk assessment and management strategies to navigate the volatile trading landscape effectively.</w:t>
      </w:r>
    </w:p>
    <w:bookmarkEnd w:id="124"/>
    <w:bookmarkEnd w:id="1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98" Target="media/rId98.png" /><Relationship Type="http://schemas.openxmlformats.org/officeDocument/2006/relationships/image" Id="rId102" Target="media/rId102.png" /><Relationship Type="http://schemas.openxmlformats.org/officeDocument/2006/relationships/image" Id="rId106" Target="media/rId106.png" /><Relationship Type="http://schemas.openxmlformats.org/officeDocument/2006/relationships/image" Id="rId110" Target="media/rId110.png" /><Relationship Type="http://schemas.openxmlformats.org/officeDocument/2006/relationships/image" Id="rId114" Target="media/rId114.png" /><Relationship Type="http://schemas.openxmlformats.org/officeDocument/2006/relationships/image" Id="rId118" Target="media/rId11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Quantitative strategies on High Frequency Data</dc:title>
  <dc:creator>Team members: Aziz Aliev and Nijat Hasanli</dc:creator>
  <cp:keywords/>
  <dcterms:created xsi:type="dcterms:W3CDTF">2024-01-28T10:47:50Z</dcterms:created>
  <dcterms:modified xsi:type="dcterms:W3CDTF">2024-01-28T10:47:50Z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academic year 2023/2024</vt:lpwstr>
  </property>
  <property fmtid="{D5CDD505-2E9C-101B-9397-08002B2CF9AE}" pid="3" name="fontsize">
    <vt:lpwstr>14pt</vt:lpwstr>
  </property>
  <property fmtid="{D5CDD505-2E9C-101B-9397-08002B2CF9AE}" pid="4" name="output">
    <vt:lpwstr/>
  </property>
  <property fmtid="{D5CDD505-2E9C-101B-9397-08002B2CF9AE}" pid="5" name="subtitle">
    <vt:lpwstr>Final Report - Submission of project</vt:lpwstr>
  </property>
</Properties>
</file>