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pacing w:lineRule="auto" w:line="240" w:before="240" w:after="240"/>
        <w:rPr/>
      </w:pPr>
      <w:bookmarkStart w:id="0" w:name="_kovsawa0xprj"/>
      <w:bookmarkEnd w:id="0"/>
      <w:r>
        <w:rPr/>
        <w:t>[Firm Name] Artificial Intelligence Acceptable Use Policy</w:t>
      </w:r>
    </w:p>
    <w:p>
      <w:pPr>
        <w:pStyle w:val="normal1"/>
        <w:spacing w:lineRule="auto" w:line="240" w:before="240" w:after="240"/>
        <w:rPr>
          <w:b/>
          <w:bCs/>
        </w:rPr>
      </w:pPr>
      <w:r>
        <w:rPr>
          <w:b/>
          <w:bCs/>
        </w:rPr>
        <w:t>Our Uncompromising Commitment to Transparency, Security, and Human-Centric Financial Advice</w:t>
      </w:r>
    </w:p>
    <w:p>
      <w:pPr>
        <w:pStyle w:val="normal1"/>
        <w:spacing w:lineRule="auto" w:line="240" w:before="240" w:after="240"/>
        <w:rPr/>
      </w:pPr>
      <w:r>
        <w:rPr/>
        <w:t>At [Firm Name], our primary mission is to provide you with comprehensive, values-driven financial education and advice. As technology rapidly evolves, Generative Artificial Intelligence (AI) has emerged as a powerful tool within the financial services industry. We believe in radical transparency regarding how we operate our practice. This Artificial Intelligence Acceptable Use Policy outlines exactly how we leverage technology, how we meticulously protect your data, and our unwavering commitment to ensuring that human empathy, fiduciary judgment, and your personal values remain at the absolute center of your financial plan.</w:t>
      </w:r>
    </w:p>
    <w:p>
      <w:pPr>
        <w:pStyle w:val="normal1"/>
        <w:spacing w:lineRule="auto" w:line="240" w:before="240" w:after="240"/>
        <w:rPr>
          <w:b/>
          <w:bCs/>
          <w:color w:val="000000"/>
          <w:sz w:val="22"/>
          <w:szCs w:val="22"/>
        </w:rPr>
      </w:pPr>
      <w:r>
        <w:rPr>
          <w:b/>
          <w:bCs/>
        </w:rPr>
        <w:t xml:space="preserve">1. </w:t>
      </w:r>
      <w:r>
        <w:rPr>
          <w:b/>
          <w:bCs/>
          <w:color w:val="000000"/>
          <w:sz w:val="22"/>
          <w:szCs w:val="22"/>
        </w:rPr>
        <w:t>Why We Use Artificial Intelligence</w:t>
      </w:r>
    </w:p>
    <w:p>
      <w:pPr>
        <w:pStyle w:val="normal1"/>
        <w:spacing w:lineRule="auto" w:line="240" w:before="240" w:after="240"/>
        <w:rPr/>
      </w:pPr>
      <w:r>
        <w:rPr/>
        <w:t>We utilize enterprise-grade AI tools to dramatically enhance the operational efficiency of our firm. By allowing highly secure software to handle time-intensive administrative tasks, we compress our back-office workload. This enables us to dedicate significantly more hours to what truly matters: direct communication, deep behavioral coaching, and personalized strategic planning for your family's future.</w:t>
      </w:r>
    </w:p>
    <w:p>
      <w:pPr>
        <w:pStyle w:val="normal1"/>
        <w:spacing w:lineRule="auto" w:line="240" w:before="240" w:after="240"/>
        <w:rPr/>
      </w:pPr>
      <w:r>
        <w:rPr/>
        <w:t>Appropriate, highly regulated AI use cases within our firm include:</w:t>
      </w:r>
    </w:p>
    <w:p>
      <w:pPr>
        <w:pStyle w:val="normal1"/>
        <w:numPr>
          <w:ilvl w:val="0"/>
          <w:numId w:val="2"/>
        </w:numPr>
        <w:spacing w:lineRule="auto" w:line="240" w:before="240" w:afterAutospacing="0" w:after="0"/>
        <w:ind w:hanging="360" w:left="720"/>
        <w:rPr/>
      </w:pPr>
      <w:r>
        <w:rPr>
          <w:b/>
          <w:bCs/>
        </w:rPr>
        <w:t>Meeting Transcriptions and Summaries:</w:t>
      </w:r>
      <w:r>
        <w:rPr/>
        <w:t xml:space="preserve"> Utilizing secure AI to take accurate, real-time notes during our meetings. This allows your advisor to remain fully emotionally present and engaged in our conversation, rather than looking down at a notepad.</w:t>
      </w:r>
    </w:p>
    <w:p>
      <w:pPr>
        <w:pStyle w:val="normal1"/>
        <w:numPr>
          <w:ilvl w:val="0"/>
          <w:numId w:val="2"/>
        </w:numPr>
        <w:spacing w:lineRule="auto" w:line="240" w:beforeAutospacing="0" w:before="0" w:afterAutospacing="0" w:after="0"/>
        <w:ind w:hanging="360" w:left="720"/>
        <w:rPr/>
      </w:pPr>
      <w:r>
        <w:rPr>
          <w:b/>
          <w:bCs/>
        </w:rPr>
        <w:t>Data Aggregation:</w:t>
      </w:r>
      <w:r>
        <w:rPr/>
        <w:t xml:space="preserve"> Synthesizing complex financial documents to prepare initial organizational frameworks and educational one-pagers for your review.</w:t>
      </w:r>
    </w:p>
    <w:p>
      <w:pPr>
        <w:pStyle w:val="normal1"/>
        <w:numPr>
          <w:ilvl w:val="0"/>
          <w:numId w:val="2"/>
        </w:numPr>
        <w:spacing w:lineRule="auto" w:line="240" w:beforeAutospacing="0" w:before="0" w:after="240"/>
        <w:ind w:hanging="360" w:left="720"/>
        <w:rPr/>
      </w:pPr>
      <w:r>
        <w:rPr>
          <w:b/>
          <w:bCs/>
        </w:rPr>
        <w:t>Communication Refinement:</w:t>
      </w:r>
      <w:r>
        <w:rPr/>
        <w:t xml:space="preserve"> Assisting in drafting, proofreading, and clarifying the educational materials we produce tailored to your specific needs.</w:t>
      </w:r>
    </w:p>
    <w:p>
      <w:pPr>
        <w:pStyle w:val="normal1"/>
        <w:spacing w:lineRule="auto" w:line="240" w:before="240" w:after="240"/>
        <w:rPr/>
      </w:pPr>
      <w:r>
        <w:rPr>
          <w:b/>
          <w:bCs/>
        </w:rPr>
        <w:t>We Do Not Hide Our Efficiency:</w:t>
      </w:r>
      <w:r>
        <w:rPr/>
        <w:t xml:space="preserve"> We do not hide our use of AI because we know our value is not derived from administrative data entry. Our value—and the fee you pay us—is derived entirely from the personalized, fiduciary judgment we apply to your unique life circumstances.</w:t>
      </w:r>
    </w:p>
    <w:p>
      <w:pPr>
        <w:pStyle w:val="Heading4"/>
        <w:keepNext w:val="false"/>
        <w:keepLines w:val="false"/>
        <w:spacing w:lineRule="auto" w:line="240" w:before="240" w:after="40"/>
        <w:rPr>
          <w:b/>
          <w:bCs/>
          <w:color w:val="000000"/>
          <w:sz w:val="22"/>
          <w:szCs w:val="22"/>
        </w:rPr>
      </w:pPr>
      <w:bookmarkStart w:id="1" w:name="_efk67notw04j"/>
      <w:bookmarkEnd w:id="1"/>
      <w:r>
        <w:rPr>
          <w:b/>
          <w:bCs/>
          <w:color w:val="000000"/>
          <w:sz w:val="22"/>
          <w:szCs w:val="22"/>
        </w:rPr>
        <w:t>2. The Fiduciary Guarantee: Human-in-the-Loop Verification</w:t>
      </w:r>
    </w:p>
    <w:p>
      <w:pPr>
        <w:pStyle w:val="normal1"/>
        <w:spacing w:lineRule="auto" w:line="240" w:before="240" w:after="240"/>
        <w:rPr/>
      </w:pPr>
      <w:r>
        <w:rPr/>
        <w:t>An AI algorithm cannot act as a fiduciary. It fundamentally lacks empathy, human judgment, and legal accountability. AI systems are known to occasionally produce confidence, inaccurate information, known as "hallucinations." Therefore, we adhere strictly to a "Trust, But Verify" framework.</w:t>
      </w:r>
    </w:p>
    <w:p>
      <w:pPr>
        <w:pStyle w:val="normal1"/>
        <w:numPr>
          <w:ilvl w:val="0"/>
          <w:numId w:val="4"/>
        </w:numPr>
        <w:spacing w:lineRule="auto" w:line="240" w:before="240" w:afterAutospacing="0" w:after="0"/>
        <w:ind w:hanging="360" w:left="720"/>
        <w:rPr/>
      </w:pPr>
      <w:r>
        <w:rPr>
          <w:b/>
          <w:bCs/>
        </w:rPr>
        <w:t>Zero Automated Advice:</w:t>
      </w:r>
      <w:r>
        <w:rPr/>
        <w:t xml:space="preserve"> AI will never independently generate your financial plan, make automated investment recommendations, dictate tax strategies, or execute trades on your behalf.</w:t>
      </w:r>
    </w:p>
    <w:p>
      <w:pPr>
        <w:pStyle w:val="normal1"/>
        <w:numPr>
          <w:ilvl w:val="0"/>
          <w:numId w:val="4"/>
        </w:numPr>
        <w:spacing w:lineRule="auto" w:line="240" w:beforeAutospacing="0" w:before="0" w:after="240"/>
        <w:ind w:hanging="360" w:left="720"/>
        <w:rPr/>
      </w:pPr>
      <w:r>
        <w:rPr>
          <w:b/>
          <w:bCs/>
        </w:rPr>
        <w:t>Mandatory Human Verification:</w:t>
      </w:r>
      <w:r>
        <w:rPr/>
        <w:t xml:space="preserve"> Every calculation, retirement projection, and strategic recommendation produced with the assistance of AI is independently verified, validated, and approved by a qualified human CERTIFIED FINANCIAL PLANNER™ professional before it is presented to you.</w:t>
      </w:r>
    </w:p>
    <w:p>
      <w:pPr>
        <w:pStyle w:val="Heading4"/>
        <w:keepNext w:val="false"/>
        <w:keepLines w:val="false"/>
        <w:spacing w:lineRule="auto" w:line="240" w:before="240" w:after="40"/>
        <w:rPr>
          <w:b/>
          <w:bCs/>
          <w:color w:val="000000"/>
          <w:sz w:val="22"/>
          <w:szCs w:val="22"/>
        </w:rPr>
      </w:pPr>
      <w:bookmarkStart w:id="2" w:name="_um863fx6ayo2"/>
      <w:bookmarkEnd w:id="2"/>
      <w:r>
        <w:rPr>
          <w:b/>
          <w:bCs/>
          <w:color w:val="000000"/>
          <w:sz w:val="22"/>
          <w:szCs w:val="22"/>
        </w:rPr>
        <w:t>3. Strict Adherence to Professional Code and Standards</w:t>
      </w:r>
    </w:p>
    <w:p>
      <w:pPr>
        <w:pStyle w:val="normal1"/>
        <w:spacing w:lineRule="auto" w:line="240" w:before="240" w:after="240"/>
        <w:rPr/>
      </w:pPr>
      <w:r>
        <w:rPr/>
        <w:t xml:space="preserve">Our use of technology is strictly governed by the ethical frameworks established by our profession's leading regulatory bodies. We fully adhere to the </w:t>
      </w:r>
      <w:hyperlink r:id="rId2">
        <w:r>
          <w:rPr>
            <w:rStyle w:val="ListLabel55"/>
            <w:b/>
            <w:bCs/>
            <w:color w:val="1155CC"/>
            <w:u w:val="single"/>
          </w:rPr>
          <w:t>CFP Board’s Generative AI Ethics Guide</w:t>
        </w:r>
      </w:hyperlink>
      <w:r>
        <w:rPr/>
        <w:t>. This ensures that our integration of technology never compromises our professional integrity, objectivity, or our legal obligation to act in your absolute best interest.</w:t>
      </w:r>
    </w:p>
    <w:p>
      <w:pPr>
        <w:pStyle w:val="Heading4"/>
        <w:keepNext w:val="false"/>
        <w:keepLines w:val="false"/>
        <w:spacing w:lineRule="auto" w:line="240" w:before="240" w:after="40"/>
        <w:rPr>
          <w:b/>
          <w:bCs/>
          <w:color w:val="000000"/>
          <w:sz w:val="22"/>
          <w:szCs w:val="22"/>
        </w:rPr>
      </w:pPr>
      <w:bookmarkStart w:id="3" w:name="_gjrs266e24k"/>
      <w:bookmarkEnd w:id="3"/>
      <w:r>
        <w:rPr>
          <w:b/>
          <w:bCs/>
          <w:color w:val="000000"/>
          <w:sz w:val="22"/>
          <w:szCs w:val="22"/>
        </w:rPr>
        <w:t>4. Ironclad Data Privacy and SEC Compliance</w:t>
      </w:r>
    </w:p>
    <w:p>
      <w:pPr>
        <w:pStyle w:val="normal1"/>
        <w:spacing w:lineRule="auto" w:line="240" w:before="240" w:after="240"/>
        <w:rPr/>
      </w:pPr>
      <w:r>
        <w:rPr/>
        <w:t>Protecting your Nonpublic Personal Information (NPI) is our highest operational priority. We maintain rigorous compliance with all federal privacy laws, including the stringent data protection and cybersecurity requirements outlined in the SEC’s Regulation S-P.</w:t>
      </w:r>
    </w:p>
    <w:p>
      <w:pPr>
        <w:pStyle w:val="normal1"/>
        <w:numPr>
          <w:ilvl w:val="0"/>
          <w:numId w:val="1"/>
        </w:numPr>
        <w:spacing w:lineRule="auto" w:line="240" w:before="240" w:afterAutospacing="0" w:after="0"/>
        <w:ind w:hanging="360" w:left="720"/>
        <w:rPr/>
      </w:pPr>
      <w:r>
        <w:rPr>
          <w:b/>
          <w:bCs/>
        </w:rPr>
        <w:t>No Public Training Models:</w:t>
      </w:r>
      <w:r>
        <w:rPr/>
        <w:t xml:space="preserve"> We strictly forbid the use of public, open-source AI models (such as the free, public versions of ChatGPT) for any client work. Your personal data, financial statements, and meeting notes are </w:t>
      </w:r>
      <w:r>
        <w:rPr>
          <w:i/>
          <w:iCs/>
        </w:rPr>
        <w:t>never</w:t>
      </w:r>
      <w:r>
        <w:rPr/>
        <w:t xml:space="preserve"> used to train public AI algorithms.</w:t>
      </w:r>
    </w:p>
    <w:p>
      <w:pPr>
        <w:pStyle w:val="normal1"/>
        <w:numPr>
          <w:ilvl w:val="0"/>
          <w:numId w:val="1"/>
        </w:numPr>
        <w:spacing w:lineRule="auto" w:line="240" w:beforeAutospacing="0" w:before="0" w:afterAutospacing="0" w:after="0"/>
        <w:ind w:hanging="360" w:left="720"/>
        <w:rPr/>
      </w:pPr>
      <w:r>
        <w:rPr>
          <w:b/>
          <w:bCs/>
        </w:rPr>
        <w:t>Enterprise-Grade Security:</w:t>
      </w:r>
      <w:r>
        <w:rPr/>
        <w:t xml:space="preserve"> We exclusively utilize enterprise-level AI software where data is cryptographically secured, and governed by strict confidentiality agreements.</w:t>
      </w:r>
    </w:p>
    <w:p>
      <w:pPr>
        <w:pStyle w:val="normal1"/>
        <w:numPr>
          <w:ilvl w:val="0"/>
          <w:numId w:val="1"/>
        </w:numPr>
        <w:spacing w:lineRule="auto" w:line="240" w:beforeAutospacing="0" w:before="0" w:after="240"/>
        <w:ind w:hanging="360" w:left="720"/>
        <w:rPr/>
      </w:pPr>
      <w:r>
        <w:rPr>
          <w:b/>
          <w:bCs/>
        </w:rPr>
        <w:t>Incident Response Readiness:</w:t>
      </w:r>
      <w:r>
        <w:rPr/>
        <w:t xml:space="preserve"> In compliance with SEC guidelines, our firm maintains a comprehensive, written incident response program. In the highly unlikely event of an unauthorized data breach at one of our software vendors, we are equipped to take immediate containment action and will notify you well within the 30-day regulatory mandate.</w:t>
      </w:r>
    </w:p>
    <w:p>
      <w:pPr>
        <w:pStyle w:val="Heading4"/>
        <w:keepNext w:val="false"/>
        <w:keepLines w:val="false"/>
        <w:spacing w:lineRule="auto" w:line="240" w:before="240" w:after="40"/>
        <w:rPr>
          <w:b/>
          <w:bCs/>
          <w:color w:val="000000"/>
          <w:sz w:val="22"/>
          <w:szCs w:val="22"/>
        </w:rPr>
      </w:pPr>
      <w:bookmarkStart w:id="4" w:name="_uhcrmunqq1rd"/>
      <w:bookmarkEnd w:id="4"/>
      <w:r>
        <w:rPr>
          <w:b/>
          <w:bCs/>
          <w:color w:val="000000"/>
          <w:sz w:val="22"/>
          <w:szCs w:val="22"/>
        </w:rPr>
        <w:t>5. Vendor Oversight and Data Residency</w:t>
      </w:r>
    </w:p>
    <w:p>
      <w:pPr>
        <w:pStyle w:val="normal1"/>
        <w:spacing w:lineRule="auto" w:line="240" w:before="240" w:after="240"/>
        <w:rPr/>
      </w:pPr>
      <w:r>
        <w:rPr/>
        <w:t>We do not blindly trust third-party software providers. Our firm conducts rigorous due diligence on any service provider that interacts with our technological infrastructure.</w:t>
      </w:r>
    </w:p>
    <w:p>
      <w:pPr>
        <w:pStyle w:val="normal1"/>
        <w:numPr>
          <w:ilvl w:val="0"/>
          <w:numId w:val="6"/>
        </w:numPr>
        <w:spacing w:lineRule="auto" w:line="240" w:before="240" w:afterAutospacing="0" w:after="0"/>
        <w:ind w:hanging="360" w:left="720"/>
        <w:rPr/>
      </w:pPr>
      <w:r>
        <w:rPr>
          <w:b/>
          <w:bCs/>
        </w:rPr>
        <w:t>Strict Breach Reporting:</w:t>
      </w:r>
      <w:r>
        <w:rPr/>
        <w:t xml:space="preserve"> All AI vendors are contractually obligated to report any potential security incidents to our firm within 72 hours of discovery.</w:t>
      </w:r>
    </w:p>
    <w:p>
      <w:pPr>
        <w:pStyle w:val="normal1"/>
        <w:numPr>
          <w:ilvl w:val="0"/>
          <w:numId w:val="6"/>
        </w:numPr>
        <w:spacing w:lineRule="auto" w:line="240" w:beforeAutospacing="0" w:before="0" w:after="240"/>
        <w:ind w:hanging="360" w:left="720"/>
        <w:rPr/>
      </w:pPr>
      <w:r>
        <w:rPr>
          <w:b/>
          <w:bCs/>
        </w:rPr>
        <w:t>Data Residency:</w:t>
      </w:r>
      <w:r>
        <w:rPr/>
        <w:t xml:space="preserve"> We actively monitor where our software partners process and store data. We require adherence to strict data localization laws, ensuring your sensitive financial information is stored on highly secure, domestic servers and shielded from unauthorized cross-border transfers.</w:t>
      </w:r>
    </w:p>
    <w:p>
      <w:pPr>
        <w:pStyle w:val="Heading4"/>
        <w:keepNext w:val="false"/>
        <w:keepLines w:val="false"/>
        <w:spacing w:lineRule="auto" w:line="240" w:before="240" w:after="40"/>
        <w:rPr>
          <w:b/>
          <w:bCs/>
          <w:color w:val="000000"/>
          <w:sz w:val="22"/>
          <w:szCs w:val="22"/>
        </w:rPr>
      </w:pPr>
      <w:bookmarkStart w:id="5" w:name="_qsb5s2ksn5c5"/>
      <w:bookmarkEnd w:id="5"/>
      <w:r>
        <w:rPr>
          <w:b/>
          <w:bCs/>
          <w:color w:val="000000"/>
          <w:sz w:val="22"/>
          <w:szCs w:val="22"/>
        </w:rPr>
        <w:t>6. Protection Against AI-Enabled Fraud</w:t>
      </w:r>
    </w:p>
    <w:p>
      <w:pPr>
        <w:pStyle w:val="normal1"/>
        <w:spacing w:lineRule="auto" w:line="240" w:before="240" w:after="240"/>
        <w:rPr/>
      </w:pPr>
      <w:r>
        <w:rPr/>
        <w:t>As AI technology becomes more accessible, sophisticated financial scams—including voice cloning, spoofed caller IDs, and highly convincing phishing emails—are on the rise. We serve as a protective firewall for your wealth.</w:t>
      </w:r>
    </w:p>
    <w:p>
      <w:pPr>
        <w:pStyle w:val="normal1"/>
        <w:numPr>
          <w:ilvl w:val="0"/>
          <w:numId w:val="3"/>
        </w:numPr>
        <w:spacing w:lineRule="auto" w:line="240" w:before="240" w:afterAutospacing="0" w:after="0"/>
        <w:ind w:hanging="360" w:left="720"/>
        <w:rPr/>
      </w:pPr>
      <w:r>
        <w:rPr>
          <w:b/>
          <w:bCs/>
        </w:rPr>
        <w:t>Strict Verification Protocols:</w:t>
      </w:r>
      <w:r>
        <w:rPr/>
        <w:t xml:space="preserve"> We will </w:t>
      </w:r>
      <w:r>
        <w:rPr>
          <w:i/>
          <w:iCs/>
        </w:rPr>
        <w:t>never</w:t>
      </w:r>
      <w:r>
        <w:rPr/>
        <w:t xml:space="preserve"> execute a wire transfer, move assets, or change sensitive account information based solely on an email, text message, or automated voicemail. All highly sensitive requests require live, two-way human verification.</w:t>
      </w:r>
    </w:p>
    <w:p>
      <w:pPr>
        <w:pStyle w:val="normal1"/>
        <w:numPr>
          <w:ilvl w:val="0"/>
          <w:numId w:val="3"/>
        </w:numPr>
        <w:spacing w:lineRule="auto" w:line="240" w:beforeAutospacing="0" w:before="0" w:afterAutospacing="0" w:after="0"/>
        <w:ind w:hanging="360" w:left="720"/>
        <w:rPr/>
      </w:pPr>
      <w:r>
        <w:rPr/>
        <w:t>With all clients, we create a secret passcode to further authenticate requests and protect from “voice cloning”.</w:t>
      </w:r>
    </w:p>
    <w:p>
      <w:pPr>
        <w:pStyle w:val="normal1"/>
        <w:numPr>
          <w:ilvl w:val="0"/>
          <w:numId w:val="3"/>
        </w:numPr>
        <w:spacing w:lineRule="auto" w:line="240" w:beforeAutospacing="0" w:before="0" w:after="240"/>
        <w:ind w:hanging="360" w:left="720"/>
        <w:rPr/>
      </w:pPr>
      <w:r>
        <w:rPr/>
        <w:t>If you ever receive a suspicious communication appearing to be from our firm, the IRS, or a financial institution demanding immediate action, we urge you to contact us directly via our published phone numbers for immediate verification.</w:t>
      </w:r>
    </w:p>
    <w:p>
      <w:pPr>
        <w:pStyle w:val="normal1"/>
        <w:spacing w:lineRule="auto" w:line="240" w:before="240" w:after="240"/>
        <w:rPr/>
      </w:pPr>
      <w:r>
        <w:rPr>
          <w:b/>
          <w:bCs/>
        </w:rPr>
        <w:t>Our Promise to You:</w:t>
      </w:r>
      <w:r>
        <w:rPr/>
        <w:t xml:space="preserve"> Technology will continuously evolve, but our commitment to your financial well-being is permanent. During times of market volatility, personal transition, or complex decision-making, you will never be outsourced to a chatbot. You will always be guided by a human advisor who understands your values, shares your goals, and acts entirely in your best interest.</w:t>
      </w:r>
    </w:p>
    <w:p>
      <w:pPr>
        <w:pStyle w:val="normal1"/>
        <w:rPr/>
      </w:pPr>
      <w:r>
        <w:rPr/>
      </w:r>
    </w:p>
    <w:p>
      <w:pPr>
        <w:pStyle w:val="normal1"/>
        <w:rPr/>
      </w:pPr>
      <w:r>
        <w:rPr/>
      </w:r>
    </w:p>
    <w:p>
      <w:pPr>
        <w:pStyle w:val="normal1"/>
        <w:rPr/>
      </w:pPr>
      <w:r>
        <w:rPr/>
      </w:r>
    </w:p>
    <w:p>
      <w:pPr>
        <w:pStyle w:val="Heading1"/>
        <w:rPr/>
      </w:pPr>
      <w:bookmarkStart w:id="6" w:name="_k6r48vavsb8i"/>
      <w:bookmarkEnd w:id="6"/>
      <w:r>
        <w:rPr/>
        <w:t>Using this Document in your Firm</w:t>
      </w:r>
    </w:p>
    <w:p>
      <w:pPr>
        <w:pStyle w:val="normal1"/>
        <w:numPr>
          <w:ilvl w:val="0"/>
          <w:numId w:val="5"/>
        </w:numPr>
        <w:ind w:hanging="360" w:left="720"/>
        <w:rPr>
          <w:u w:val="none"/>
        </w:rPr>
      </w:pPr>
      <w:r>
        <w:rPr/>
        <w:t xml:space="preserve">Please review this policy with appropriate legal counsel and your compliance advisor to ensure it meets your needs and reflects reality for your firm. </w:t>
      </w:r>
    </w:p>
    <w:p>
      <w:pPr>
        <w:pStyle w:val="normal1"/>
        <w:numPr>
          <w:ilvl w:val="0"/>
          <w:numId w:val="5"/>
        </w:numPr>
        <w:ind w:hanging="360" w:left="720"/>
        <w:rPr>
          <w:u w:val="none"/>
        </w:rPr>
      </w:pPr>
      <w:r>
        <w:rPr/>
        <w:t xml:space="preserve">We recommend walking through how you use AI through a sample drafting session or screenshare with the client how you use it and verify it.  </w:t>
      </w:r>
    </w:p>
    <w:p>
      <w:pPr>
        <w:pStyle w:val="normal1"/>
        <w:numPr>
          <w:ilvl w:val="0"/>
          <w:numId w:val="5"/>
        </w:numPr>
        <w:ind w:hanging="360" w:left="720"/>
        <w:rPr>
          <w:u w:val="none"/>
        </w:rPr>
      </w:pPr>
      <w:r>
        <w:rPr/>
        <w:t xml:space="preserve">CFP® CE Credits? We will be hosting an approved webinar titled “Leveraging AI as a Fiduciary: Moving from Never Ending Chats into Personalized, Accurate, and Secure Advice”. </w:t>
      </w:r>
      <w:hyperlink r:id="rId3">
        <w:r>
          <w:rPr>
            <w:rStyle w:val="ListLabel56"/>
            <w:color w:val="1155CC"/>
            <w:u w:val="single"/>
          </w:rPr>
          <w:t xml:space="preserve">Sign up to be notified here. </w:t>
        </w:r>
      </w:hyperlink>
    </w:p>
    <w:p>
      <w:pPr>
        <w:pStyle w:val="normal1"/>
        <w:numPr>
          <w:ilvl w:val="0"/>
          <w:numId w:val="5"/>
        </w:numPr>
        <w:ind w:hanging="360" w:left="720"/>
        <w:rPr>
          <w:u w:val="none"/>
        </w:rPr>
      </w:pPr>
      <w:r>
        <w:rPr/>
        <w:t xml:space="preserve">Download source document here </w:t>
      </w:r>
      <w:hyperlink r:id="rId4">
        <w:r>
          <w:rPr>
            <w:rStyle w:val="Hyperlink"/>
          </w:rPr>
          <w:t>https://github.com/FinPodsAI/RIA-resources</w:t>
        </w:r>
      </w:hyperlink>
      <w:hyperlink r:id="rId5">
        <w:r>
          <w:rPr/>
          <w:t xml:space="preserve"> </w:t>
        </w:r>
      </w:hyperlink>
    </w:p>
    <w:p>
      <w:pPr>
        <w:pStyle w:val="normal1"/>
        <w:rPr/>
      </w:pPr>
      <w:r>
        <w:rPr/>
      </w:r>
    </w:p>
    <w:p>
      <w:pPr>
        <w:pStyle w:val="normal1"/>
        <w:rPr/>
      </w:pPr>
      <w:r>
        <w:rPr/>
        <w:t xml:space="preserve">Copyright 2026: This work is licensed under </w:t>
      </w:r>
      <w:hyperlink r:id="rId6">
        <w:r>
          <w:rPr>
            <w:rStyle w:val="ListLabel56"/>
            <w:color w:val="1155CC"/>
            <w:u w:val="single"/>
          </w:rPr>
          <w:t>CC-BY-SA 4.0</w:t>
        </w:r>
      </w:hyperlink>
      <w:r>
        <w:rPr/>
        <w:t xml:space="preserve"> by Fin Pods AI - A Public Benefit Corporation. If used with personal financial planning clients or as part of your policies and procedures no attribution or copyright notice is required</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isplayBackgroundShape/>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fp.net/-/media/files/cfp-board/standards-and-ethics/compliance-resources/cfp-board-ethics-and-generative-ai-checklist.pdf" TargetMode="External"/><Relationship Id="rId3" Type="http://schemas.openxmlformats.org/officeDocument/2006/relationships/hyperlink" Target="https://417vxb.share-na2.hsforms.com/200WoG3hoRT2CzJ4U4MVFeg" TargetMode="External"/><Relationship Id="rId4" Type="http://schemas.openxmlformats.org/officeDocument/2006/relationships/hyperlink" Target="https://github.com/FinPodsAI/RIA-resources" TargetMode="External"/><Relationship Id="rId5" Type="http://schemas.openxmlformats.org/officeDocument/2006/relationships/hyperlink" Target="" TargetMode="External"/><Relationship Id="rId6" Type="http://schemas.openxmlformats.org/officeDocument/2006/relationships/hyperlink" Target="https://creativecommons.org/licenses/by-sa/4.0/deed.en"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1044</Words>
  <Characters>6162</Characters>
  <CharactersWithSpaces>7153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2026-05-29T08:09:30Z</dcterms:modified>
  <cp:revision>2</cp:revision>
  <dc:subject/>
  <dc:title/>
</cp:coreProperties>
</file>