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66B" w:rsidRPr="00D6366B" w:rsidRDefault="00D6366B" w:rsidP="00D6366B">
      <w:pPr>
        <w:rPr>
          <w:rFonts w:hint="eastAsia"/>
          <w:sz w:val="24"/>
        </w:rPr>
      </w:pPr>
      <w:r w:rsidRPr="00953AC4">
        <w:rPr>
          <w:rFonts w:hint="eastAsia"/>
          <w:b/>
          <w:sz w:val="24"/>
        </w:rPr>
        <w:t>第</w:t>
      </w:r>
      <w:r w:rsidRPr="00953AC4">
        <w:rPr>
          <w:rFonts w:hint="eastAsia"/>
          <w:b/>
          <w:sz w:val="24"/>
        </w:rPr>
        <w:t>4</w:t>
      </w:r>
      <w:r w:rsidRPr="00953AC4">
        <w:rPr>
          <w:rFonts w:hint="eastAsia"/>
          <w:b/>
          <w:sz w:val="24"/>
        </w:rPr>
        <w:t>题</w:t>
      </w:r>
      <w:r w:rsidRPr="00953AC4">
        <w:rPr>
          <w:b/>
          <w:sz w:val="24"/>
        </w:rPr>
        <w:t>答案</w:t>
      </w:r>
      <w:r>
        <w:rPr>
          <w:rFonts w:hint="eastAsia"/>
          <w:sz w:val="24"/>
        </w:rPr>
        <w:t>：</w:t>
      </w:r>
      <w:r w:rsidRPr="00D6366B">
        <w:rPr>
          <w:rFonts w:hint="eastAsia"/>
          <w:sz w:val="24"/>
        </w:rPr>
        <w:t>第一，完全没有负债融资的</w:t>
      </w:r>
      <w:r w:rsidRPr="00D6366B">
        <w:rPr>
          <w:rFonts w:hint="eastAsia"/>
          <w:sz w:val="24"/>
        </w:rPr>
        <w:t>A</w:t>
      </w:r>
      <w:r w:rsidRPr="00D6366B">
        <w:rPr>
          <w:rFonts w:hint="eastAsia"/>
          <w:sz w:val="24"/>
        </w:rPr>
        <w:t>公司相对于具有债务融资的</w:t>
      </w:r>
      <w:r w:rsidRPr="00D6366B">
        <w:rPr>
          <w:rFonts w:hint="eastAsia"/>
          <w:sz w:val="24"/>
        </w:rPr>
        <w:t>B</w:t>
      </w:r>
      <w:r w:rsidRPr="00D6366B">
        <w:rPr>
          <w:rFonts w:hint="eastAsia"/>
          <w:sz w:val="24"/>
        </w:rPr>
        <w:t>公司、</w:t>
      </w:r>
      <w:r w:rsidRPr="00D6366B">
        <w:rPr>
          <w:rFonts w:hint="eastAsia"/>
          <w:sz w:val="24"/>
        </w:rPr>
        <w:t>C</w:t>
      </w:r>
      <w:r w:rsidRPr="00D6366B">
        <w:rPr>
          <w:rFonts w:hint="eastAsia"/>
          <w:sz w:val="24"/>
        </w:rPr>
        <w:t>公司而言，当息前税前利润增加</w:t>
      </w:r>
      <w:r w:rsidRPr="00D6366B">
        <w:rPr>
          <w:rFonts w:hint="eastAsia"/>
          <w:sz w:val="24"/>
        </w:rPr>
        <w:t>1</w:t>
      </w:r>
      <w:r w:rsidRPr="00D6366B">
        <w:rPr>
          <w:rFonts w:hint="eastAsia"/>
          <w:sz w:val="24"/>
        </w:rPr>
        <w:t>倍的情况下（从</w:t>
      </w:r>
      <w:r w:rsidRPr="00D6366B">
        <w:rPr>
          <w:rFonts w:hint="eastAsia"/>
          <w:sz w:val="24"/>
        </w:rPr>
        <w:t>200 000</w:t>
      </w:r>
      <w:r w:rsidRPr="00D6366B">
        <w:rPr>
          <w:rFonts w:hint="eastAsia"/>
          <w:sz w:val="24"/>
        </w:rPr>
        <w:t>元增加到</w:t>
      </w:r>
      <w:r w:rsidRPr="00D6366B">
        <w:rPr>
          <w:rFonts w:hint="eastAsia"/>
          <w:sz w:val="24"/>
        </w:rPr>
        <w:t>400 000</w:t>
      </w:r>
      <w:r w:rsidRPr="00D6366B">
        <w:rPr>
          <w:rFonts w:hint="eastAsia"/>
          <w:sz w:val="24"/>
        </w:rPr>
        <w:t>元），每股收益也增加了</w:t>
      </w:r>
      <w:r w:rsidRPr="00D6366B">
        <w:rPr>
          <w:rFonts w:hint="eastAsia"/>
          <w:sz w:val="24"/>
        </w:rPr>
        <w:t>1</w:t>
      </w:r>
      <w:r w:rsidRPr="00D6366B">
        <w:rPr>
          <w:rFonts w:hint="eastAsia"/>
          <w:sz w:val="24"/>
        </w:rPr>
        <w:t>倍，说明每股收益与息前税前利润同步变化，即没有显现出财务杠杆效应。而</w:t>
      </w:r>
      <w:r w:rsidRPr="00D6366B">
        <w:rPr>
          <w:rFonts w:hint="eastAsia"/>
          <w:sz w:val="24"/>
        </w:rPr>
        <w:t>B</w:t>
      </w:r>
      <w:r w:rsidRPr="00D6366B">
        <w:rPr>
          <w:rFonts w:hint="eastAsia"/>
          <w:sz w:val="24"/>
        </w:rPr>
        <w:t>公司、</w:t>
      </w:r>
      <w:r w:rsidRPr="00D6366B">
        <w:rPr>
          <w:rFonts w:hint="eastAsia"/>
          <w:sz w:val="24"/>
        </w:rPr>
        <w:t>C</w:t>
      </w:r>
      <w:r w:rsidRPr="00D6366B">
        <w:rPr>
          <w:rFonts w:hint="eastAsia"/>
          <w:sz w:val="24"/>
        </w:rPr>
        <w:t>公司每股收益的变化率则分别为</w:t>
      </w:r>
      <w:r w:rsidRPr="00D6366B">
        <w:rPr>
          <w:rFonts w:hint="eastAsia"/>
          <w:sz w:val="24"/>
        </w:rPr>
        <w:t>125%</w:t>
      </w:r>
      <w:r w:rsidRPr="00D6366B">
        <w:rPr>
          <w:rFonts w:hint="eastAsia"/>
          <w:sz w:val="24"/>
        </w:rPr>
        <w:t>和</w:t>
      </w:r>
      <w:r w:rsidRPr="00D6366B">
        <w:rPr>
          <w:rFonts w:hint="eastAsia"/>
          <w:sz w:val="24"/>
        </w:rPr>
        <w:t>167%</w:t>
      </w:r>
      <w:r w:rsidRPr="00D6366B">
        <w:rPr>
          <w:rFonts w:hint="eastAsia"/>
          <w:sz w:val="24"/>
        </w:rPr>
        <w:t>，变动幅度均超过了息前税前利润所增加的</w:t>
      </w:r>
      <w:r w:rsidRPr="00D6366B">
        <w:rPr>
          <w:rFonts w:hint="eastAsia"/>
          <w:sz w:val="24"/>
        </w:rPr>
        <w:t>1</w:t>
      </w:r>
      <w:r w:rsidRPr="00D6366B">
        <w:rPr>
          <w:rFonts w:hint="eastAsia"/>
          <w:sz w:val="24"/>
        </w:rPr>
        <w:t>倍，显示出财务杠杆效应。</w:t>
      </w:r>
    </w:p>
    <w:p w:rsidR="00D6366B" w:rsidRPr="00D6366B" w:rsidRDefault="00D6366B" w:rsidP="00D6366B">
      <w:pPr>
        <w:rPr>
          <w:rFonts w:hint="eastAsia"/>
          <w:sz w:val="24"/>
        </w:rPr>
      </w:pPr>
      <w:r w:rsidRPr="00D6366B">
        <w:rPr>
          <w:rFonts w:hint="eastAsia"/>
          <w:sz w:val="24"/>
        </w:rPr>
        <w:t>第二，除</w:t>
      </w:r>
      <w:r w:rsidRPr="00D6366B">
        <w:rPr>
          <w:rFonts w:hint="eastAsia"/>
          <w:sz w:val="24"/>
        </w:rPr>
        <w:t>A</w:t>
      </w:r>
      <w:r w:rsidRPr="00D6366B">
        <w:rPr>
          <w:rFonts w:hint="eastAsia"/>
          <w:sz w:val="24"/>
        </w:rPr>
        <w:t>公司没有负债外，</w:t>
      </w:r>
      <w:r w:rsidRPr="00D6366B">
        <w:rPr>
          <w:rFonts w:hint="eastAsia"/>
          <w:sz w:val="24"/>
        </w:rPr>
        <w:t>B</w:t>
      </w:r>
      <w:r w:rsidRPr="00D6366B">
        <w:rPr>
          <w:rFonts w:hint="eastAsia"/>
          <w:sz w:val="24"/>
        </w:rPr>
        <w:t>公司、</w:t>
      </w:r>
      <w:r w:rsidRPr="00D6366B">
        <w:rPr>
          <w:rFonts w:hint="eastAsia"/>
          <w:sz w:val="24"/>
        </w:rPr>
        <w:t>C</w:t>
      </w:r>
      <w:r w:rsidRPr="00D6366B">
        <w:rPr>
          <w:rFonts w:hint="eastAsia"/>
          <w:sz w:val="24"/>
        </w:rPr>
        <w:t>公司的资产负债率分别为</w:t>
      </w:r>
      <w:r w:rsidRPr="00D6366B">
        <w:rPr>
          <w:rFonts w:hint="eastAsia"/>
          <w:sz w:val="24"/>
        </w:rPr>
        <w:t>25%</w:t>
      </w:r>
      <w:r w:rsidRPr="00D6366B">
        <w:rPr>
          <w:rFonts w:hint="eastAsia"/>
          <w:sz w:val="24"/>
        </w:rPr>
        <w:t>和</w:t>
      </w:r>
      <w:r w:rsidRPr="00D6366B">
        <w:rPr>
          <w:rFonts w:hint="eastAsia"/>
          <w:sz w:val="24"/>
        </w:rPr>
        <w:t>50%</w:t>
      </w:r>
      <w:r w:rsidRPr="00D6366B">
        <w:rPr>
          <w:rFonts w:hint="eastAsia"/>
          <w:sz w:val="24"/>
        </w:rPr>
        <w:t>。在</w:t>
      </w:r>
      <w:r w:rsidRPr="00D6366B">
        <w:rPr>
          <w:rFonts w:hint="eastAsia"/>
          <w:sz w:val="24"/>
        </w:rPr>
        <w:t>B</w:t>
      </w:r>
      <w:r w:rsidRPr="00D6366B">
        <w:rPr>
          <w:rFonts w:hint="eastAsia"/>
          <w:sz w:val="24"/>
        </w:rPr>
        <w:t>公司、</w:t>
      </w:r>
      <w:r w:rsidRPr="00D6366B">
        <w:rPr>
          <w:rFonts w:hint="eastAsia"/>
          <w:sz w:val="24"/>
        </w:rPr>
        <w:t>C</w:t>
      </w:r>
      <w:r w:rsidRPr="00D6366B">
        <w:rPr>
          <w:rFonts w:hint="eastAsia"/>
          <w:sz w:val="24"/>
        </w:rPr>
        <w:t>公司各自的资产负债率保持不变时，当息前税前利润增加均为</w:t>
      </w:r>
      <w:r w:rsidRPr="00D6366B">
        <w:rPr>
          <w:rFonts w:hint="eastAsia"/>
          <w:sz w:val="24"/>
        </w:rPr>
        <w:t>1</w:t>
      </w:r>
      <w:r w:rsidRPr="00D6366B">
        <w:rPr>
          <w:rFonts w:hint="eastAsia"/>
          <w:sz w:val="24"/>
        </w:rPr>
        <w:t>倍的情况下（从</w:t>
      </w:r>
      <w:r w:rsidRPr="00D6366B">
        <w:rPr>
          <w:rFonts w:hint="eastAsia"/>
          <w:sz w:val="24"/>
        </w:rPr>
        <w:t>200 000</w:t>
      </w:r>
      <w:r w:rsidRPr="00D6366B">
        <w:rPr>
          <w:rFonts w:hint="eastAsia"/>
          <w:sz w:val="24"/>
        </w:rPr>
        <w:t>元增加到</w:t>
      </w:r>
      <w:r w:rsidRPr="00D6366B">
        <w:rPr>
          <w:rFonts w:hint="eastAsia"/>
          <w:sz w:val="24"/>
        </w:rPr>
        <w:t>400 000</w:t>
      </w:r>
      <w:r w:rsidRPr="00D6366B">
        <w:rPr>
          <w:rFonts w:hint="eastAsia"/>
          <w:sz w:val="24"/>
        </w:rPr>
        <w:t>元），</w:t>
      </w:r>
      <w:r w:rsidRPr="00D6366B">
        <w:rPr>
          <w:rFonts w:hint="eastAsia"/>
          <w:sz w:val="24"/>
        </w:rPr>
        <w:t>B</w:t>
      </w:r>
      <w:r w:rsidRPr="00D6366B">
        <w:rPr>
          <w:rFonts w:hint="eastAsia"/>
          <w:sz w:val="24"/>
        </w:rPr>
        <w:t>公司、</w:t>
      </w:r>
      <w:r w:rsidRPr="00D6366B">
        <w:rPr>
          <w:rFonts w:hint="eastAsia"/>
          <w:sz w:val="24"/>
        </w:rPr>
        <w:t>C</w:t>
      </w:r>
      <w:r w:rsidRPr="00D6366B">
        <w:rPr>
          <w:rFonts w:hint="eastAsia"/>
          <w:sz w:val="24"/>
        </w:rPr>
        <w:t>公司的每股收益变化率则分别为</w:t>
      </w:r>
      <w:r w:rsidRPr="00D6366B">
        <w:rPr>
          <w:rFonts w:hint="eastAsia"/>
          <w:sz w:val="24"/>
        </w:rPr>
        <w:t>125%</w:t>
      </w:r>
      <w:r w:rsidRPr="00D6366B">
        <w:rPr>
          <w:rFonts w:hint="eastAsia"/>
          <w:sz w:val="24"/>
        </w:rPr>
        <w:t>和</w:t>
      </w:r>
      <w:r w:rsidRPr="00D6366B">
        <w:rPr>
          <w:rFonts w:hint="eastAsia"/>
          <w:sz w:val="24"/>
        </w:rPr>
        <w:t>167%</w:t>
      </w:r>
      <w:r w:rsidRPr="00D6366B">
        <w:rPr>
          <w:rFonts w:hint="eastAsia"/>
          <w:sz w:val="24"/>
        </w:rPr>
        <w:t>，结果表明：资产负债率越高的公司显示出每股收益的变化程度越大，说明财务杠杆效应越明显。</w:t>
      </w:r>
    </w:p>
    <w:p w:rsidR="00D6366B" w:rsidRDefault="00D6366B" w:rsidP="00D6366B">
      <w:pPr>
        <w:rPr>
          <w:sz w:val="24"/>
        </w:rPr>
      </w:pPr>
      <w:r w:rsidRPr="00D6366B">
        <w:rPr>
          <w:rFonts w:hint="eastAsia"/>
          <w:sz w:val="24"/>
        </w:rPr>
        <w:t>第三，在</w:t>
      </w:r>
      <w:r w:rsidRPr="00D6366B">
        <w:rPr>
          <w:rFonts w:hint="eastAsia"/>
          <w:sz w:val="24"/>
        </w:rPr>
        <w:t>A</w:t>
      </w:r>
      <w:r w:rsidRPr="00D6366B">
        <w:rPr>
          <w:rFonts w:hint="eastAsia"/>
          <w:sz w:val="24"/>
        </w:rPr>
        <w:t>、</w:t>
      </w:r>
      <w:r w:rsidRPr="00D6366B">
        <w:rPr>
          <w:rFonts w:hint="eastAsia"/>
          <w:sz w:val="24"/>
        </w:rPr>
        <w:t>B</w:t>
      </w:r>
      <w:r w:rsidRPr="00D6366B">
        <w:rPr>
          <w:rFonts w:hint="eastAsia"/>
          <w:sz w:val="24"/>
        </w:rPr>
        <w:t>、</w:t>
      </w:r>
      <w:r w:rsidRPr="00D6366B">
        <w:rPr>
          <w:rFonts w:hint="eastAsia"/>
          <w:sz w:val="24"/>
        </w:rPr>
        <w:t>C</w:t>
      </w:r>
      <w:r w:rsidRPr="00D6366B">
        <w:rPr>
          <w:rFonts w:hint="eastAsia"/>
          <w:sz w:val="24"/>
        </w:rPr>
        <w:t>三家公司的资产负债率保持不变的条件下（其资产负债率分别为</w:t>
      </w:r>
      <w:r w:rsidRPr="00D6366B">
        <w:rPr>
          <w:rFonts w:hint="eastAsia"/>
          <w:sz w:val="24"/>
        </w:rPr>
        <w:t>0</w:t>
      </w:r>
      <w:r w:rsidRPr="00D6366B">
        <w:rPr>
          <w:rFonts w:hint="eastAsia"/>
          <w:sz w:val="24"/>
        </w:rPr>
        <w:t>、</w:t>
      </w:r>
      <w:r w:rsidRPr="00D6366B">
        <w:rPr>
          <w:rFonts w:hint="eastAsia"/>
          <w:sz w:val="24"/>
        </w:rPr>
        <w:t>25%</w:t>
      </w:r>
      <w:r w:rsidRPr="00D6366B">
        <w:rPr>
          <w:rFonts w:hint="eastAsia"/>
          <w:sz w:val="24"/>
        </w:rPr>
        <w:t>、</w:t>
      </w:r>
      <w:r w:rsidRPr="00D6366B">
        <w:rPr>
          <w:rFonts w:hint="eastAsia"/>
          <w:sz w:val="24"/>
        </w:rPr>
        <w:t>50%</w:t>
      </w:r>
      <w:r w:rsidRPr="00D6366B">
        <w:rPr>
          <w:rFonts w:hint="eastAsia"/>
          <w:sz w:val="24"/>
        </w:rPr>
        <w:t>），当息前税前利润增加时（从</w:t>
      </w:r>
      <w:r w:rsidRPr="00D6366B">
        <w:rPr>
          <w:rFonts w:hint="eastAsia"/>
          <w:sz w:val="24"/>
        </w:rPr>
        <w:t>200 000</w:t>
      </w:r>
      <w:r w:rsidRPr="00D6366B">
        <w:rPr>
          <w:rFonts w:hint="eastAsia"/>
          <w:sz w:val="24"/>
        </w:rPr>
        <w:t>元增加到</w:t>
      </w:r>
      <w:r w:rsidRPr="00D6366B">
        <w:rPr>
          <w:rFonts w:hint="eastAsia"/>
          <w:sz w:val="24"/>
        </w:rPr>
        <w:t>400 000</w:t>
      </w:r>
      <w:r w:rsidRPr="00D6366B">
        <w:rPr>
          <w:rFonts w:hint="eastAsia"/>
          <w:sz w:val="24"/>
        </w:rPr>
        <w:t>元），债务利息占息前税前利润的比例是下降的（</w:t>
      </w:r>
      <w:r w:rsidRPr="00D6366B">
        <w:rPr>
          <w:rFonts w:hint="eastAsia"/>
          <w:sz w:val="24"/>
        </w:rPr>
        <w:t>A</w:t>
      </w:r>
      <w:r w:rsidRPr="00D6366B">
        <w:rPr>
          <w:rFonts w:hint="eastAsia"/>
          <w:sz w:val="24"/>
        </w:rPr>
        <w:t>公司除外），</w:t>
      </w:r>
      <w:r w:rsidRPr="00D6366B">
        <w:rPr>
          <w:rFonts w:hint="eastAsia"/>
          <w:sz w:val="24"/>
        </w:rPr>
        <w:t>B</w:t>
      </w:r>
      <w:r w:rsidRPr="00D6366B">
        <w:rPr>
          <w:rFonts w:hint="eastAsia"/>
          <w:sz w:val="24"/>
        </w:rPr>
        <w:t>公司、</w:t>
      </w:r>
      <w:r w:rsidRPr="00D6366B">
        <w:rPr>
          <w:rFonts w:hint="eastAsia"/>
          <w:sz w:val="24"/>
        </w:rPr>
        <w:t>C</w:t>
      </w:r>
      <w:r w:rsidRPr="00D6366B">
        <w:rPr>
          <w:rFonts w:hint="eastAsia"/>
          <w:sz w:val="24"/>
        </w:rPr>
        <w:t>公司分别从</w:t>
      </w:r>
      <w:r w:rsidRPr="00D6366B">
        <w:rPr>
          <w:rFonts w:hint="eastAsia"/>
          <w:sz w:val="24"/>
        </w:rPr>
        <w:t>20%</w:t>
      </w:r>
      <w:r w:rsidRPr="00D6366B">
        <w:rPr>
          <w:rFonts w:hint="eastAsia"/>
          <w:sz w:val="24"/>
        </w:rPr>
        <w:t>与</w:t>
      </w:r>
      <w:r w:rsidRPr="00D6366B">
        <w:rPr>
          <w:rFonts w:hint="eastAsia"/>
          <w:sz w:val="24"/>
        </w:rPr>
        <w:t>40%</w:t>
      </w:r>
      <w:r w:rsidRPr="00D6366B">
        <w:rPr>
          <w:rFonts w:hint="eastAsia"/>
          <w:sz w:val="24"/>
        </w:rPr>
        <w:t>下降到</w:t>
      </w:r>
      <w:r w:rsidRPr="00D6366B">
        <w:rPr>
          <w:rFonts w:hint="eastAsia"/>
          <w:sz w:val="24"/>
        </w:rPr>
        <w:t>10%</w:t>
      </w:r>
      <w:r w:rsidRPr="00D6366B">
        <w:rPr>
          <w:rFonts w:hint="eastAsia"/>
          <w:sz w:val="24"/>
        </w:rPr>
        <w:t>与</w:t>
      </w:r>
      <w:r w:rsidRPr="00D6366B">
        <w:rPr>
          <w:rFonts w:hint="eastAsia"/>
          <w:sz w:val="24"/>
        </w:rPr>
        <w:t>20%</w:t>
      </w:r>
      <w:r w:rsidRPr="00D6366B">
        <w:rPr>
          <w:rFonts w:hint="eastAsia"/>
          <w:sz w:val="24"/>
        </w:rPr>
        <w:t>，表明企业的财务风险是下降的。</w:t>
      </w:r>
    </w:p>
    <w:p w:rsidR="00564DB4" w:rsidRPr="0007774B" w:rsidRDefault="00564DB4" w:rsidP="00564DB4">
      <w:pPr>
        <w:rPr>
          <w:rFonts w:hint="eastAsia"/>
          <w:sz w:val="24"/>
        </w:rPr>
      </w:pPr>
    </w:p>
    <w:p w:rsidR="00564DB4" w:rsidRPr="0007774B" w:rsidRDefault="00D6366B" w:rsidP="00564DB4">
      <w:pPr>
        <w:rPr>
          <w:sz w:val="24"/>
        </w:rPr>
      </w:pPr>
      <w:bookmarkStart w:id="0" w:name="_GoBack"/>
      <w:r w:rsidRPr="00953AC4">
        <w:rPr>
          <w:rFonts w:hint="eastAsia"/>
          <w:b/>
          <w:sz w:val="24"/>
        </w:rPr>
        <w:t>第</w:t>
      </w:r>
      <w:r w:rsidRPr="00953AC4">
        <w:rPr>
          <w:rFonts w:hint="eastAsia"/>
          <w:b/>
          <w:sz w:val="24"/>
        </w:rPr>
        <w:t>5</w:t>
      </w:r>
      <w:r w:rsidRPr="00953AC4">
        <w:rPr>
          <w:rFonts w:hint="eastAsia"/>
          <w:b/>
          <w:sz w:val="24"/>
        </w:rPr>
        <w:t>题</w:t>
      </w:r>
      <w:r w:rsidR="00564DB4" w:rsidRPr="00953AC4">
        <w:rPr>
          <w:rFonts w:hint="eastAsia"/>
          <w:b/>
          <w:sz w:val="24"/>
        </w:rPr>
        <w:t>答案</w:t>
      </w:r>
      <w:bookmarkEnd w:id="0"/>
      <w:r w:rsidR="00564DB4" w:rsidRPr="0007774B">
        <w:rPr>
          <w:sz w:val="24"/>
        </w:rPr>
        <w:t>：</w:t>
      </w:r>
      <w:r w:rsidR="00564DB4" w:rsidRPr="0007774B">
        <w:rPr>
          <w:rFonts w:hint="eastAsia"/>
          <w:sz w:val="24"/>
        </w:rPr>
        <w:t>利用</w:t>
      </w:r>
      <w:r w:rsidR="00564DB4" w:rsidRPr="0007774B">
        <w:rPr>
          <w:rFonts w:hint="eastAsia"/>
          <w:sz w:val="24"/>
        </w:rPr>
        <w:t>EBIT</w:t>
      </w:r>
      <w:r w:rsidR="00564DB4" w:rsidRPr="0007774B">
        <w:rPr>
          <w:rFonts w:hint="eastAsia"/>
          <w:sz w:val="24"/>
        </w:rPr>
        <w:t>——</w:t>
      </w:r>
      <w:r w:rsidR="00564DB4" w:rsidRPr="0007774B">
        <w:rPr>
          <w:rFonts w:hint="eastAsia"/>
          <w:sz w:val="24"/>
        </w:rPr>
        <w:t>EPS</w:t>
      </w:r>
      <w:r w:rsidR="00564DB4" w:rsidRPr="0007774B">
        <w:rPr>
          <w:rFonts w:hint="eastAsia"/>
          <w:sz w:val="24"/>
        </w:rPr>
        <w:t>方法进行分析，直观的方法是画出每股收益无差别点图。如图</w:t>
      </w:r>
      <w:r w:rsidR="006677C6">
        <w:rPr>
          <w:rFonts w:hint="eastAsia"/>
          <w:sz w:val="24"/>
        </w:rPr>
        <w:t>1</w:t>
      </w:r>
      <w:r w:rsidR="00564DB4" w:rsidRPr="0007774B">
        <w:rPr>
          <w:rFonts w:hint="eastAsia"/>
          <w:sz w:val="24"/>
        </w:rPr>
        <w:t>所示，横轴为</w:t>
      </w:r>
      <w:r w:rsidR="00564DB4" w:rsidRPr="0007774B">
        <w:rPr>
          <w:rFonts w:hint="eastAsia"/>
          <w:sz w:val="24"/>
        </w:rPr>
        <w:t>EBIT</w:t>
      </w:r>
      <w:r w:rsidR="00564DB4" w:rsidRPr="0007774B">
        <w:rPr>
          <w:rFonts w:hint="eastAsia"/>
          <w:sz w:val="24"/>
        </w:rPr>
        <w:t>，纵轴为</w:t>
      </w:r>
      <w:r w:rsidR="00564DB4" w:rsidRPr="0007774B">
        <w:rPr>
          <w:rFonts w:hint="eastAsia"/>
          <w:sz w:val="24"/>
        </w:rPr>
        <w:t>EPS</w:t>
      </w:r>
      <w:r w:rsidR="00564DB4" w:rsidRPr="0007774B">
        <w:rPr>
          <w:rFonts w:hint="eastAsia"/>
          <w:sz w:val="24"/>
        </w:rPr>
        <w:t>，每条直线代表一个筹资方案的</w:t>
      </w:r>
      <w:r w:rsidR="00564DB4" w:rsidRPr="0007774B">
        <w:rPr>
          <w:rFonts w:hint="eastAsia"/>
          <w:sz w:val="24"/>
        </w:rPr>
        <w:t>EBIT</w:t>
      </w:r>
      <w:r w:rsidR="00564DB4" w:rsidRPr="0007774B">
        <w:rPr>
          <w:rFonts w:hint="eastAsia"/>
          <w:sz w:val="24"/>
        </w:rPr>
        <w:t>——</w:t>
      </w:r>
      <w:r w:rsidR="00564DB4" w:rsidRPr="0007774B">
        <w:rPr>
          <w:rFonts w:hint="eastAsia"/>
          <w:sz w:val="24"/>
        </w:rPr>
        <w:t>EPS</w:t>
      </w:r>
      <w:r w:rsidR="00564DB4" w:rsidRPr="0007774B">
        <w:rPr>
          <w:rFonts w:hint="eastAsia"/>
          <w:sz w:val="24"/>
        </w:rPr>
        <w:t>关系。如果采用方案一，则必须有营业利润</w:t>
      </w:r>
      <w:r w:rsidR="00564DB4" w:rsidRPr="0007774B">
        <w:rPr>
          <w:rFonts w:hint="eastAsia"/>
          <w:sz w:val="24"/>
        </w:rPr>
        <w:t>50</w:t>
      </w:r>
      <w:r w:rsidR="00564DB4" w:rsidRPr="0007774B">
        <w:rPr>
          <w:rFonts w:hint="eastAsia"/>
          <w:sz w:val="24"/>
        </w:rPr>
        <w:t>（即</w:t>
      </w:r>
      <w:r w:rsidR="00564DB4" w:rsidRPr="0007774B">
        <w:rPr>
          <w:rFonts w:hint="eastAsia"/>
          <w:sz w:val="24"/>
        </w:rPr>
        <w:t>50</w:t>
      </w:r>
      <w:r w:rsidR="00564DB4" w:rsidRPr="0007774B">
        <w:rPr>
          <w:sz w:val="24"/>
        </w:rPr>
        <w:t>0</w:t>
      </w:r>
      <w:r w:rsidR="00564DB4" w:rsidRPr="0007774B">
        <w:rPr>
          <w:rFonts w:hint="eastAsia"/>
          <w:sz w:val="24"/>
        </w:rPr>
        <w:t>×</w:t>
      </w:r>
      <w:r w:rsidR="00564DB4" w:rsidRPr="0007774B">
        <w:rPr>
          <w:sz w:val="24"/>
        </w:rPr>
        <w:t>10%</w:t>
      </w:r>
      <w:r w:rsidR="00564DB4" w:rsidRPr="0007774B">
        <w:rPr>
          <w:rFonts w:hint="eastAsia"/>
          <w:sz w:val="24"/>
        </w:rPr>
        <w:t>）万元，才能够支付长期债务利息。因此，</w:t>
      </w:r>
      <w:r w:rsidR="00564DB4" w:rsidRPr="0007774B">
        <w:rPr>
          <w:rFonts w:hint="eastAsia"/>
          <w:sz w:val="24"/>
        </w:rPr>
        <w:t>50</w:t>
      </w:r>
      <w:r w:rsidR="00564DB4" w:rsidRPr="0007774B">
        <w:rPr>
          <w:rFonts w:hint="eastAsia"/>
          <w:sz w:val="24"/>
        </w:rPr>
        <w:t>万元就是债务融资与横轴（营业利润）的交点，也是长期债务线的起点；若采用方案二，优先股股利</w:t>
      </w:r>
      <w:r w:rsidR="00564DB4" w:rsidRPr="0007774B">
        <w:rPr>
          <w:rFonts w:hint="eastAsia"/>
          <w:sz w:val="24"/>
        </w:rPr>
        <w:t>=50</w:t>
      </w:r>
      <w:r w:rsidR="00564DB4" w:rsidRPr="0007774B">
        <w:rPr>
          <w:sz w:val="24"/>
        </w:rPr>
        <w:t>0</w:t>
      </w:r>
      <w:r w:rsidR="00564DB4" w:rsidRPr="0007774B">
        <w:rPr>
          <w:rFonts w:hint="eastAsia"/>
          <w:sz w:val="24"/>
        </w:rPr>
        <w:t>×</w:t>
      </w:r>
      <w:r w:rsidR="00564DB4" w:rsidRPr="0007774B">
        <w:rPr>
          <w:sz w:val="24"/>
        </w:rPr>
        <w:t>1</w:t>
      </w:r>
      <w:r w:rsidR="00564DB4" w:rsidRPr="0007774B">
        <w:rPr>
          <w:rFonts w:hint="eastAsia"/>
          <w:sz w:val="24"/>
        </w:rPr>
        <w:t>2</w:t>
      </w:r>
      <w:r w:rsidR="00564DB4" w:rsidRPr="0007774B">
        <w:rPr>
          <w:sz w:val="24"/>
        </w:rPr>
        <w:t>%</w:t>
      </w:r>
      <w:r w:rsidR="00564DB4" w:rsidRPr="0007774B">
        <w:rPr>
          <w:rFonts w:hint="eastAsia"/>
          <w:sz w:val="24"/>
        </w:rPr>
        <w:t>=60</w:t>
      </w:r>
      <w:r w:rsidR="00564DB4" w:rsidRPr="0007774B">
        <w:rPr>
          <w:rFonts w:hint="eastAsia"/>
          <w:sz w:val="24"/>
        </w:rPr>
        <w:t>（万元）。由于优先股股利在税后支付，所以应以优先股股利除以（</w:t>
      </w:r>
      <w:r w:rsidR="00564DB4" w:rsidRPr="0007774B">
        <w:rPr>
          <w:sz w:val="24"/>
        </w:rPr>
        <w:t>1</w:t>
      </w:r>
      <w:r w:rsidR="00564DB4" w:rsidRPr="0007774B">
        <w:rPr>
          <w:rFonts w:hint="eastAsia"/>
          <w:sz w:val="24"/>
        </w:rPr>
        <w:t>－税率），才能得出足以支付优先股股利的营业利润，</w:t>
      </w:r>
      <w:r w:rsidR="00564DB4" w:rsidRPr="0007774B">
        <w:rPr>
          <w:sz w:val="24"/>
        </w:rPr>
        <w:t>60</w:t>
      </w:r>
      <w:r w:rsidR="00564DB4" w:rsidRPr="0007774B">
        <w:rPr>
          <w:rFonts w:hint="eastAsia"/>
          <w:sz w:val="24"/>
        </w:rPr>
        <w:t>÷（</w:t>
      </w:r>
      <w:r w:rsidR="00564DB4" w:rsidRPr="0007774B">
        <w:rPr>
          <w:sz w:val="24"/>
        </w:rPr>
        <w:t>1</w:t>
      </w:r>
      <w:r w:rsidR="00564DB4" w:rsidRPr="0007774B">
        <w:rPr>
          <w:rFonts w:hint="eastAsia"/>
          <w:sz w:val="24"/>
        </w:rPr>
        <w:t>－</w:t>
      </w:r>
      <w:r w:rsidR="00564DB4" w:rsidRPr="0007774B">
        <w:rPr>
          <w:sz w:val="24"/>
        </w:rPr>
        <w:t>25%</w:t>
      </w:r>
      <w:r w:rsidR="00564DB4" w:rsidRPr="0007774B">
        <w:rPr>
          <w:rFonts w:hint="eastAsia"/>
          <w:sz w:val="24"/>
        </w:rPr>
        <w:t>）</w:t>
      </w:r>
      <w:r w:rsidR="00564DB4" w:rsidRPr="0007774B">
        <w:rPr>
          <w:rFonts w:hint="eastAsia"/>
          <w:sz w:val="24"/>
        </w:rPr>
        <w:t>=80</w:t>
      </w:r>
      <w:r w:rsidR="00564DB4" w:rsidRPr="0007774B">
        <w:rPr>
          <w:rFonts w:hint="eastAsia"/>
          <w:sz w:val="24"/>
        </w:rPr>
        <w:t>（万元），即为优先股线与横轴（营业利润）的交点，也是优先股的起点；普通股筹资没有固定性的财务费用，因此以</w:t>
      </w:r>
      <w:r w:rsidR="00564DB4" w:rsidRPr="0007774B">
        <w:rPr>
          <w:rFonts w:hint="eastAsia"/>
          <w:sz w:val="24"/>
        </w:rPr>
        <w:t>0</w:t>
      </w:r>
      <w:r w:rsidR="00564DB4" w:rsidRPr="0007774B">
        <w:rPr>
          <w:rFonts w:hint="eastAsia"/>
          <w:sz w:val="24"/>
        </w:rPr>
        <w:t>为起点。</w:t>
      </w:r>
    </w:p>
    <w:p w:rsidR="00564DB4" w:rsidRPr="0007774B" w:rsidRDefault="00564DB4" w:rsidP="00564DB4">
      <w:pPr>
        <w:ind w:firstLineChars="200" w:firstLine="480"/>
        <w:rPr>
          <w:sz w:val="24"/>
        </w:rPr>
      </w:pPr>
      <w:r w:rsidRPr="0007774B">
        <w:rPr>
          <w:rFonts w:hint="eastAsia"/>
          <w:sz w:val="24"/>
        </w:rPr>
        <w:t>假设企业预期的息前税前利润为</w:t>
      </w:r>
      <w:r w:rsidRPr="0007774B">
        <w:rPr>
          <w:rFonts w:hint="eastAsia"/>
          <w:sz w:val="24"/>
        </w:rPr>
        <w:t>210</w:t>
      </w:r>
      <w:r w:rsidRPr="0007774B">
        <w:rPr>
          <w:rFonts w:hint="eastAsia"/>
          <w:sz w:val="24"/>
        </w:rPr>
        <w:t>万元，计算三种方案的每股收益，有关数据如表</w:t>
      </w:r>
      <w:r w:rsidRPr="0007774B">
        <w:rPr>
          <w:rFonts w:hint="eastAsia"/>
          <w:sz w:val="24"/>
        </w:rPr>
        <w:t>1</w:t>
      </w:r>
      <w:r w:rsidRPr="0007774B">
        <w:rPr>
          <w:rFonts w:hint="eastAsia"/>
          <w:sz w:val="24"/>
        </w:rPr>
        <w:t>所示。</w:t>
      </w:r>
    </w:p>
    <w:p w:rsidR="00564DB4" w:rsidRPr="0007774B" w:rsidRDefault="00564DB4" w:rsidP="00564DB4">
      <w:pPr>
        <w:ind w:firstLineChars="200" w:firstLine="480"/>
        <w:jc w:val="center"/>
        <w:rPr>
          <w:sz w:val="24"/>
        </w:rPr>
      </w:pPr>
      <w:r w:rsidRPr="0007774B">
        <w:rPr>
          <w:rFonts w:hint="eastAsia"/>
          <w:sz w:val="24"/>
        </w:rPr>
        <w:t>表</w:t>
      </w:r>
      <w:r w:rsidRPr="0007774B">
        <w:rPr>
          <w:rFonts w:hint="eastAsia"/>
          <w:sz w:val="24"/>
        </w:rPr>
        <w:t>1</w:t>
      </w:r>
      <w:r w:rsidRPr="0007774B">
        <w:rPr>
          <w:rFonts w:hint="eastAsia"/>
          <w:sz w:val="24"/>
        </w:rPr>
        <w:tab/>
      </w:r>
      <w:r w:rsidRPr="0007774B">
        <w:rPr>
          <w:rFonts w:hint="eastAsia"/>
          <w:sz w:val="24"/>
        </w:rPr>
        <w:t>三种筹资方案每股收益（</w:t>
      </w:r>
      <w:r w:rsidRPr="0007774B">
        <w:rPr>
          <w:rFonts w:hint="eastAsia"/>
          <w:sz w:val="24"/>
        </w:rPr>
        <w:t>EPS</w:t>
      </w:r>
      <w:r w:rsidRPr="0007774B">
        <w:rPr>
          <w:rFonts w:hint="eastAsia"/>
          <w:sz w:val="24"/>
        </w:rPr>
        <w:t>）比较</w:t>
      </w:r>
      <w:r w:rsidRPr="0007774B">
        <w:rPr>
          <w:rFonts w:hint="eastAsia"/>
          <w:sz w:val="24"/>
        </w:rPr>
        <w:tab/>
      </w:r>
      <w:r w:rsidRPr="0007774B">
        <w:rPr>
          <w:rFonts w:hint="eastAsia"/>
          <w:sz w:val="24"/>
        </w:rPr>
        <w:t>单位：元</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422"/>
        <w:gridCol w:w="2272"/>
        <w:gridCol w:w="2535"/>
        <w:gridCol w:w="2523"/>
      </w:tblGrid>
      <w:tr w:rsidR="00564DB4" w:rsidRPr="0007774B" w:rsidTr="00564DB4">
        <w:tc>
          <w:tcPr>
            <w:tcW w:w="0" w:type="auto"/>
            <w:vAlign w:val="center"/>
          </w:tcPr>
          <w:p w:rsidR="00564DB4" w:rsidRPr="0007774B" w:rsidRDefault="00564DB4" w:rsidP="00897DCF">
            <w:pPr>
              <w:ind w:firstLineChars="200" w:firstLine="480"/>
              <w:rPr>
                <w:sz w:val="24"/>
              </w:rPr>
            </w:pPr>
            <w:r w:rsidRPr="0007774B">
              <w:rPr>
                <w:rFonts w:hint="eastAsia"/>
                <w:sz w:val="24"/>
              </w:rPr>
              <w:t>项目</w:t>
            </w:r>
          </w:p>
        </w:tc>
        <w:tc>
          <w:tcPr>
            <w:tcW w:w="0" w:type="auto"/>
            <w:vAlign w:val="center"/>
          </w:tcPr>
          <w:p w:rsidR="00564DB4" w:rsidRPr="0007774B" w:rsidRDefault="00564DB4" w:rsidP="00897DCF">
            <w:pPr>
              <w:ind w:firstLineChars="200" w:firstLine="480"/>
              <w:rPr>
                <w:sz w:val="24"/>
              </w:rPr>
            </w:pPr>
            <w:r w:rsidRPr="0007774B">
              <w:rPr>
                <w:rFonts w:hint="eastAsia"/>
                <w:sz w:val="24"/>
              </w:rPr>
              <w:t>方案一（债券）</w:t>
            </w:r>
          </w:p>
        </w:tc>
        <w:tc>
          <w:tcPr>
            <w:tcW w:w="0" w:type="auto"/>
            <w:vAlign w:val="center"/>
          </w:tcPr>
          <w:p w:rsidR="00564DB4" w:rsidRPr="0007774B" w:rsidRDefault="00564DB4" w:rsidP="00897DCF">
            <w:pPr>
              <w:ind w:firstLineChars="200" w:firstLine="480"/>
              <w:rPr>
                <w:sz w:val="24"/>
              </w:rPr>
            </w:pPr>
            <w:r w:rsidRPr="0007774B">
              <w:rPr>
                <w:rFonts w:hint="eastAsia"/>
                <w:sz w:val="24"/>
              </w:rPr>
              <w:t>方案二（优先股）</w:t>
            </w:r>
          </w:p>
        </w:tc>
        <w:tc>
          <w:tcPr>
            <w:tcW w:w="0" w:type="auto"/>
            <w:vAlign w:val="center"/>
          </w:tcPr>
          <w:p w:rsidR="00564DB4" w:rsidRPr="0007774B" w:rsidRDefault="00564DB4" w:rsidP="00897DCF">
            <w:pPr>
              <w:ind w:firstLineChars="200" w:firstLine="480"/>
              <w:rPr>
                <w:sz w:val="24"/>
              </w:rPr>
            </w:pPr>
            <w:r w:rsidRPr="0007774B">
              <w:rPr>
                <w:rFonts w:hint="eastAsia"/>
                <w:sz w:val="24"/>
              </w:rPr>
              <w:t>方案三（普通股）</w:t>
            </w:r>
          </w:p>
        </w:tc>
      </w:tr>
      <w:tr w:rsidR="00564DB4" w:rsidRPr="0007774B" w:rsidTr="00564DB4">
        <w:tc>
          <w:tcPr>
            <w:tcW w:w="0" w:type="auto"/>
            <w:vAlign w:val="center"/>
          </w:tcPr>
          <w:p w:rsidR="00564DB4" w:rsidRPr="0007774B" w:rsidRDefault="00564DB4" w:rsidP="00897DCF">
            <w:pPr>
              <w:ind w:firstLineChars="200" w:firstLine="480"/>
              <w:rPr>
                <w:sz w:val="24"/>
              </w:rPr>
            </w:pPr>
            <w:r w:rsidRPr="0007774B">
              <w:rPr>
                <w:rFonts w:hint="eastAsia"/>
                <w:sz w:val="24"/>
              </w:rPr>
              <w:t>EBIT</w:t>
            </w:r>
          </w:p>
        </w:tc>
        <w:tc>
          <w:tcPr>
            <w:tcW w:w="0" w:type="auto"/>
            <w:vAlign w:val="center"/>
          </w:tcPr>
          <w:p w:rsidR="00564DB4" w:rsidRPr="0007774B" w:rsidRDefault="00564DB4" w:rsidP="00897DCF">
            <w:pPr>
              <w:ind w:firstLineChars="200" w:firstLine="480"/>
              <w:rPr>
                <w:sz w:val="24"/>
              </w:rPr>
            </w:pPr>
            <w:r w:rsidRPr="0007774B">
              <w:rPr>
                <w:rFonts w:hint="eastAsia"/>
                <w:sz w:val="24"/>
              </w:rPr>
              <w:t>2 100 000</w:t>
            </w:r>
          </w:p>
        </w:tc>
        <w:tc>
          <w:tcPr>
            <w:tcW w:w="0" w:type="auto"/>
            <w:vAlign w:val="center"/>
          </w:tcPr>
          <w:p w:rsidR="00564DB4" w:rsidRPr="0007774B" w:rsidRDefault="00564DB4" w:rsidP="00897DCF">
            <w:pPr>
              <w:ind w:firstLineChars="200" w:firstLine="480"/>
              <w:rPr>
                <w:sz w:val="24"/>
              </w:rPr>
            </w:pPr>
            <w:r w:rsidRPr="0007774B">
              <w:rPr>
                <w:rFonts w:hint="eastAsia"/>
                <w:sz w:val="24"/>
              </w:rPr>
              <w:t>2 100 000</w:t>
            </w:r>
          </w:p>
        </w:tc>
        <w:tc>
          <w:tcPr>
            <w:tcW w:w="0" w:type="auto"/>
            <w:vAlign w:val="center"/>
          </w:tcPr>
          <w:p w:rsidR="00564DB4" w:rsidRPr="0007774B" w:rsidRDefault="00564DB4" w:rsidP="00897DCF">
            <w:pPr>
              <w:ind w:firstLineChars="200" w:firstLine="480"/>
              <w:rPr>
                <w:sz w:val="24"/>
              </w:rPr>
            </w:pPr>
            <w:r w:rsidRPr="0007774B">
              <w:rPr>
                <w:rFonts w:hint="eastAsia"/>
                <w:sz w:val="24"/>
              </w:rPr>
              <w:t>2 100 000</w:t>
            </w:r>
          </w:p>
        </w:tc>
      </w:tr>
      <w:tr w:rsidR="00564DB4" w:rsidRPr="0007774B" w:rsidTr="00564DB4">
        <w:tc>
          <w:tcPr>
            <w:tcW w:w="0" w:type="auto"/>
            <w:vAlign w:val="center"/>
          </w:tcPr>
          <w:p w:rsidR="00564DB4" w:rsidRPr="0007774B" w:rsidRDefault="00564DB4" w:rsidP="00897DCF">
            <w:pPr>
              <w:ind w:firstLineChars="200" w:firstLine="480"/>
              <w:rPr>
                <w:sz w:val="24"/>
              </w:rPr>
            </w:pPr>
            <w:r w:rsidRPr="0007774B">
              <w:rPr>
                <w:rFonts w:hint="eastAsia"/>
                <w:sz w:val="24"/>
              </w:rPr>
              <w:t>利息支出</w:t>
            </w:r>
          </w:p>
        </w:tc>
        <w:tc>
          <w:tcPr>
            <w:tcW w:w="0" w:type="auto"/>
            <w:vAlign w:val="center"/>
          </w:tcPr>
          <w:p w:rsidR="00564DB4" w:rsidRPr="0007774B" w:rsidRDefault="00564DB4" w:rsidP="00897DCF">
            <w:pPr>
              <w:ind w:firstLineChars="200" w:firstLine="480"/>
              <w:rPr>
                <w:sz w:val="24"/>
              </w:rPr>
            </w:pPr>
            <w:r w:rsidRPr="0007774B">
              <w:rPr>
                <w:rFonts w:hint="eastAsia"/>
                <w:sz w:val="24"/>
              </w:rPr>
              <w:t>500 000</w:t>
            </w:r>
          </w:p>
        </w:tc>
        <w:tc>
          <w:tcPr>
            <w:tcW w:w="0" w:type="auto"/>
            <w:vAlign w:val="center"/>
          </w:tcPr>
          <w:p w:rsidR="00564DB4" w:rsidRPr="0007774B" w:rsidRDefault="00564DB4" w:rsidP="00897DCF">
            <w:pPr>
              <w:ind w:firstLineChars="200" w:firstLine="480"/>
              <w:rPr>
                <w:sz w:val="24"/>
              </w:rPr>
            </w:pPr>
            <w:r w:rsidRPr="0007774B">
              <w:rPr>
                <w:rFonts w:hint="eastAsia"/>
                <w:sz w:val="24"/>
              </w:rPr>
              <w:t xml:space="preserve">       </w:t>
            </w:r>
            <w:r w:rsidRPr="0007774B">
              <w:rPr>
                <w:rFonts w:hint="eastAsia"/>
                <w:sz w:val="24"/>
              </w:rPr>
              <w:t>―</w:t>
            </w:r>
          </w:p>
        </w:tc>
        <w:tc>
          <w:tcPr>
            <w:tcW w:w="0" w:type="auto"/>
            <w:vAlign w:val="center"/>
          </w:tcPr>
          <w:p w:rsidR="00564DB4" w:rsidRPr="0007774B" w:rsidRDefault="00564DB4" w:rsidP="00897DCF">
            <w:pPr>
              <w:ind w:firstLineChars="200" w:firstLine="480"/>
              <w:rPr>
                <w:sz w:val="24"/>
              </w:rPr>
            </w:pPr>
            <w:r w:rsidRPr="0007774B">
              <w:rPr>
                <w:rFonts w:hint="eastAsia"/>
                <w:sz w:val="24"/>
              </w:rPr>
              <w:t xml:space="preserve">      </w:t>
            </w:r>
            <w:r w:rsidRPr="0007774B">
              <w:rPr>
                <w:rFonts w:hint="eastAsia"/>
                <w:sz w:val="24"/>
              </w:rPr>
              <w:t>―</w:t>
            </w:r>
          </w:p>
        </w:tc>
      </w:tr>
      <w:tr w:rsidR="00564DB4" w:rsidRPr="0007774B" w:rsidTr="00564DB4">
        <w:tc>
          <w:tcPr>
            <w:tcW w:w="0" w:type="auto"/>
            <w:vAlign w:val="center"/>
          </w:tcPr>
          <w:p w:rsidR="00564DB4" w:rsidRPr="0007774B" w:rsidRDefault="00564DB4" w:rsidP="00897DCF">
            <w:pPr>
              <w:ind w:firstLineChars="200" w:firstLine="480"/>
              <w:rPr>
                <w:sz w:val="24"/>
              </w:rPr>
            </w:pPr>
            <w:r w:rsidRPr="0007774B">
              <w:rPr>
                <w:rFonts w:hint="eastAsia"/>
                <w:sz w:val="24"/>
              </w:rPr>
              <w:t>税前收益</w:t>
            </w:r>
          </w:p>
        </w:tc>
        <w:tc>
          <w:tcPr>
            <w:tcW w:w="0" w:type="auto"/>
            <w:vAlign w:val="center"/>
          </w:tcPr>
          <w:p w:rsidR="00564DB4" w:rsidRPr="0007774B" w:rsidRDefault="00564DB4" w:rsidP="00897DCF">
            <w:pPr>
              <w:ind w:firstLineChars="200" w:firstLine="480"/>
              <w:rPr>
                <w:sz w:val="24"/>
              </w:rPr>
            </w:pPr>
            <w:r w:rsidRPr="0007774B">
              <w:rPr>
                <w:rFonts w:hint="eastAsia"/>
                <w:sz w:val="24"/>
              </w:rPr>
              <w:t>1 600 000</w:t>
            </w:r>
          </w:p>
        </w:tc>
        <w:tc>
          <w:tcPr>
            <w:tcW w:w="0" w:type="auto"/>
            <w:vAlign w:val="center"/>
          </w:tcPr>
          <w:p w:rsidR="00564DB4" w:rsidRPr="0007774B" w:rsidRDefault="00564DB4" w:rsidP="00897DCF">
            <w:pPr>
              <w:ind w:firstLineChars="200" w:firstLine="480"/>
              <w:rPr>
                <w:sz w:val="24"/>
              </w:rPr>
            </w:pPr>
            <w:r w:rsidRPr="0007774B">
              <w:rPr>
                <w:rFonts w:hint="eastAsia"/>
                <w:sz w:val="24"/>
              </w:rPr>
              <w:t>2 100 000</w:t>
            </w:r>
          </w:p>
        </w:tc>
        <w:tc>
          <w:tcPr>
            <w:tcW w:w="0" w:type="auto"/>
            <w:vAlign w:val="center"/>
          </w:tcPr>
          <w:p w:rsidR="00564DB4" w:rsidRPr="0007774B" w:rsidRDefault="00564DB4" w:rsidP="00897DCF">
            <w:pPr>
              <w:ind w:firstLineChars="200" w:firstLine="480"/>
              <w:rPr>
                <w:sz w:val="24"/>
              </w:rPr>
            </w:pPr>
            <w:r w:rsidRPr="0007774B">
              <w:rPr>
                <w:rFonts w:hint="eastAsia"/>
                <w:sz w:val="24"/>
              </w:rPr>
              <w:t>2 100 000</w:t>
            </w:r>
          </w:p>
        </w:tc>
      </w:tr>
      <w:tr w:rsidR="00564DB4" w:rsidRPr="0007774B" w:rsidTr="00564DB4">
        <w:tc>
          <w:tcPr>
            <w:tcW w:w="0" w:type="auto"/>
            <w:vAlign w:val="center"/>
          </w:tcPr>
          <w:p w:rsidR="00564DB4" w:rsidRPr="0007774B" w:rsidRDefault="00564DB4" w:rsidP="00897DCF">
            <w:pPr>
              <w:ind w:firstLineChars="200" w:firstLine="480"/>
              <w:rPr>
                <w:sz w:val="24"/>
              </w:rPr>
            </w:pPr>
            <w:r w:rsidRPr="0007774B">
              <w:rPr>
                <w:rFonts w:hint="eastAsia"/>
                <w:sz w:val="24"/>
              </w:rPr>
              <w:t>所得税（</w:t>
            </w:r>
            <w:r w:rsidRPr="0007774B">
              <w:rPr>
                <w:rFonts w:hint="eastAsia"/>
                <w:sz w:val="24"/>
              </w:rPr>
              <w:t>25%</w:t>
            </w:r>
            <w:r w:rsidRPr="0007774B">
              <w:rPr>
                <w:rFonts w:hint="eastAsia"/>
                <w:sz w:val="24"/>
              </w:rPr>
              <w:t>）</w:t>
            </w:r>
          </w:p>
        </w:tc>
        <w:tc>
          <w:tcPr>
            <w:tcW w:w="0" w:type="auto"/>
            <w:vAlign w:val="center"/>
          </w:tcPr>
          <w:p w:rsidR="00564DB4" w:rsidRPr="0007774B" w:rsidRDefault="00564DB4" w:rsidP="00897DCF">
            <w:pPr>
              <w:ind w:firstLineChars="200" w:firstLine="480"/>
              <w:rPr>
                <w:sz w:val="24"/>
              </w:rPr>
            </w:pPr>
            <w:r w:rsidRPr="0007774B">
              <w:rPr>
                <w:rFonts w:hint="eastAsia"/>
                <w:sz w:val="24"/>
              </w:rPr>
              <w:t>400 000</w:t>
            </w:r>
          </w:p>
        </w:tc>
        <w:tc>
          <w:tcPr>
            <w:tcW w:w="0" w:type="auto"/>
            <w:vAlign w:val="center"/>
          </w:tcPr>
          <w:p w:rsidR="00564DB4" w:rsidRPr="0007774B" w:rsidRDefault="00564DB4" w:rsidP="00897DCF">
            <w:pPr>
              <w:ind w:firstLineChars="200" w:firstLine="480"/>
              <w:rPr>
                <w:sz w:val="24"/>
              </w:rPr>
            </w:pPr>
            <w:r w:rsidRPr="0007774B">
              <w:rPr>
                <w:rFonts w:hint="eastAsia"/>
                <w:sz w:val="24"/>
              </w:rPr>
              <w:t>525 000</w:t>
            </w:r>
          </w:p>
        </w:tc>
        <w:tc>
          <w:tcPr>
            <w:tcW w:w="0" w:type="auto"/>
            <w:vAlign w:val="center"/>
          </w:tcPr>
          <w:p w:rsidR="00564DB4" w:rsidRPr="0007774B" w:rsidRDefault="00564DB4" w:rsidP="00897DCF">
            <w:pPr>
              <w:ind w:firstLineChars="200" w:firstLine="480"/>
              <w:rPr>
                <w:sz w:val="24"/>
              </w:rPr>
            </w:pPr>
            <w:r w:rsidRPr="0007774B">
              <w:rPr>
                <w:rFonts w:hint="eastAsia"/>
                <w:sz w:val="24"/>
              </w:rPr>
              <w:t>525 000</w:t>
            </w:r>
          </w:p>
        </w:tc>
      </w:tr>
      <w:tr w:rsidR="00564DB4" w:rsidRPr="0007774B" w:rsidTr="00564DB4">
        <w:tc>
          <w:tcPr>
            <w:tcW w:w="0" w:type="auto"/>
            <w:vAlign w:val="center"/>
          </w:tcPr>
          <w:p w:rsidR="00564DB4" w:rsidRPr="0007774B" w:rsidRDefault="00564DB4" w:rsidP="00897DCF">
            <w:pPr>
              <w:ind w:firstLineChars="200" w:firstLine="480"/>
              <w:rPr>
                <w:sz w:val="24"/>
              </w:rPr>
            </w:pPr>
            <w:r w:rsidRPr="0007774B">
              <w:rPr>
                <w:rFonts w:hint="eastAsia"/>
                <w:sz w:val="24"/>
              </w:rPr>
              <w:t>税后收益</w:t>
            </w:r>
          </w:p>
        </w:tc>
        <w:tc>
          <w:tcPr>
            <w:tcW w:w="0" w:type="auto"/>
            <w:vAlign w:val="center"/>
          </w:tcPr>
          <w:p w:rsidR="00564DB4" w:rsidRPr="0007774B" w:rsidRDefault="00564DB4" w:rsidP="00897DCF">
            <w:pPr>
              <w:ind w:firstLineChars="200" w:firstLine="480"/>
              <w:rPr>
                <w:sz w:val="24"/>
              </w:rPr>
            </w:pPr>
            <w:r w:rsidRPr="0007774B">
              <w:rPr>
                <w:rFonts w:hint="eastAsia"/>
                <w:sz w:val="24"/>
              </w:rPr>
              <w:t>1 200 000</w:t>
            </w:r>
          </w:p>
        </w:tc>
        <w:tc>
          <w:tcPr>
            <w:tcW w:w="0" w:type="auto"/>
            <w:vAlign w:val="center"/>
          </w:tcPr>
          <w:p w:rsidR="00564DB4" w:rsidRPr="0007774B" w:rsidRDefault="00564DB4" w:rsidP="00897DCF">
            <w:pPr>
              <w:ind w:firstLineChars="200" w:firstLine="480"/>
              <w:rPr>
                <w:sz w:val="24"/>
              </w:rPr>
            </w:pPr>
            <w:r w:rsidRPr="0007774B">
              <w:rPr>
                <w:rFonts w:hint="eastAsia"/>
                <w:sz w:val="24"/>
              </w:rPr>
              <w:t>1 575 000</w:t>
            </w:r>
          </w:p>
        </w:tc>
        <w:tc>
          <w:tcPr>
            <w:tcW w:w="0" w:type="auto"/>
            <w:vAlign w:val="center"/>
          </w:tcPr>
          <w:p w:rsidR="00564DB4" w:rsidRPr="0007774B" w:rsidRDefault="00564DB4" w:rsidP="00897DCF">
            <w:pPr>
              <w:ind w:firstLineChars="200" w:firstLine="480"/>
              <w:rPr>
                <w:sz w:val="24"/>
              </w:rPr>
            </w:pPr>
            <w:r w:rsidRPr="0007774B">
              <w:rPr>
                <w:rFonts w:hint="eastAsia"/>
                <w:sz w:val="24"/>
              </w:rPr>
              <w:t>1 575 000</w:t>
            </w:r>
          </w:p>
        </w:tc>
      </w:tr>
      <w:tr w:rsidR="00564DB4" w:rsidRPr="0007774B" w:rsidTr="00564DB4">
        <w:tc>
          <w:tcPr>
            <w:tcW w:w="0" w:type="auto"/>
            <w:vAlign w:val="center"/>
          </w:tcPr>
          <w:p w:rsidR="00564DB4" w:rsidRPr="0007774B" w:rsidRDefault="00564DB4" w:rsidP="00897DCF">
            <w:pPr>
              <w:ind w:firstLineChars="200" w:firstLine="480"/>
              <w:rPr>
                <w:sz w:val="24"/>
              </w:rPr>
            </w:pPr>
            <w:r w:rsidRPr="0007774B">
              <w:rPr>
                <w:rFonts w:hint="eastAsia"/>
                <w:sz w:val="24"/>
              </w:rPr>
              <w:t>优先股股利</w:t>
            </w:r>
          </w:p>
        </w:tc>
        <w:tc>
          <w:tcPr>
            <w:tcW w:w="0" w:type="auto"/>
            <w:vAlign w:val="center"/>
          </w:tcPr>
          <w:p w:rsidR="00564DB4" w:rsidRPr="0007774B" w:rsidRDefault="00564DB4" w:rsidP="00897DCF">
            <w:pPr>
              <w:ind w:firstLineChars="200" w:firstLine="480"/>
              <w:rPr>
                <w:sz w:val="24"/>
              </w:rPr>
            </w:pPr>
            <w:r w:rsidRPr="0007774B">
              <w:rPr>
                <w:rFonts w:hint="eastAsia"/>
                <w:sz w:val="24"/>
              </w:rPr>
              <w:t xml:space="preserve">   </w:t>
            </w:r>
            <w:r w:rsidRPr="0007774B">
              <w:rPr>
                <w:rFonts w:hint="eastAsia"/>
                <w:sz w:val="24"/>
              </w:rPr>
              <w:t>―</w:t>
            </w:r>
          </w:p>
        </w:tc>
        <w:tc>
          <w:tcPr>
            <w:tcW w:w="0" w:type="auto"/>
            <w:vAlign w:val="center"/>
          </w:tcPr>
          <w:p w:rsidR="00564DB4" w:rsidRPr="0007774B" w:rsidRDefault="00564DB4" w:rsidP="00897DCF">
            <w:pPr>
              <w:ind w:firstLineChars="200" w:firstLine="480"/>
              <w:rPr>
                <w:sz w:val="24"/>
              </w:rPr>
            </w:pPr>
            <w:r w:rsidRPr="0007774B">
              <w:rPr>
                <w:rFonts w:hint="eastAsia"/>
                <w:sz w:val="24"/>
              </w:rPr>
              <w:t>600 000</w:t>
            </w:r>
          </w:p>
        </w:tc>
        <w:tc>
          <w:tcPr>
            <w:tcW w:w="0" w:type="auto"/>
            <w:vAlign w:val="center"/>
          </w:tcPr>
          <w:p w:rsidR="00564DB4" w:rsidRPr="0007774B" w:rsidRDefault="00564DB4" w:rsidP="00897DCF">
            <w:pPr>
              <w:ind w:firstLineChars="200" w:firstLine="480"/>
              <w:rPr>
                <w:sz w:val="24"/>
              </w:rPr>
            </w:pPr>
            <w:r w:rsidRPr="0007774B">
              <w:rPr>
                <w:rFonts w:hint="eastAsia"/>
                <w:sz w:val="24"/>
              </w:rPr>
              <w:t xml:space="preserve">     </w:t>
            </w:r>
            <w:r w:rsidRPr="0007774B">
              <w:rPr>
                <w:rFonts w:hint="eastAsia"/>
                <w:sz w:val="24"/>
              </w:rPr>
              <w:t>―</w:t>
            </w:r>
          </w:p>
        </w:tc>
      </w:tr>
      <w:tr w:rsidR="00564DB4" w:rsidRPr="0007774B" w:rsidTr="00564DB4">
        <w:tc>
          <w:tcPr>
            <w:tcW w:w="0" w:type="auto"/>
            <w:vAlign w:val="center"/>
          </w:tcPr>
          <w:p w:rsidR="00564DB4" w:rsidRPr="0007774B" w:rsidRDefault="00564DB4" w:rsidP="00897DCF">
            <w:pPr>
              <w:ind w:firstLineChars="200" w:firstLine="480"/>
              <w:rPr>
                <w:sz w:val="24"/>
              </w:rPr>
            </w:pPr>
            <w:r w:rsidRPr="0007774B">
              <w:rPr>
                <w:rFonts w:hint="eastAsia"/>
                <w:sz w:val="24"/>
              </w:rPr>
              <w:t>普通股收益</w:t>
            </w:r>
          </w:p>
        </w:tc>
        <w:tc>
          <w:tcPr>
            <w:tcW w:w="0" w:type="auto"/>
            <w:vAlign w:val="center"/>
          </w:tcPr>
          <w:p w:rsidR="00564DB4" w:rsidRPr="0007774B" w:rsidRDefault="00564DB4" w:rsidP="00897DCF">
            <w:pPr>
              <w:ind w:firstLineChars="200" w:firstLine="480"/>
              <w:rPr>
                <w:sz w:val="24"/>
              </w:rPr>
            </w:pPr>
            <w:r w:rsidRPr="0007774B">
              <w:rPr>
                <w:rFonts w:hint="eastAsia"/>
                <w:sz w:val="24"/>
              </w:rPr>
              <w:t>1 200 000</w:t>
            </w:r>
          </w:p>
        </w:tc>
        <w:tc>
          <w:tcPr>
            <w:tcW w:w="0" w:type="auto"/>
            <w:vAlign w:val="center"/>
          </w:tcPr>
          <w:p w:rsidR="00564DB4" w:rsidRPr="0007774B" w:rsidRDefault="00564DB4" w:rsidP="00897DCF">
            <w:pPr>
              <w:ind w:firstLineChars="200" w:firstLine="480"/>
              <w:rPr>
                <w:sz w:val="24"/>
              </w:rPr>
            </w:pPr>
            <w:r w:rsidRPr="0007774B">
              <w:rPr>
                <w:rFonts w:hint="eastAsia"/>
                <w:sz w:val="24"/>
              </w:rPr>
              <w:t>975 000</w:t>
            </w:r>
          </w:p>
        </w:tc>
        <w:tc>
          <w:tcPr>
            <w:tcW w:w="0" w:type="auto"/>
            <w:vAlign w:val="center"/>
          </w:tcPr>
          <w:p w:rsidR="00564DB4" w:rsidRPr="0007774B" w:rsidRDefault="00564DB4" w:rsidP="00897DCF">
            <w:pPr>
              <w:ind w:firstLineChars="200" w:firstLine="480"/>
              <w:rPr>
                <w:sz w:val="24"/>
              </w:rPr>
            </w:pPr>
            <w:r w:rsidRPr="0007774B">
              <w:rPr>
                <w:rFonts w:hint="eastAsia"/>
                <w:sz w:val="24"/>
              </w:rPr>
              <w:t>1 575 000</w:t>
            </w:r>
          </w:p>
        </w:tc>
      </w:tr>
      <w:tr w:rsidR="00564DB4" w:rsidRPr="0007774B" w:rsidTr="00564DB4">
        <w:tc>
          <w:tcPr>
            <w:tcW w:w="0" w:type="auto"/>
            <w:vAlign w:val="center"/>
          </w:tcPr>
          <w:p w:rsidR="00564DB4" w:rsidRPr="0007774B" w:rsidRDefault="00564DB4" w:rsidP="00897DCF">
            <w:pPr>
              <w:ind w:firstLineChars="200" w:firstLine="480"/>
              <w:rPr>
                <w:sz w:val="24"/>
              </w:rPr>
            </w:pPr>
            <w:r w:rsidRPr="0007774B">
              <w:rPr>
                <w:rFonts w:hint="eastAsia"/>
                <w:sz w:val="24"/>
              </w:rPr>
              <w:t>普通股股数（</w:t>
            </w:r>
            <w:r w:rsidRPr="0007774B">
              <w:rPr>
                <w:rFonts w:hint="eastAsia"/>
                <w:sz w:val="24"/>
              </w:rPr>
              <w:t>N</w:t>
            </w:r>
            <w:r w:rsidRPr="0007774B">
              <w:rPr>
                <w:rFonts w:hint="eastAsia"/>
                <w:sz w:val="24"/>
              </w:rPr>
              <w:t>）</w:t>
            </w:r>
          </w:p>
        </w:tc>
        <w:tc>
          <w:tcPr>
            <w:tcW w:w="0" w:type="auto"/>
            <w:vAlign w:val="center"/>
          </w:tcPr>
          <w:p w:rsidR="00564DB4" w:rsidRPr="0007774B" w:rsidRDefault="00564DB4" w:rsidP="006677C6">
            <w:pPr>
              <w:ind w:firstLineChars="200" w:firstLine="480"/>
              <w:rPr>
                <w:sz w:val="24"/>
              </w:rPr>
            </w:pPr>
            <w:r w:rsidRPr="0007774B">
              <w:rPr>
                <w:rFonts w:hint="eastAsia"/>
                <w:sz w:val="24"/>
              </w:rPr>
              <w:t>100</w:t>
            </w:r>
            <w:r w:rsidRPr="0007774B">
              <w:rPr>
                <w:rFonts w:hint="eastAsia"/>
                <w:sz w:val="24"/>
              </w:rPr>
              <w:t>万股</w:t>
            </w:r>
          </w:p>
        </w:tc>
        <w:tc>
          <w:tcPr>
            <w:tcW w:w="0" w:type="auto"/>
            <w:vAlign w:val="center"/>
          </w:tcPr>
          <w:p w:rsidR="00564DB4" w:rsidRPr="0007774B" w:rsidRDefault="00564DB4" w:rsidP="006677C6">
            <w:pPr>
              <w:ind w:firstLineChars="200" w:firstLine="480"/>
              <w:rPr>
                <w:sz w:val="24"/>
              </w:rPr>
            </w:pPr>
            <w:r w:rsidRPr="0007774B">
              <w:rPr>
                <w:rFonts w:hint="eastAsia"/>
                <w:sz w:val="24"/>
              </w:rPr>
              <w:t>100</w:t>
            </w:r>
            <w:r w:rsidRPr="0007774B">
              <w:rPr>
                <w:rFonts w:hint="eastAsia"/>
                <w:sz w:val="24"/>
              </w:rPr>
              <w:t>万股</w:t>
            </w:r>
          </w:p>
        </w:tc>
        <w:tc>
          <w:tcPr>
            <w:tcW w:w="0" w:type="auto"/>
            <w:vAlign w:val="center"/>
          </w:tcPr>
          <w:p w:rsidR="00564DB4" w:rsidRPr="0007774B" w:rsidRDefault="00564DB4" w:rsidP="006677C6">
            <w:pPr>
              <w:ind w:firstLineChars="200" w:firstLine="480"/>
              <w:rPr>
                <w:sz w:val="24"/>
              </w:rPr>
            </w:pPr>
            <w:r w:rsidRPr="0007774B">
              <w:rPr>
                <w:rFonts w:hint="eastAsia"/>
                <w:sz w:val="24"/>
              </w:rPr>
              <w:t>150</w:t>
            </w:r>
            <w:r w:rsidRPr="0007774B">
              <w:rPr>
                <w:rFonts w:hint="eastAsia"/>
                <w:sz w:val="24"/>
              </w:rPr>
              <w:t>万股</w:t>
            </w:r>
          </w:p>
        </w:tc>
      </w:tr>
      <w:tr w:rsidR="00564DB4" w:rsidRPr="0007774B" w:rsidTr="00564DB4">
        <w:tc>
          <w:tcPr>
            <w:tcW w:w="0" w:type="auto"/>
            <w:vAlign w:val="center"/>
          </w:tcPr>
          <w:p w:rsidR="00564DB4" w:rsidRPr="0007774B" w:rsidRDefault="00564DB4" w:rsidP="00897DCF">
            <w:pPr>
              <w:ind w:firstLineChars="200" w:firstLine="480"/>
              <w:rPr>
                <w:sz w:val="24"/>
              </w:rPr>
            </w:pPr>
            <w:r w:rsidRPr="0007774B">
              <w:rPr>
                <w:rFonts w:hint="eastAsia"/>
                <w:sz w:val="24"/>
              </w:rPr>
              <w:t>EPS</w:t>
            </w:r>
          </w:p>
        </w:tc>
        <w:tc>
          <w:tcPr>
            <w:tcW w:w="0" w:type="auto"/>
            <w:vAlign w:val="center"/>
          </w:tcPr>
          <w:p w:rsidR="00564DB4" w:rsidRPr="0007774B" w:rsidRDefault="00564DB4" w:rsidP="006677C6">
            <w:pPr>
              <w:ind w:firstLineChars="200" w:firstLine="480"/>
              <w:rPr>
                <w:sz w:val="24"/>
              </w:rPr>
            </w:pPr>
            <w:r w:rsidRPr="0007774B">
              <w:rPr>
                <w:rFonts w:hint="eastAsia"/>
                <w:sz w:val="24"/>
              </w:rPr>
              <w:t>1.2</w:t>
            </w:r>
          </w:p>
        </w:tc>
        <w:tc>
          <w:tcPr>
            <w:tcW w:w="0" w:type="auto"/>
            <w:vAlign w:val="center"/>
          </w:tcPr>
          <w:p w:rsidR="00564DB4" w:rsidRPr="0007774B" w:rsidRDefault="00564DB4" w:rsidP="006677C6">
            <w:pPr>
              <w:ind w:firstLineChars="200" w:firstLine="480"/>
              <w:rPr>
                <w:sz w:val="24"/>
              </w:rPr>
            </w:pPr>
            <w:r w:rsidRPr="0007774B">
              <w:rPr>
                <w:rFonts w:hint="eastAsia"/>
                <w:sz w:val="24"/>
              </w:rPr>
              <w:t>0.975</w:t>
            </w:r>
          </w:p>
        </w:tc>
        <w:tc>
          <w:tcPr>
            <w:tcW w:w="0" w:type="auto"/>
            <w:vAlign w:val="center"/>
          </w:tcPr>
          <w:p w:rsidR="00564DB4" w:rsidRPr="0007774B" w:rsidRDefault="00564DB4" w:rsidP="006677C6">
            <w:pPr>
              <w:ind w:firstLineChars="200" w:firstLine="480"/>
              <w:rPr>
                <w:sz w:val="24"/>
              </w:rPr>
            </w:pPr>
            <w:r w:rsidRPr="0007774B">
              <w:rPr>
                <w:rFonts w:hint="eastAsia"/>
                <w:sz w:val="24"/>
              </w:rPr>
              <w:t>1.05</w:t>
            </w:r>
          </w:p>
        </w:tc>
      </w:tr>
    </w:tbl>
    <w:p w:rsidR="00564DB4" w:rsidRPr="0007774B" w:rsidRDefault="00564DB4" w:rsidP="00564DB4">
      <w:pPr>
        <w:ind w:firstLineChars="200" w:firstLine="480"/>
        <w:rPr>
          <w:sz w:val="24"/>
        </w:rPr>
      </w:pPr>
      <w:r w:rsidRPr="0007774B">
        <w:rPr>
          <w:rFonts w:hint="eastAsia"/>
          <w:sz w:val="24"/>
        </w:rPr>
        <w:t>由表</w:t>
      </w:r>
      <w:r w:rsidR="0007774B">
        <w:rPr>
          <w:rFonts w:hint="eastAsia"/>
          <w:sz w:val="24"/>
        </w:rPr>
        <w:t>1</w:t>
      </w:r>
      <w:r w:rsidRPr="0007774B">
        <w:rPr>
          <w:rFonts w:hint="eastAsia"/>
          <w:sz w:val="24"/>
        </w:rPr>
        <w:t>可知，息前税前利润为</w:t>
      </w:r>
      <w:r w:rsidRPr="0007774B">
        <w:rPr>
          <w:rFonts w:hint="eastAsia"/>
          <w:sz w:val="24"/>
        </w:rPr>
        <w:t>210</w:t>
      </w:r>
      <w:r w:rsidRPr="0007774B">
        <w:rPr>
          <w:rFonts w:hint="eastAsia"/>
          <w:sz w:val="24"/>
        </w:rPr>
        <w:t>万元时，长期债务筹资每股收益为</w:t>
      </w:r>
      <w:r w:rsidRPr="0007774B">
        <w:rPr>
          <w:rFonts w:hint="eastAsia"/>
          <w:sz w:val="24"/>
        </w:rPr>
        <w:t>1.2</w:t>
      </w:r>
      <w:r w:rsidRPr="0007774B">
        <w:rPr>
          <w:rFonts w:hint="eastAsia"/>
          <w:sz w:val="24"/>
        </w:rPr>
        <w:t>元，优先股每股收益为</w:t>
      </w:r>
      <w:r w:rsidRPr="0007774B">
        <w:rPr>
          <w:rFonts w:hint="eastAsia"/>
          <w:sz w:val="24"/>
        </w:rPr>
        <w:t>0.975</w:t>
      </w:r>
      <w:r w:rsidRPr="0007774B">
        <w:rPr>
          <w:rFonts w:hint="eastAsia"/>
          <w:sz w:val="24"/>
        </w:rPr>
        <w:t>元，普通股每股收益为</w:t>
      </w:r>
      <w:r w:rsidRPr="0007774B">
        <w:rPr>
          <w:rFonts w:hint="eastAsia"/>
          <w:sz w:val="24"/>
        </w:rPr>
        <w:t>1.05</w:t>
      </w:r>
      <w:r w:rsidRPr="0007774B">
        <w:rPr>
          <w:rFonts w:hint="eastAsia"/>
          <w:sz w:val="24"/>
        </w:rPr>
        <w:t>元，出此可画出长期债务线、优先股线和普通股线的另一点。分别将两点连接起来，画出长期债务线、优先股线和普通股线（图</w:t>
      </w:r>
      <w:r w:rsidR="0007774B">
        <w:rPr>
          <w:rFonts w:hint="eastAsia"/>
          <w:sz w:val="24"/>
        </w:rPr>
        <w:t>1</w:t>
      </w:r>
      <w:r w:rsidRPr="0007774B">
        <w:rPr>
          <w:rFonts w:hint="eastAsia"/>
          <w:sz w:val="24"/>
        </w:rPr>
        <w:t>）。</w:t>
      </w:r>
    </w:p>
    <w:p w:rsidR="00564DB4" w:rsidRPr="0007774B" w:rsidRDefault="00564DB4" w:rsidP="00564DB4">
      <w:pPr>
        <w:ind w:firstLineChars="200" w:firstLine="480"/>
        <w:rPr>
          <w:sz w:val="24"/>
        </w:rPr>
      </w:pPr>
      <w:r w:rsidRPr="0007774B">
        <w:rPr>
          <w:noProof/>
          <w:sz w:val="24"/>
        </w:rPr>
        <w:lastRenderedPageBreak/>
        <w:drawing>
          <wp:inline distT="0" distB="0" distL="0" distR="0" wp14:anchorId="32AE696C" wp14:editId="680F356A">
            <wp:extent cx="5260975" cy="3498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0975" cy="3498850"/>
                    </a:xfrm>
                    <a:prstGeom prst="rect">
                      <a:avLst/>
                    </a:prstGeom>
                    <a:noFill/>
                    <a:ln>
                      <a:noFill/>
                    </a:ln>
                  </pic:spPr>
                </pic:pic>
              </a:graphicData>
            </a:graphic>
          </wp:inline>
        </w:drawing>
      </w:r>
    </w:p>
    <w:p w:rsidR="00564DB4" w:rsidRPr="0007774B" w:rsidRDefault="00564DB4" w:rsidP="0007774B">
      <w:pPr>
        <w:ind w:firstLineChars="200" w:firstLine="480"/>
        <w:jc w:val="center"/>
        <w:rPr>
          <w:sz w:val="24"/>
        </w:rPr>
      </w:pPr>
      <w:r w:rsidRPr="0007774B">
        <w:rPr>
          <w:rFonts w:hint="eastAsia"/>
          <w:sz w:val="24"/>
        </w:rPr>
        <w:t>图</w:t>
      </w:r>
      <w:r w:rsidR="0007774B">
        <w:rPr>
          <w:rFonts w:hint="eastAsia"/>
          <w:sz w:val="24"/>
        </w:rPr>
        <w:t>1</w:t>
      </w:r>
      <w:r w:rsidRPr="0007774B">
        <w:rPr>
          <w:rFonts w:hint="eastAsia"/>
          <w:sz w:val="24"/>
        </w:rPr>
        <w:tab/>
        <w:t>EBIT-EPS</w:t>
      </w:r>
      <w:r w:rsidRPr="0007774B">
        <w:rPr>
          <w:rFonts w:hint="eastAsia"/>
          <w:sz w:val="24"/>
        </w:rPr>
        <w:t>分析</w:t>
      </w:r>
    </w:p>
    <w:p w:rsidR="00564DB4" w:rsidRPr="0007774B" w:rsidRDefault="00564DB4" w:rsidP="00564DB4">
      <w:pPr>
        <w:ind w:firstLineChars="200" w:firstLine="480"/>
        <w:rPr>
          <w:sz w:val="24"/>
        </w:rPr>
      </w:pPr>
      <w:r w:rsidRPr="0007774B">
        <w:rPr>
          <w:rFonts w:hint="eastAsia"/>
          <w:sz w:val="24"/>
        </w:rPr>
        <w:t>无差别点的计算公式如下：</w:t>
      </w:r>
    </w:p>
    <w:p w:rsidR="00564DB4" w:rsidRPr="0007774B" w:rsidRDefault="00564DB4" w:rsidP="00564DB4">
      <w:pPr>
        <w:ind w:firstLineChars="200" w:firstLine="480"/>
        <w:rPr>
          <w:sz w:val="24"/>
        </w:rPr>
      </w:pPr>
      <w:r w:rsidRPr="0007774B">
        <w:rPr>
          <w:sz w:val="24"/>
        </w:rPr>
        <w:object w:dxaOrig="61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35.25pt;mso-wrap-style:square;mso-position-horizontal-relative:page;mso-position-vertical-relative:page" o:ole="">
            <v:imagedata r:id="rId7" o:title=""/>
          </v:shape>
          <o:OLEObject Type="Embed" ProgID="Equation.3" ShapeID="_x0000_i1025" DrawAspect="Content" ObjectID="_1638025134" r:id="rId8"/>
        </w:object>
      </w:r>
    </w:p>
    <w:p w:rsidR="00564DB4" w:rsidRPr="0007774B" w:rsidRDefault="00564DB4" w:rsidP="00564DB4">
      <w:pPr>
        <w:ind w:firstLineChars="200" w:firstLine="480"/>
        <w:rPr>
          <w:sz w:val="24"/>
        </w:rPr>
      </w:pPr>
      <w:r w:rsidRPr="0007774B">
        <w:rPr>
          <w:rFonts w:hint="eastAsia"/>
          <w:sz w:val="24"/>
        </w:rPr>
        <w:t>式中：</w:t>
      </w:r>
      <w:r w:rsidRPr="0007774B">
        <w:rPr>
          <w:rFonts w:hint="eastAsia"/>
          <w:sz w:val="24"/>
        </w:rPr>
        <w:t>EBIT</w:t>
      </w:r>
      <w:r w:rsidRPr="0007774B">
        <w:rPr>
          <w:rFonts w:hint="eastAsia"/>
          <w:sz w:val="24"/>
        </w:rPr>
        <w:t>——每股收益无差别时的营业利润；</w:t>
      </w:r>
    </w:p>
    <w:p w:rsidR="00564DB4" w:rsidRPr="0007774B" w:rsidRDefault="00564DB4" w:rsidP="00564DB4">
      <w:pPr>
        <w:ind w:firstLineChars="200" w:firstLine="480"/>
        <w:rPr>
          <w:sz w:val="24"/>
        </w:rPr>
      </w:pPr>
      <w:r w:rsidRPr="0007774B">
        <w:rPr>
          <w:rFonts w:hint="eastAsia"/>
          <w:sz w:val="24"/>
        </w:rPr>
        <w:t>Ii</w:t>
      </w:r>
      <w:r w:rsidRPr="0007774B">
        <w:rPr>
          <w:rFonts w:hint="eastAsia"/>
          <w:sz w:val="24"/>
        </w:rPr>
        <w:t>——年利息支出；</w:t>
      </w:r>
    </w:p>
    <w:p w:rsidR="00564DB4" w:rsidRPr="0007774B" w:rsidRDefault="00564DB4" w:rsidP="00564DB4">
      <w:pPr>
        <w:ind w:firstLineChars="200" w:firstLine="480"/>
        <w:rPr>
          <w:sz w:val="24"/>
        </w:rPr>
      </w:pPr>
      <w:r w:rsidRPr="0007774B">
        <w:rPr>
          <w:rFonts w:hint="eastAsia"/>
          <w:sz w:val="24"/>
        </w:rPr>
        <w:t>T</w:t>
      </w:r>
      <w:r w:rsidRPr="0007774B">
        <w:rPr>
          <w:rFonts w:hint="eastAsia"/>
          <w:sz w:val="24"/>
        </w:rPr>
        <w:t>——企业所得税税率；</w:t>
      </w:r>
    </w:p>
    <w:p w:rsidR="00564DB4" w:rsidRPr="0007774B" w:rsidRDefault="00564DB4" w:rsidP="00564DB4">
      <w:pPr>
        <w:ind w:firstLineChars="200" w:firstLine="480"/>
        <w:rPr>
          <w:sz w:val="24"/>
        </w:rPr>
      </w:pPr>
      <w:r w:rsidRPr="0007774B">
        <w:rPr>
          <w:rFonts w:hint="eastAsia"/>
          <w:sz w:val="24"/>
        </w:rPr>
        <w:t>PDi</w:t>
      </w:r>
      <w:r w:rsidRPr="0007774B">
        <w:rPr>
          <w:rFonts w:hint="eastAsia"/>
          <w:sz w:val="24"/>
        </w:rPr>
        <w:t>——支付的优先股股利；</w:t>
      </w:r>
    </w:p>
    <w:p w:rsidR="00564DB4" w:rsidRPr="0007774B" w:rsidRDefault="00564DB4" w:rsidP="00564DB4">
      <w:pPr>
        <w:ind w:firstLineChars="200" w:firstLine="480"/>
        <w:rPr>
          <w:sz w:val="24"/>
        </w:rPr>
      </w:pPr>
      <w:r w:rsidRPr="0007774B">
        <w:rPr>
          <w:rFonts w:hint="eastAsia"/>
          <w:sz w:val="24"/>
        </w:rPr>
        <w:t>Ni</w:t>
      </w:r>
      <w:r w:rsidRPr="0007774B">
        <w:rPr>
          <w:rFonts w:hint="eastAsia"/>
          <w:sz w:val="24"/>
        </w:rPr>
        <w:t>——筹资后发行在外的普通股股数。</w:t>
      </w:r>
    </w:p>
    <w:p w:rsidR="00564DB4" w:rsidRPr="0007774B" w:rsidRDefault="00564DB4" w:rsidP="00564DB4">
      <w:pPr>
        <w:ind w:firstLineChars="200" w:firstLine="480"/>
        <w:rPr>
          <w:sz w:val="24"/>
        </w:rPr>
      </w:pPr>
      <w:r w:rsidRPr="0007774B">
        <w:rPr>
          <w:rFonts w:hint="eastAsia"/>
          <w:sz w:val="24"/>
        </w:rPr>
        <w:t>方案一与方案三，即长期债务和普通股筹资方式的每股收益无差别点，</w:t>
      </w:r>
      <w:r w:rsidRPr="0007774B">
        <w:rPr>
          <w:rFonts w:hint="eastAsia"/>
          <w:sz w:val="24"/>
        </w:rPr>
        <w:t>EPS1=EPS3</w:t>
      </w:r>
      <w:r w:rsidRPr="0007774B">
        <w:rPr>
          <w:rFonts w:hint="eastAsia"/>
          <w:sz w:val="24"/>
        </w:rPr>
        <w:t>：</w:t>
      </w:r>
    </w:p>
    <w:p w:rsidR="00564DB4" w:rsidRPr="0007774B" w:rsidRDefault="00564DB4" w:rsidP="00564DB4">
      <w:pPr>
        <w:ind w:firstLineChars="200" w:firstLine="480"/>
        <w:rPr>
          <w:sz w:val="24"/>
        </w:rPr>
      </w:pPr>
      <w:r w:rsidRPr="0007774B">
        <w:rPr>
          <w:sz w:val="24"/>
        </w:rPr>
        <w:object w:dxaOrig="5340" w:dyaOrig="700">
          <v:shape id="_x0000_i1026" type="#_x0000_t75" style="width:267pt;height:35.25pt;mso-wrap-style:square;mso-position-horizontal-relative:page;mso-position-vertical-relative:page" o:ole="">
            <v:imagedata r:id="rId9" o:title=""/>
          </v:shape>
          <o:OLEObject Type="Embed" ProgID="Equation.3" ShapeID="_x0000_i1026" DrawAspect="Content" ObjectID="_1638025135" r:id="rId10"/>
        </w:object>
      </w:r>
    </w:p>
    <w:p w:rsidR="00564DB4" w:rsidRPr="0007774B" w:rsidRDefault="00564DB4" w:rsidP="00564DB4">
      <w:pPr>
        <w:ind w:firstLineChars="200" w:firstLine="480"/>
        <w:rPr>
          <w:sz w:val="24"/>
        </w:rPr>
      </w:pPr>
      <w:r w:rsidRPr="0007774B">
        <w:rPr>
          <w:sz w:val="24"/>
        </w:rPr>
        <w:object w:dxaOrig="5319" w:dyaOrig="620">
          <v:shape id="_x0000_i1027" type="#_x0000_t75" style="width:266.25pt;height:31.5pt;mso-wrap-style:square;mso-position-horizontal-relative:page;mso-position-vertical-relative:page" o:ole="">
            <v:imagedata r:id="rId11" o:title=""/>
          </v:shape>
          <o:OLEObject Type="Embed" ProgID="Equation.3" ShapeID="_x0000_i1027" DrawAspect="Content" ObjectID="_1638025136" r:id="rId12"/>
        </w:object>
      </w:r>
    </w:p>
    <w:p w:rsidR="00564DB4" w:rsidRPr="0007774B" w:rsidRDefault="00564DB4" w:rsidP="00564DB4">
      <w:pPr>
        <w:ind w:firstLineChars="200" w:firstLine="480"/>
        <w:rPr>
          <w:sz w:val="24"/>
        </w:rPr>
      </w:pPr>
      <w:r w:rsidRPr="0007774B">
        <w:rPr>
          <w:rFonts w:hint="eastAsia"/>
          <w:sz w:val="24"/>
        </w:rPr>
        <w:t>解方程得方案一与方案三的每股收益无差别点所对应的</w:t>
      </w:r>
      <w:r w:rsidRPr="0007774B">
        <w:rPr>
          <w:rFonts w:hint="eastAsia"/>
          <w:sz w:val="24"/>
        </w:rPr>
        <w:t>EBIT=150</w:t>
      </w:r>
      <w:r w:rsidRPr="0007774B">
        <w:rPr>
          <w:rFonts w:hint="eastAsia"/>
          <w:sz w:val="24"/>
        </w:rPr>
        <w:t>（万元）。</w:t>
      </w:r>
    </w:p>
    <w:p w:rsidR="00564DB4" w:rsidRPr="0007774B" w:rsidRDefault="00564DB4" w:rsidP="00564DB4">
      <w:pPr>
        <w:ind w:firstLineChars="200" w:firstLine="480"/>
        <w:rPr>
          <w:sz w:val="24"/>
        </w:rPr>
      </w:pPr>
      <w:r w:rsidRPr="0007774B">
        <w:rPr>
          <w:rFonts w:hint="eastAsia"/>
          <w:sz w:val="24"/>
        </w:rPr>
        <w:t>同样方法可求得方案二与方案三，即优先股和普通股筹资的每股收益无差别点所对应</w:t>
      </w:r>
      <w:r w:rsidRPr="0007774B">
        <w:rPr>
          <w:rFonts w:hint="eastAsia"/>
          <w:sz w:val="24"/>
        </w:rPr>
        <w:t>EBIT=240</w:t>
      </w:r>
      <w:r w:rsidRPr="0007774B">
        <w:rPr>
          <w:rFonts w:hint="eastAsia"/>
          <w:sz w:val="24"/>
        </w:rPr>
        <w:t>（万元）。</w:t>
      </w:r>
    </w:p>
    <w:p w:rsidR="00564DB4" w:rsidRPr="0007774B" w:rsidRDefault="00564DB4" w:rsidP="00564DB4">
      <w:pPr>
        <w:ind w:firstLineChars="200" w:firstLine="480"/>
        <w:rPr>
          <w:sz w:val="24"/>
        </w:rPr>
      </w:pPr>
      <w:r w:rsidRPr="0007774B">
        <w:rPr>
          <w:rFonts w:hint="eastAsia"/>
          <w:sz w:val="24"/>
        </w:rPr>
        <w:t>长期债务线与普通股线相交于营业利润为</w:t>
      </w:r>
      <w:r w:rsidRPr="0007774B">
        <w:rPr>
          <w:rFonts w:hint="eastAsia"/>
          <w:sz w:val="24"/>
        </w:rPr>
        <w:t>150</w:t>
      </w:r>
      <w:r w:rsidRPr="0007774B">
        <w:rPr>
          <w:rFonts w:hint="eastAsia"/>
          <w:sz w:val="24"/>
        </w:rPr>
        <w:t>万元的点上，此时，这两种筹资方式带来的每股收益相同。此为长期债务与普通股筹资的每股收益无差别点。如果预期低于此点，则普通股融资比长期债务融资能提供更髙的每股收益，应采用普通股筹资；如果预期</w:t>
      </w:r>
      <w:r w:rsidRPr="0007774B">
        <w:rPr>
          <w:rFonts w:hint="eastAsia"/>
          <w:sz w:val="24"/>
        </w:rPr>
        <w:t>EBIT</w:t>
      </w:r>
      <w:r w:rsidRPr="0007774B">
        <w:rPr>
          <w:rFonts w:hint="eastAsia"/>
          <w:sz w:val="24"/>
        </w:rPr>
        <w:t>高于此点，债务融资优于普通股融资。</w:t>
      </w:r>
    </w:p>
    <w:p w:rsidR="00564DB4" w:rsidRPr="0007774B" w:rsidRDefault="00564DB4" w:rsidP="00564DB4">
      <w:pPr>
        <w:ind w:firstLineChars="200" w:firstLine="480"/>
        <w:rPr>
          <w:sz w:val="24"/>
        </w:rPr>
      </w:pPr>
      <w:r w:rsidRPr="0007774B">
        <w:rPr>
          <w:rFonts w:hint="eastAsia"/>
          <w:sz w:val="24"/>
        </w:rPr>
        <w:t>普通股线和优先股线相交于营业利润为</w:t>
      </w:r>
      <w:r w:rsidRPr="0007774B">
        <w:rPr>
          <w:rFonts w:hint="eastAsia"/>
          <w:sz w:val="24"/>
        </w:rPr>
        <w:t>240</w:t>
      </w:r>
      <w:r w:rsidRPr="0007774B">
        <w:rPr>
          <w:rFonts w:hint="eastAsia"/>
          <w:sz w:val="24"/>
        </w:rPr>
        <w:t>万元的点上，此时，这两种筹资方式带来的每股收益相同。此为优先股与普通股筹资的每股收益无差别点。如果预期</w:t>
      </w:r>
      <w:r w:rsidRPr="0007774B">
        <w:rPr>
          <w:rFonts w:hint="eastAsia"/>
          <w:sz w:val="24"/>
        </w:rPr>
        <w:t>EBIT</w:t>
      </w:r>
      <w:r w:rsidRPr="0007774B">
        <w:rPr>
          <w:rFonts w:hint="eastAsia"/>
          <w:sz w:val="24"/>
        </w:rPr>
        <w:t>低于此点，增发普通股为更好的筹资方案；如果预期</w:t>
      </w:r>
      <w:r w:rsidRPr="0007774B">
        <w:rPr>
          <w:rFonts w:hint="eastAsia"/>
          <w:sz w:val="24"/>
        </w:rPr>
        <w:t>EBIT</w:t>
      </w:r>
      <w:r w:rsidRPr="0007774B">
        <w:rPr>
          <w:rFonts w:hint="eastAsia"/>
          <w:sz w:val="24"/>
        </w:rPr>
        <w:t>高于此点，则发行优先股能提供更高的每股收益。</w:t>
      </w:r>
    </w:p>
    <w:p w:rsidR="00564DB4" w:rsidRPr="0007774B" w:rsidRDefault="00564DB4" w:rsidP="00564DB4">
      <w:pPr>
        <w:ind w:firstLineChars="200" w:firstLine="480"/>
        <w:rPr>
          <w:sz w:val="24"/>
        </w:rPr>
      </w:pPr>
      <w:r w:rsidRPr="0007774B">
        <w:rPr>
          <w:rFonts w:hint="eastAsia"/>
          <w:sz w:val="24"/>
        </w:rPr>
        <w:lastRenderedPageBreak/>
        <w:t>由于预测的息前税前利润为</w:t>
      </w:r>
      <w:r w:rsidRPr="0007774B">
        <w:rPr>
          <w:rFonts w:hint="eastAsia"/>
          <w:sz w:val="24"/>
        </w:rPr>
        <w:t>210</w:t>
      </w:r>
      <w:r w:rsidRPr="0007774B">
        <w:rPr>
          <w:rFonts w:hint="eastAsia"/>
          <w:sz w:val="24"/>
        </w:rPr>
        <w:t>万元，在方案一与方案三比较时选择长期债务融资；而在方案二与方案三比较时选择普通股融资。方案一与方案二即长期债务线与优先股线是平行的，不会产生每股收益无差别点，这说明债务融资在任何同一预期收益条件下均比发行优先股能提供更高的每股收益。但如果将三个方案综合起来考虑，选择长期债务融资方案能够实现最大的每股收益。</w:t>
      </w:r>
    </w:p>
    <w:p w:rsidR="00871CDF" w:rsidRPr="0007774B" w:rsidRDefault="00564DB4" w:rsidP="0007774B">
      <w:pPr>
        <w:ind w:firstLineChars="200" w:firstLine="480"/>
      </w:pPr>
      <w:r w:rsidRPr="0007774B">
        <w:rPr>
          <w:rFonts w:hint="eastAsia"/>
          <w:sz w:val="24"/>
        </w:rPr>
        <w:t>每股收益无差别点法在为企业管理层解决在某一特定预期盈利水平下是否应该选择什么融资方式提供了一个简单的分析方法。显然，这种方法侧重于对不同融资方式下的每股收益进行比较，但预期盈利水平与每股收益无差别点所对应的盈利水平之间的距离不同，反映的状态稳定性也不同。在上例中，长期债务和普通股筹资方式的每股收益无差别点所对应的息前税前利润</w:t>
      </w:r>
      <w:r w:rsidRPr="0007774B">
        <w:rPr>
          <w:rFonts w:hint="eastAsia"/>
          <w:sz w:val="24"/>
        </w:rPr>
        <w:t>EBIT=150</w:t>
      </w:r>
      <w:r w:rsidRPr="0007774B">
        <w:rPr>
          <w:rFonts w:hint="eastAsia"/>
          <w:sz w:val="24"/>
        </w:rPr>
        <w:t>万元，当预期收益超过</w:t>
      </w:r>
      <w:r w:rsidRPr="0007774B">
        <w:rPr>
          <w:rFonts w:hint="eastAsia"/>
          <w:sz w:val="24"/>
        </w:rPr>
        <w:t>150</w:t>
      </w:r>
      <w:r w:rsidRPr="0007774B">
        <w:rPr>
          <w:rFonts w:hint="eastAsia"/>
          <w:sz w:val="24"/>
        </w:rPr>
        <w:t>万元时，债务融资方式的每股收益总是大于普通股融资方式的每股收益，且距离每股收益无差别点对应的息前税前利润</w:t>
      </w:r>
      <w:r w:rsidRPr="0007774B">
        <w:rPr>
          <w:rFonts w:hint="eastAsia"/>
          <w:sz w:val="24"/>
        </w:rPr>
        <w:t>150</w:t>
      </w:r>
      <w:r w:rsidRPr="0007774B">
        <w:rPr>
          <w:rFonts w:hint="eastAsia"/>
          <w:sz w:val="24"/>
        </w:rPr>
        <w:t>万元越远，两种融资方式的每股收益差距越大，债务融资相对于普通股融资的优势越明显。</w:t>
      </w:r>
    </w:p>
    <w:sectPr w:rsidR="00871CDF" w:rsidRPr="0007774B" w:rsidSect="00E24C95">
      <w:pgSz w:w="11906" w:h="16838" w:code="9"/>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A3E" w:rsidRDefault="002F2A3E" w:rsidP="00564DB4">
      <w:r>
        <w:separator/>
      </w:r>
    </w:p>
  </w:endnote>
  <w:endnote w:type="continuationSeparator" w:id="0">
    <w:p w:rsidR="002F2A3E" w:rsidRDefault="002F2A3E" w:rsidP="0056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A3E" w:rsidRDefault="002F2A3E" w:rsidP="00564DB4">
      <w:r>
        <w:separator/>
      </w:r>
    </w:p>
  </w:footnote>
  <w:footnote w:type="continuationSeparator" w:id="0">
    <w:p w:rsidR="002F2A3E" w:rsidRDefault="002F2A3E" w:rsidP="00564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E4"/>
    <w:rsid w:val="0007774B"/>
    <w:rsid w:val="002C2CD1"/>
    <w:rsid w:val="002F2A3E"/>
    <w:rsid w:val="00301FB0"/>
    <w:rsid w:val="00564DB4"/>
    <w:rsid w:val="005A79B2"/>
    <w:rsid w:val="006677C6"/>
    <w:rsid w:val="008034E4"/>
    <w:rsid w:val="008F13D8"/>
    <w:rsid w:val="00953AC4"/>
    <w:rsid w:val="00A6524A"/>
    <w:rsid w:val="00D6366B"/>
    <w:rsid w:val="00E24C95"/>
    <w:rsid w:val="00EA0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8628A"/>
  <w15:chartTrackingRefBased/>
  <w15:docId w15:val="{2E1FD0CB-BCDE-4B03-85E1-1A986F47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4DB4"/>
    <w:pPr>
      <w:widowControl w:val="0"/>
      <w:jc w:val="both"/>
    </w:pPr>
    <w:rPr>
      <w:rFonts w:ascii="Times New Roman" w:eastAsia="宋体" w:hAnsi="Times New Roman" w:cs="Times New Roman"/>
      <w:szCs w:val="24"/>
    </w:rPr>
  </w:style>
  <w:style w:type="paragraph" w:styleId="3">
    <w:name w:val="heading 3"/>
    <w:basedOn w:val="a"/>
    <w:link w:val="30"/>
    <w:uiPriority w:val="9"/>
    <w:qFormat/>
    <w:rsid w:val="005A79B2"/>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A79B2"/>
    <w:rPr>
      <w:rFonts w:ascii="宋体" w:eastAsia="宋体" w:hAnsi="宋体" w:cs="宋体"/>
      <w:b/>
      <w:bCs/>
      <w:kern w:val="0"/>
      <w:sz w:val="27"/>
      <w:szCs w:val="27"/>
    </w:rPr>
  </w:style>
  <w:style w:type="character" w:styleId="a3">
    <w:name w:val="Strong"/>
    <w:basedOn w:val="a0"/>
    <w:uiPriority w:val="22"/>
    <w:qFormat/>
    <w:rsid w:val="005A79B2"/>
    <w:rPr>
      <w:b/>
      <w:bCs/>
    </w:rPr>
  </w:style>
  <w:style w:type="paragraph" w:styleId="a4">
    <w:name w:val="List Paragraph"/>
    <w:basedOn w:val="a"/>
    <w:uiPriority w:val="34"/>
    <w:qFormat/>
    <w:rsid w:val="005A79B2"/>
    <w:pPr>
      <w:ind w:firstLineChars="200" w:firstLine="420"/>
    </w:pPr>
    <w:rPr>
      <w:rFonts w:asciiTheme="minorHAnsi" w:eastAsiaTheme="minorEastAsia" w:hAnsiTheme="minorHAnsi" w:cstheme="minorBidi"/>
      <w:szCs w:val="22"/>
    </w:rPr>
  </w:style>
  <w:style w:type="paragraph" w:styleId="a5">
    <w:name w:val="header"/>
    <w:basedOn w:val="a"/>
    <w:link w:val="a6"/>
    <w:uiPriority w:val="99"/>
    <w:unhideWhenUsed/>
    <w:rsid w:val="00564DB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sid w:val="00564DB4"/>
    <w:rPr>
      <w:sz w:val="18"/>
      <w:szCs w:val="18"/>
    </w:rPr>
  </w:style>
  <w:style w:type="paragraph" w:styleId="a7">
    <w:name w:val="footer"/>
    <w:basedOn w:val="a"/>
    <w:link w:val="a8"/>
    <w:uiPriority w:val="99"/>
    <w:unhideWhenUsed/>
    <w:rsid w:val="00564DB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0"/>
    <w:link w:val="a7"/>
    <w:uiPriority w:val="99"/>
    <w:rsid w:val="00564D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endnotes" Target="endnotes.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2019-12-16T10:04:00Z</dcterms:created>
  <dcterms:modified xsi:type="dcterms:W3CDTF">2019-12-16T10:10:00Z</dcterms:modified>
</cp:coreProperties>
</file>