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67A" w:rsidRPr="00A518D2" w:rsidRDefault="008B7778">
      <w:pPr>
        <w:rPr>
          <w:sz w:val="72"/>
          <w:szCs w:val="72"/>
        </w:rPr>
      </w:pPr>
      <w:r w:rsidRPr="00A518D2">
        <w:rPr>
          <w:rFonts w:hint="eastAsia"/>
          <w:sz w:val="72"/>
          <w:szCs w:val="72"/>
        </w:rPr>
        <w:t>商业策划书</w:t>
      </w:r>
    </w:p>
    <w:p w:rsidR="008B7778" w:rsidRPr="00A518D2" w:rsidRDefault="00467B4D" w:rsidP="00467B4D">
      <w:pPr>
        <w:pStyle w:val="a3"/>
        <w:numPr>
          <w:ilvl w:val="0"/>
          <w:numId w:val="1"/>
        </w:numPr>
        <w:ind w:firstLineChars="0"/>
        <w:rPr>
          <w:sz w:val="44"/>
          <w:szCs w:val="44"/>
        </w:rPr>
      </w:pPr>
      <w:r w:rsidRPr="00A518D2">
        <w:rPr>
          <w:rFonts w:hint="eastAsia"/>
          <w:sz w:val="44"/>
          <w:szCs w:val="44"/>
        </w:rPr>
        <w:t>项目背景</w:t>
      </w:r>
    </w:p>
    <w:p w:rsidR="00095996" w:rsidRDefault="00095996" w:rsidP="00095996">
      <w:r>
        <w:rPr>
          <w:rFonts w:hint="eastAsia"/>
        </w:rPr>
        <w:t>关键词：存贷去中介 区块链 金融科技</w:t>
      </w:r>
    </w:p>
    <w:p w:rsidR="00010BD3" w:rsidRPr="00CE37C5" w:rsidRDefault="00010BD3" w:rsidP="00010BD3">
      <w:pPr>
        <w:pStyle w:val="a3"/>
        <w:numPr>
          <w:ilvl w:val="0"/>
          <w:numId w:val="4"/>
        </w:numPr>
        <w:ind w:firstLineChars="0"/>
        <w:rPr>
          <w:sz w:val="24"/>
        </w:rPr>
      </w:pPr>
      <w:r w:rsidRPr="00CE37C5">
        <w:rPr>
          <w:rFonts w:hint="eastAsia"/>
          <w:sz w:val="24"/>
        </w:rPr>
        <w:t>应收账款</w:t>
      </w:r>
      <w:r w:rsidR="00CE37C5">
        <w:rPr>
          <w:rFonts w:hint="eastAsia"/>
          <w:sz w:val="24"/>
        </w:rPr>
        <w:t>近年概况</w:t>
      </w:r>
    </w:p>
    <w:p w:rsidR="00AA5438" w:rsidRDefault="00AA5438" w:rsidP="00FF6055">
      <w:r>
        <w:rPr>
          <w:rFonts w:hint="eastAsia"/>
        </w:rPr>
        <w:t>应收账款管理的系统化、精细化是未来应收账款市场的重要发展方向。如今越发激烈的竞争迫使产品服务趋于赊销，使得应收账款逐渐成为企业资产负债表上最大的类别。同时，随着企业资产负债表上“应收账款”的余额不断增加，坏账的风险也逐渐显露。因而，加强对应收账款的管理，已经成为现代企业运营资金管理的重要一步。</w:t>
      </w:r>
    </w:p>
    <w:p w:rsidR="00010BD3" w:rsidRDefault="00010BD3" w:rsidP="00FF6055"/>
    <w:p w:rsidR="00AA5438" w:rsidRDefault="00AA5438" w:rsidP="00FF6055">
      <w:r>
        <w:rPr>
          <w:rFonts w:hint="eastAsia"/>
        </w:rPr>
        <w:t>近年来，应收账款管理同</w:t>
      </w:r>
      <w:r w:rsidRPr="001D3BA4">
        <w:rPr>
          <w:rFonts w:hint="eastAsia"/>
          <w:b/>
        </w:rPr>
        <w:t>金融科技</w:t>
      </w:r>
      <w:r>
        <w:rPr>
          <w:rFonts w:hint="eastAsia"/>
        </w:rPr>
        <w:t>（</w:t>
      </w:r>
      <w:r>
        <w:t>Fin-Tech</w:t>
      </w:r>
      <w:r>
        <w:rPr>
          <w:rFonts w:hint="eastAsia"/>
        </w:rPr>
        <w:t>）结合的趋势愈发明显。在外交部2018年5月28日向全球推介雄安新区的时候，也特别强调了Fin</w:t>
      </w:r>
      <w:r w:rsidR="007D5619">
        <w:rPr>
          <w:rFonts w:hint="eastAsia"/>
        </w:rPr>
        <w:t>-</w:t>
      </w:r>
      <w:r>
        <w:rPr>
          <w:rFonts w:hint="eastAsia"/>
        </w:rPr>
        <w:t>Tech在此的落地应</w:t>
      </w:r>
      <w:r w:rsidR="00562F4A">
        <w:rPr>
          <w:rFonts w:hint="eastAsia"/>
        </w:rPr>
        <w:t>用，将是新区对世界的一张极具</w:t>
      </w:r>
      <w:r>
        <w:rPr>
          <w:rFonts w:hint="eastAsia"/>
        </w:rPr>
        <w:t>吸引力的名片。</w:t>
      </w:r>
      <w:r w:rsidR="007D5619">
        <w:rPr>
          <w:rFonts w:hint="eastAsia"/>
        </w:rPr>
        <w:t>从最初财务系统管理应收账款，到应收账款信息化管理，再到应收账款交易平台。金融科技在应收账款管理上面，显得越发重要。而根本原因便在于，其对交易双方都有显著的优势。对于应收账款的买方而言，</w:t>
      </w:r>
      <w:r w:rsidR="001D3BA4">
        <w:rPr>
          <w:rFonts w:hint="eastAsia"/>
        </w:rPr>
        <w:t>一个标准化的交易平台可以实现高效的管理。对于应收账款的买方而言，应收账款的信息化管理有利于降低法律和构建成本。而在大数据时代，应收账款更能通过</w:t>
      </w:r>
      <w:r w:rsidR="001D3BA4" w:rsidRPr="001D3BA4">
        <w:rPr>
          <w:rFonts w:hint="eastAsia"/>
          <w:b/>
        </w:rPr>
        <w:t>机器学习、数据挖掘</w:t>
      </w:r>
      <w:r w:rsidR="001D3BA4">
        <w:rPr>
          <w:rFonts w:hint="eastAsia"/>
        </w:rPr>
        <w:t>来创造新的</w:t>
      </w:r>
      <w:r w:rsidR="001D3BA4" w:rsidRPr="001D3BA4">
        <w:rPr>
          <w:rFonts w:hint="eastAsia"/>
          <w:b/>
        </w:rPr>
        <w:t>风险控制</w:t>
      </w:r>
      <w:r w:rsidR="001D3BA4">
        <w:rPr>
          <w:rFonts w:hint="eastAsia"/>
        </w:rPr>
        <w:t>手段，使之能够紧跟资金流向，紧随生产过程和业务走向。</w:t>
      </w:r>
    </w:p>
    <w:p w:rsidR="001D3BA4" w:rsidRDefault="001D3BA4" w:rsidP="00FF6055"/>
    <w:p w:rsidR="00010BD3" w:rsidRDefault="00952170" w:rsidP="00FF6055">
      <w:r>
        <w:rPr>
          <w:rFonts w:hint="eastAsia"/>
        </w:rPr>
        <w:t>应收账款管理也已经成为我国经济与金融发展的一项重要课题。根据国家统计局数据，2011-2015年，全国规模以上工业企业应收账款总额和流动资产均持续增长，应收账款在流动资产总额所占比重持续增长。据数据显示，</w:t>
      </w:r>
      <w:r w:rsidR="00B67BA8">
        <w:rPr>
          <w:rFonts w:hint="eastAsia"/>
        </w:rPr>
        <w:t>全国工业企业的应收账款至2015年年末累计高达11.5万亿人民币，而在2011年年末只有7.03万亿人民币，4年间共增长了4.42万亿人民币，平均每年增加1.1万亿人民币。如何有效盘活存量应收账款，提升我国工业企业的资金使用</w:t>
      </w:r>
      <w:r w:rsidR="00A40736">
        <w:rPr>
          <w:rFonts w:hint="eastAsia"/>
        </w:rPr>
        <w:t>效率，显得尤为重要。另外，</w:t>
      </w:r>
      <w:r w:rsidR="00F10387">
        <w:rPr>
          <w:rFonts w:hint="eastAsia"/>
        </w:rPr>
        <w:t>应收账款融资的一个独具的优势是，有真实的贸易背景，融资具有自偿性的特点。而且交易双发在业务上一般都有着长期的往来，紧密的联系和深入的了解。</w:t>
      </w:r>
      <w:r w:rsidR="00153333">
        <w:rPr>
          <w:rFonts w:hint="eastAsia"/>
        </w:rPr>
        <w:t>同时也能建立更加有效的违约惩罚机制，因而预防违约以及追偿债务的能力都较强。</w:t>
      </w:r>
      <w:r w:rsidR="00EC6B8A">
        <w:rPr>
          <w:rFonts w:hint="eastAsia"/>
        </w:rPr>
        <w:t>这使得应收账款成为了较为优质的基础资产。</w:t>
      </w:r>
      <w:r w:rsidR="00B41602">
        <w:rPr>
          <w:rFonts w:hint="eastAsia"/>
        </w:rPr>
        <w:t>盘活应收账款</w:t>
      </w:r>
      <w:r w:rsidR="00010BD3">
        <w:rPr>
          <w:rFonts w:hint="eastAsia"/>
        </w:rPr>
        <w:t>对于降低交易成本，防范财务风险，特别是缓解小企业融资难、融资贵，具有非常重要的意义。</w:t>
      </w:r>
    </w:p>
    <w:p w:rsidR="00010BD3" w:rsidRDefault="00010BD3" w:rsidP="00FF6055"/>
    <w:p w:rsidR="00010BD3" w:rsidRDefault="00010BD3" w:rsidP="00FF6055">
      <w:r>
        <w:rPr>
          <w:rFonts w:hint="eastAsia"/>
        </w:rPr>
        <w:t>2016年1月27日，国务院总理李克强在主持召开国务院常务会议上首次提出“大力发展应收账款融资”，于是方兴未艾的应收账款融资市场迎来了重要的政策利好。传统的应收账款金融工具主要包括票据、信用证、福费廷和保理等，随着我国资产证券化备案制的推出，</w:t>
      </w:r>
      <w:r w:rsidRPr="00A518D2">
        <w:rPr>
          <w:rFonts w:hint="eastAsia"/>
          <w:b/>
        </w:rPr>
        <w:t>资产证券化</w:t>
      </w:r>
      <w:r>
        <w:rPr>
          <w:rFonts w:hint="eastAsia"/>
        </w:rPr>
        <w:t>日益成为一种重要的新型应收账款金融工具。应收账款可以通过证券化来实现多重目标；降低资金成本、提升资产流动性、多元化资金来源、实现会计出表等。应收账款市场实现了从商业信用到市场信用的转变，其中极大地体现了金融脱媒的魅力。</w:t>
      </w:r>
    </w:p>
    <w:p w:rsidR="00010BD3" w:rsidRDefault="00010BD3" w:rsidP="00FF6055"/>
    <w:p w:rsidR="00010BD3" w:rsidRDefault="00A518D2" w:rsidP="00A518D2">
      <w:r w:rsidRPr="00A518D2">
        <w:rPr>
          <w:rFonts w:hint="eastAsia"/>
          <w:sz w:val="24"/>
        </w:rPr>
        <w:t>2.</w:t>
      </w:r>
      <w:r w:rsidRPr="00A518D2">
        <w:rPr>
          <w:sz w:val="24"/>
        </w:rPr>
        <w:t xml:space="preserve"> </w:t>
      </w:r>
      <w:r w:rsidR="00010BD3" w:rsidRPr="00A518D2">
        <w:rPr>
          <w:rFonts w:hint="eastAsia"/>
          <w:sz w:val="24"/>
        </w:rPr>
        <w:t>企业资金流动：保</w:t>
      </w:r>
      <w:bookmarkStart w:id="0" w:name="_GoBack"/>
      <w:bookmarkEnd w:id="0"/>
      <w:r w:rsidR="00010BD3" w:rsidRPr="00A518D2">
        <w:rPr>
          <w:rFonts w:hint="eastAsia"/>
          <w:sz w:val="24"/>
        </w:rPr>
        <w:t>理业务</w:t>
      </w:r>
    </w:p>
    <w:p w:rsidR="00010BD3" w:rsidRDefault="00010BD3" w:rsidP="00FF6055">
      <w:r>
        <w:rPr>
          <w:rFonts w:hint="eastAsia"/>
        </w:rPr>
        <w:t>保理，在中国成为保付代理</w:t>
      </w:r>
      <w:r w:rsidR="0073746B">
        <w:rPr>
          <w:rFonts w:hint="eastAsia"/>
        </w:rPr>
        <w:t>业务</w:t>
      </w:r>
      <w:r>
        <w:rPr>
          <w:rFonts w:hint="eastAsia"/>
        </w:rPr>
        <w:t>，在中国台湾成为</w:t>
      </w:r>
      <w:r w:rsidR="0073746B">
        <w:rPr>
          <w:rFonts w:hint="eastAsia"/>
        </w:rPr>
        <w:t>应收账款承购业务。</w:t>
      </w:r>
      <w:r w:rsidR="00095996">
        <w:rPr>
          <w:rFonts w:hint="eastAsia"/>
        </w:rPr>
        <w:t>保理是基于企业交易</w:t>
      </w:r>
      <w:r w:rsidR="00095996">
        <w:rPr>
          <w:rFonts w:hint="eastAsia"/>
        </w:rPr>
        <w:lastRenderedPageBreak/>
        <w:t>过程中订立的货物销售或者服务合同所产生的贸易融资、销售分户管理、应收账款催收、信用风险控制与坏账担保等服务功能的综合性信用服务。根据FCI对保理的定义，保理协议意指供应商与保理商间存在的一种契约关系。根据该契约，供应商可能将应收账款转让给保理商，其目的可能是为了融资，或者为了获得保理商提供的下述服务中的至少一种：分户账管理；账款催收；坏账担保。</w:t>
      </w:r>
    </w:p>
    <w:p w:rsidR="00095996" w:rsidRDefault="00095996" w:rsidP="00FF6055"/>
    <w:p w:rsidR="00095996" w:rsidRDefault="00095996" w:rsidP="00FF6055">
      <w:r>
        <w:rPr>
          <w:rFonts w:hint="eastAsia"/>
        </w:rPr>
        <w:t>保理多是独立于银行业的。由于保理通过细分市场，为不为银行所看好的中小企业提供服务而逐渐形成的企业。这种行业风险就决定了保理商具有眼光锐利而机敏、经营灵活而不失稳健的特点。而银行由于经常专注于大型企业，因而即使自身成立的保理公司也很难拥有这些保理业</w:t>
      </w:r>
      <w:r w:rsidR="00620E8A">
        <w:rPr>
          <w:rFonts w:hint="eastAsia"/>
        </w:rPr>
        <w:t>最初产生时的特点，只会更多地继承母公司的经营风格。因此，这种在兼并中所形成的银行下属保理公司与银行办理保理业务或自建保理公司，虽然在表面形式上没有什么区别，但是在深层次上还是有着很大差别的。银行自建或自办保理业务很容易造成保理业最原始的企业文化氛围缺失。因此，在现阶段，从政府的层面来看，与其通过新建中小银行来支持中小企业，还不如开发支持与发展保理业，让更多的保理商进入该行业。因而我们的保理交易平台的存在就显得越发重要。</w:t>
      </w:r>
    </w:p>
    <w:p w:rsidR="00620E8A" w:rsidRDefault="00620E8A" w:rsidP="00FF6055"/>
    <w:p w:rsidR="00620E8A" w:rsidRPr="00733FEF" w:rsidRDefault="00A518D2" w:rsidP="00A518D2">
      <w:pPr>
        <w:rPr>
          <w:sz w:val="24"/>
          <w:szCs w:val="24"/>
        </w:rPr>
      </w:pPr>
      <w:r w:rsidRPr="00733FEF">
        <w:rPr>
          <w:rFonts w:hint="eastAsia"/>
          <w:sz w:val="24"/>
          <w:szCs w:val="24"/>
        </w:rPr>
        <w:t>3.</w:t>
      </w:r>
      <w:r w:rsidRPr="00733FEF">
        <w:rPr>
          <w:sz w:val="24"/>
          <w:szCs w:val="24"/>
        </w:rPr>
        <w:t xml:space="preserve"> </w:t>
      </w:r>
      <w:r w:rsidR="00620E8A" w:rsidRPr="00733FEF">
        <w:rPr>
          <w:rFonts w:hint="eastAsia"/>
          <w:sz w:val="24"/>
          <w:szCs w:val="24"/>
        </w:rPr>
        <w:t>企业融资新渠道：资产证券化</w:t>
      </w:r>
    </w:p>
    <w:p w:rsidR="00620E8A" w:rsidRDefault="00620E8A" w:rsidP="00620E8A">
      <w:r>
        <w:rPr>
          <w:rFonts w:hint="eastAsia"/>
        </w:rPr>
        <w:t>与欧美等成熟的市场相比，我国的资产证券化市场尚处于起步阶段。目前，我国资产证券化市场主要是，信贷资产证券化和企业资产证券化两大阵营。</w:t>
      </w:r>
    </w:p>
    <w:p w:rsidR="00620E8A" w:rsidRDefault="00620E8A" w:rsidP="00620E8A"/>
    <w:p w:rsidR="00620E8A" w:rsidRDefault="00620E8A" w:rsidP="00620E8A">
      <w:r>
        <w:rPr>
          <w:rFonts w:hint="eastAsia"/>
        </w:rPr>
        <w:t>2014年11月，中国证券监督管理委员会发布《证券公司基金管理公司子公司证券化业务管理规定》及相关配套规则，明确将自唱证券化业务由，事前的行政审批改为时候的备案制。在新的业务规则体系下，</w:t>
      </w:r>
      <w:r w:rsidR="008C09A6">
        <w:rPr>
          <w:rFonts w:hint="eastAsia"/>
        </w:rPr>
        <w:t>企业资产证券化也迎来了快速发展。2015年上交所、深交所和机构间私募产品报价与服务系统（以下简称“报价系统”）共发行企业资产证券化产品1897.52亿元人民币，一年的发行规模超过了过去10年之和。</w:t>
      </w:r>
    </w:p>
    <w:p w:rsidR="00010BD3" w:rsidRDefault="00010BD3" w:rsidP="00FF6055"/>
    <w:p w:rsidR="00A518D2" w:rsidRDefault="00A518D2" w:rsidP="00FF6055">
      <w:r>
        <w:rPr>
          <w:rFonts w:hint="eastAsia"/>
        </w:rPr>
        <w:t>2015年，以企业应收账款和保理债权为基础资产的产品分别发行了236.85亿元和13.40亿元人民币，分别占企业资产证券总体的13.13%和0.74%，【还可以说一点方兴未艾，有较大缺口】未来随着企业应收账类资产出表问题的解决，以及保理债权类资产的进一步扩大，以上两类资产为基础资产的企业资产证券化产品规模将会有较快增长。</w:t>
      </w:r>
    </w:p>
    <w:p w:rsidR="00010BD3" w:rsidRDefault="00010BD3" w:rsidP="00FF6055"/>
    <w:p w:rsidR="00AA5438" w:rsidRDefault="00AA5438" w:rsidP="00FF6055"/>
    <w:p w:rsidR="00467B4D" w:rsidRPr="00A518D2" w:rsidRDefault="00467B4D" w:rsidP="00467B4D">
      <w:pPr>
        <w:pStyle w:val="a3"/>
        <w:numPr>
          <w:ilvl w:val="0"/>
          <w:numId w:val="1"/>
        </w:numPr>
        <w:ind w:firstLineChars="0"/>
        <w:rPr>
          <w:sz w:val="44"/>
          <w:szCs w:val="44"/>
        </w:rPr>
      </w:pPr>
      <w:r w:rsidRPr="00A518D2">
        <w:rPr>
          <w:rFonts w:hint="eastAsia"/>
          <w:sz w:val="44"/>
          <w:szCs w:val="44"/>
        </w:rPr>
        <w:t>项目介绍</w:t>
      </w:r>
    </w:p>
    <w:p w:rsidR="00A10AEF" w:rsidRDefault="007D5619" w:rsidP="00A10AEF">
      <w:r>
        <w:rPr>
          <w:rFonts w:hint="eastAsia"/>
        </w:rPr>
        <w:t>（</w:t>
      </w:r>
      <w:r w:rsidR="00A10AEF">
        <w:rPr>
          <w:rFonts w:hint="eastAsia"/>
        </w:rPr>
        <w:t>应收账款信息化管理系统</w:t>
      </w:r>
      <w:r w:rsidR="0054558A">
        <w:rPr>
          <w:rFonts w:hint="eastAsia"/>
        </w:rPr>
        <w:t>、应收账款融资服务</w:t>
      </w:r>
      <w:r>
        <w:rPr>
          <w:rFonts w:hint="eastAsia"/>
        </w:rPr>
        <w:t>）</w:t>
      </w:r>
    </w:p>
    <w:p w:rsidR="0006588F" w:rsidRDefault="00296FDF" w:rsidP="00296FDF">
      <w:pPr>
        <w:pStyle w:val="a3"/>
        <w:numPr>
          <w:ilvl w:val="0"/>
          <w:numId w:val="2"/>
        </w:numPr>
        <w:ind w:firstLineChars="0"/>
      </w:pPr>
      <w:r>
        <w:rPr>
          <w:rFonts w:hint="eastAsia"/>
        </w:rPr>
        <w:t>基于</w:t>
      </w:r>
      <w:r w:rsidR="00142A6C">
        <w:rPr>
          <w:rFonts w:hint="eastAsia"/>
        </w:rPr>
        <w:t>区块链</w:t>
      </w:r>
      <w:r>
        <w:rPr>
          <w:rFonts w:hint="eastAsia"/>
        </w:rPr>
        <w:t>的应收账款</w:t>
      </w:r>
    </w:p>
    <w:p w:rsidR="00296FDF" w:rsidRDefault="00296FDF" w:rsidP="00296FDF">
      <w:pPr>
        <w:pStyle w:val="a3"/>
        <w:numPr>
          <w:ilvl w:val="0"/>
          <w:numId w:val="2"/>
        </w:numPr>
        <w:ind w:firstLineChars="0"/>
      </w:pPr>
      <w:r>
        <w:rPr>
          <w:rFonts w:hint="eastAsia"/>
        </w:rPr>
        <w:t>应收账款资产定价</w:t>
      </w:r>
    </w:p>
    <w:p w:rsidR="00A518D2" w:rsidRDefault="00296FDF" w:rsidP="00A518D2">
      <w:pPr>
        <w:pStyle w:val="a3"/>
        <w:numPr>
          <w:ilvl w:val="0"/>
          <w:numId w:val="2"/>
        </w:numPr>
        <w:ind w:firstLineChars="0"/>
      </w:pPr>
      <w:r>
        <w:rPr>
          <w:rFonts w:hint="eastAsia"/>
        </w:rPr>
        <w:t>保理交易平台</w:t>
      </w:r>
    </w:p>
    <w:p w:rsidR="00B10D89" w:rsidRPr="00B10D89" w:rsidRDefault="00A518D2" w:rsidP="00B10D89">
      <w:pPr>
        <w:pStyle w:val="a3"/>
        <w:numPr>
          <w:ilvl w:val="0"/>
          <w:numId w:val="2"/>
        </w:numPr>
        <w:ind w:firstLineChars="0"/>
      </w:pPr>
      <w:r>
        <w:rPr>
          <w:rFonts w:hint="eastAsia"/>
        </w:rPr>
        <w:t>资产证券化(</w:t>
      </w:r>
      <w:r w:rsidR="00296FDF">
        <w:rPr>
          <w:rFonts w:hint="eastAsia"/>
        </w:rPr>
        <w:t>保理债权资产证券化</w:t>
      </w:r>
      <w:r>
        <w:rPr>
          <w:rFonts w:hint="eastAsia"/>
        </w:rPr>
        <w:t>与应收账款资产证券化)</w:t>
      </w:r>
    </w:p>
    <w:p w:rsidR="00B10D89" w:rsidRPr="00B10D89" w:rsidRDefault="00B10D89" w:rsidP="00B10D89">
      <w:r>
        <w:rPr>
          <w:rFonts w:hint="eastAsia"/>
          <w:highlight w:val="lightGray"/>
        </w:rPr>
        <w:t>1</w:t>
      </w:r>
      <w:r>
        <w:rPr>
          <w:rFonts w:hint="eastAsia"/>
        </w:rPr>
        <w:t>基于</w:t>
      </w:r>
      <w:r w:rsidR="00142A6C">
        <w:rPr>
          <w:rFonts w:hint="eastAsia"/>
        </w:rPr>
        <w:t>区块链</w:t>
      </w:r>
      <w:r>
        <w:rPr>
          <w:rFonts w:hint="eastAsia"/>
        </w:rPr>
        <w:t>的应收账款</w:t>
      </w:r>
    </w:p>
    <w:p w:rsidR="00B10D89" w:rsidRPr="00B10D89" w:rsidRDefault="00B10D89" w:rsidP="00B10D89">
      <w:r>
        <w:rPr>
          <w:rFonts w:hint="eastAsia"/>
          <w:highlight w:val="lightGray"/>
        </w:rPr>
        <w:t>2</w:t>
      </w:r>
      <w:r>
        <w:rPr>
          <w:rFonts w:hint="eastAsia"/>
        </w:rPr>
        <w:t>应收账款资产定价</w:t>
      </w:r>
    </w:p>
    <w:p w:rsidR="00296FDF" w:rsidRDefault="00B10D89" w:rsidP="00B10D89">
      <w:r>
        <w:rPr>
          <w:rFonts w:hint="eastAsia"/>
          <w:highlight w:val="lightGray"/>
        </w:rPr>
        <w:t>3</w:t>
      </w:r>
      <w:r w:rsidR="00296FDF">
        <w:rPr>
          <w:rFonts w:hint="eastAsia"/>
        </w:rPr>
        <w:t>保理交易平台</w:t>
      </w:r>
    </w:p>
    <w:p w:rsidR="00296FDF" w:rsidRDefault="00B10D89" w:rsidP="00B10D89">
      <w:r>
        <w:rPr>
          <w:rFonts w:hint="eastAsia"/>
          <w:highlight w:val="lightGray"/>
        </w:rPr>
        <w:t>4</w:t>
      </w:r>
      <w:r w:rsidR="00A10AEF">
        <w:rPr>
          <w:rFonts w:hint="eastAsia"/>
        </w:rPr>
        <w:t>保理债权资产证券化</w:t>
      </w:r>
      <w:r w:rsidR="00A518D2">
        <w:rPr>
          <w:rFonts w:hint="eastAsia"/>
        </w:rPr>
        <w:t>与应收账款资产证券化</w:t>
      </w:r>
    </w:p>
    <w:p w:rsidR="00FC4F63" w:rsidRDefault="00FC4F63" w:rsidP="00B10D89">
      <w:r>
        <w:rPr>
          <w:rFonts w:hint="eastAsia"/>
        </w:rPr>
        <w:lastRenderedPageBreak/>
        <w:t>因为买方企业对象分散，发生频率、期限不同，所以将每一笔应收账款粉笔融资过于繁琐。【保理池融资的好处】因此，保理池融资是用于解决零散交易资金回笼的有效手段。</w:t>
      </w:r>
    </w:p>
    <w:p w:rsidR="00FC4F63" w:rsidRDefault="00FC4F63" w:rsidP="00B10D89">
      <w:r>
        <w:rPr>
          <w:rFonts w:hint="eastAsia"/>
        </w:rPr>
        <w:t>【风控驾驶舱</w:t>
      </w:r>
      <w:r w:rsidR="000E2EE2">
        <w:rPr>
          <w:rFonts w:hint="eastAsia"/>
        </w:rPr>
        <w:t>】{但是发出去的得要是优质的应收账款，不能一股脑全都发}</w:t>
      </w:r>
    </w:p>
    <w:p w:rsidR="000E2EE2" w:rsidRDefault="000E2EE2" w:rsidP="00B10D89"/>
    <w:p w:rsidR="00872C2F" w:rsidRDefault="00872C2F" w:rsidP="00872C2F">
      <w:pPr>
        <w:pStyle w:val="a3"/>
        <w:numPr>
          <w:ilvl w:val="0"/>
          <w:numId w:val="1"/>
        </w:numPr>
        <w:ind w:firstLineChars="0"/>
      </w:pPr>
      <w:r>
        <w:rPr>
          <w:rFonts w:hint="eastAsia"/>
        </w:rPr>
        <w:t>可行性分析</w:t>
      </w:r>
    </w:p>
    <w:p w:rsidR="00872C2F" w:rsidRDefault="00872C2F" w:rsidP="00872C2F">
      <w:r>
        <w:rPr>
          <w:rFonts w:hint="eastAsia"/>
        </w:rPr>
        <w:t>目前实现了基于</w:t>
      </w:r>
      <w:r w:rsidR="00142A6C">
        <w:rPr>
          <w:rFonts w:hint="eastAsia"/>
        </w:rPr>
        <w:t>区块链</w:t>
      </w:r>
      <w:r>
        <w:rPr>
          <w:rFonts w:hint="eastAsia"/>
        </w:rPr>
        <w:t>的应收账款管理系统和人工证券交易平台。</w:t>
      </w:r>
    </w:p>
    <w:p w:rsidR="00467B4D" w:rsidRDefault="0006588F" w:rsidP="0006588F">
      <w:pPr>
        <w:pStyle w:val="a3"/>
        <w:numPr>
          <w:ilvl w:val="0"/>
          <w:numId w:val="1"/>
        </w:numPr>
        <w:ind w:firstLineChars="0"/>
      </w:pPr>
      <w:r>
        <w:rPr>
          <w:rFonts w:hint="eastAsia"/>
        </w:rPr>
        <w:t>商业模式</w:t>
      </w:r>
    </w:p>
    <w:p w:rsidR="00FF6055" w:rsidRDefault="00AE1F3A" w:rsidP="00FF6055">
      <w:r>
        <w:rPr>
          <w:rFonts w:hint="eastAsia"/>
        </w:rPr>
        <w:t>【通过平台赚钱，通过做市商赚钱】</w:t>
      </w:r>
    </w:p>
    <w:p w:rsidR="00FF6055" w:rsidRDefault="00FF6055" w:rsidP="00FF6055"/>
    <w:p w:rsidR="0006588F" w:rsidRDefault="0006588F" w:rsidP="0006588F">
      <w:pPr>
        <w:pStyle w:val="a3"/>
        <w:numPr>
          <w:ilvl w:val="0"/>
          <w:numId w:val="1"/>
        </w:numPr>
        <w:ind w:firstLineChars="0"/>
      </w:pPr>
      <w:r>
        <w:rPr>
          <w:rFonts w:hint="eastAsia"/>
        </w:rPr>
        <w:t>团队建设</w:t>
      </w:r>
    </w:p>
    <w:p w:rsidR="00FF6055" w:rsidRDefault="00FF6055" w:rsidP="00FF6055"/>
    <w:p w:rsidR="0006588F" w:rsidRDefault="0006588F" w:rsidP="0006588F">
      <w:pPr>
        <w:pStyle w:val="a3"/>
        <w:numPr>
          <w:ilvl w:val="0"/>
          <w:numId w:val="1"/>
        </w:numPr>
        <w:ind w:firstLineChars="0"/>
      </w:pPr>
      <w:r>
        <w:rPr>
          <w:rFonts w:hint="eastAsia"/>
        </w:rPr>
        <w:t>带动就业前景情况分析</w:t>
      </w:r>
    </w:p>
    <w:p w:rsidR="00FF6055" w:rsidRDefault="00733FEF" w:rsidP="00733FEF">
      <w:r>
        <w:rPr>
          <w:rFonts w:hint="eastAsia"/>
        </w:rPr>
        <w:t>【杠杆效应】</w:t>
      </w:r>
    </w:p>
    <w:p w:rsidR="00FF6055" w:rsidRDefault="00FF6055" w:rsidP="00FF6055"/>
    <w:p w:rsidR="0006588F" w:rsidRDefault="0006588F" w:rsidP="0006588F">
      <w:pPr>
        <w:pStyle w:val="a3"/>
        <w:numPr>
          <w:ilvl w:val="0"/>
          <w:numId w:val="1"/>
        </w:numPr>
        <w:ind w:firstLineChars="0"/>
      </w:pPr>
      <w:r>
        <w:rPr>
          <w:rFonts w:hint="eastAsia"/>
        </w:rPr>
        <w:t>结语</w:t>
      </w:r>
    </w:p>
    <w:p w:rsidR="00FF6055" w:rsidRDefault="00FF6055" w:rsidP="00FF6055"/>
    <w:p w:rsidR="00FF6055" w:rsidRDefault="00FF6055" w:rsidP="0006588F">
      <w:pPr>
        <w:pStyle w:val="a3"/>
        <w:numPr>
          <w:ilvl w:val="0"/>
          <w:numId w:val="1"/>
        </w:numPr>
        <w:ind w:firstLineChars="0"/>
      </w:pPr>
      <w:r>
        <w:rPr>
          <w:rFonts w:hint="eastAsia"/>
        </w:rPr>
        <w:t>附录</w:t>
      </w:r>
    </w:p>
    <w:p w:rsidR="00FF6055" w:rsidRDefault="00FF6055" w:rsidP="00FF6055">
      <w:r>
        <w:rPr>
          <w:rFonts w:hint="eastAsia"/>
        </w:rPr>
        <w:t xml:space="preserve">附件一 </w:t>
      </w:r>
      <w:r w:rsidRPr="00FF6055">
        <w:rPr>
          <w:rFonts w:hint="eastAsia"/>
        </w:rPr>
        <w:t>《</w:t>
      </w:r>
      <w:r>
        <w:rPr>
          <w:rFonts w:hint="eastAsia"/>
        </w:rPr>
        <w:t>应收账款质押登记管理办法</w:t>
      </w:r>
      <w:r w:rsidRPr="00FF6055">
        <w:rPr>
          <w:rFonts w:hint="eastAsia"/>
        </w:rPr>
        <w:t>》</w:t>
      </w:r>
    </w:p>
    <w:p w:rsidR="00FF6055" w:rsidRDefault="00FF6055" w:rsidP="00FF6055">
      <w:r>
        <w:rPr>
          <w:rFonts w:hint="eastAsia"/>
        </w:rPr>
        <w:t>附件二 《财务分析的基本指标和计算公式》</w:t>
      </w:r>
    </w:p>
    <w:p w:rsidR="00FF6055" w:rsidRDefault="00FF6055" w:rsidP="00FF6055">
      <w:r>
        <w:rPr>
          <w:rFonts w:hint="eastAsia"/>
        </w:rPr>
        <w:t>附件三 《企业运营指标标准值》</w:t>
      </w:r>
    </w:p>
    <w:p w:rsidR="00FF6055" w:rsidRDefault="00FF6055" w:rsidP="00FF6055">
      <w:r>
        <w:rPr>
          <w:rFonts w:hint="eastAsia"/>
        </w:rPr>
        <w:t>附件四 《企业盈利指标标准值》</w:t>
      </w:r>
    </w:p>
    <w:p w:rsidR="00FF6055" w:rsidRPr="00FF6055" w:rsidRDefault="00FF6055" w:rsidP="00FF6055">
      <w:r>
        <w:rPr>
          <w:rFonts w:hint="eastAsia"/>
        </w:rPr>
        <w:t>附件五 《中小企业划分标准》</w:t>
      </w:r>
    </w:p>
    <w:sectPr w:rsidR="00FF6055" w:rsidRPr="00FF60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B89" w:rsidRDefault="002A5B89" w:rsidP="001D545C">
      <w:r>
        <w:separator/>
      </w:r>
    </w:p>
  </w:endnote>
  <w:endnote w:type="continuationSeparator" w:id="0">
    <w:p w:rsidR="002A5B89" w:rsidRDefault="002A5B89" w:rsidP="001D5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B89" w:rsidRDefault="002A5B89" w:rsidP="001D545C">
      <w:r>
        <w:separator/>
      </w:r>
    </w:p>
  </w:footnote>
  <w:footnote w:type="continuationSeparator" w:id="0">
    <w:p w:rsidR="002A5B89" w:rsidRDefault="002A5B89" w:rsidP="001D54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B34CC"/>
    <w:multiLevelType w:val="hybridMultilevel"/>
    <w:tmpl w:val="7B0612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2E3F2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CF20A62"/>
    <w:multiLevelType w:val="hybridMultilevel"/>
    <w:tmpl w:val="1C5413F4"/>
    <w:lvl w:ilvl="0" w:tplc="8348EEC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700CC0"/>
    <w:multiLevelType w:val="hybridMultilevel"/>
    <w:tmpl w:val="871E3334"/>
    <w:lvl w:ilvl="0" w:tplc="D3BA3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778"/>
    <w:rsid w:val="00010BD3"/>
    <w:rsid w:val="0006588F"/>
    <w:rsid w:val="00072111"/>
    <w:rsid w:val="00095996"/>
    <w:rsid w:val="000E2EE2"/>
    <w:rsid w:val="00142A6C"/>
    <w:rsid w:val="00153333"/>
    <w:rsid w:val="001D3BA4"/>
    <w:rsid w:val="001D545C"/>
    <w:rsid w:val="00296FDF"/>
    <w:rsid w:val="002A5B89"/>
    <w:rsid w:val="00467B4D"/>
    <w:rsid w:val="00534A44"/>
    <w:rsid w:val="0054558A"/>
    <w:rsid w:val="00562F4A"/>
    <w:rsid w:val="00620E8A"/>
    <w:rsid w:val="00733FEF"/>
    <w:rsid w:val="0073746B"/>
    <w:rsid w:val="007D5619"/>
    <w:rsid w:val="00872C2F"/>
    <w:rsid w:val="008B7778"/>
    <w:rsid w:val="008C09A6"/>
    <w:rsid w:val="008E790D"/>
    <w:rsid w:val="0093667A"/>
    <w:rsid w:val="00952170"/>
    <w:rsid w:val="00A10AEF"/>
    <w:rsid w:val="00A40736"/>
    <w:rsid w:val="00A518D2"/>
    <w:rsid w:val="00AA5438"/>
    <w:rsid w:val="00AE1F3A"/>
    <w:rsid w:val="00B10D89"/>
    <w:rsid w:val="00B41602"/>
    <w:rsid w:val="00B67BA8"/>
    <w:rsid w:val="00CE37C5"/>
    <w:rsid w:val="00DB09A5"/>
    <w:rsid w:val="00E5533C"/>
    <w:rsid w:val="00EC6B8A"/>
    <w:rsid w:val="00F10387"/>
    <w:rsid w:val="00FC4F63"/>
    <w:rsid w:val="00FF6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F5DCC1-319B-4BE5-830A-0C588578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B4D"/>
    <w:pPr>
      <w:ind w:firstLineChars="200" w:firstLine="420"/>
    </w:pPr>
  </w:style>
  <w:style w:type="paragraph" w:styleId="a4">
    <w:name w:val="header"/>
    <w:basedOn w:val="a"/>
    <w:link w:val="a5"/>
    <w:uiPriority w:val="99"/>
    <w:unhideWhenUsed/>
    <w:rsid w:val="001D54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D545C"/>
    <w:rPr>
      <w:sz w:val="18"/>
      <w:szCs w:val="18"/>
    </w:rPr>
  </w:style>
  <w:style w:type="paragraph" w:styleId="a6">
    <w:name w:val="footer"/>
    <w:basedOn w:val="a"/>
    <w:link w:val="a7"/>
    <w:uiPriority w:val="99"/>
    <w:unhideWhenUsed/>
    <w:rsid w:val="001D545C"/>
    <w:pPr>
      <w:tabs>
        <w:tab w:val="center" w:pos="4153"/>
        <w:tab w:val="right" w:pos="8306"/>
      </w:tabs>
      <w:snapToGrid w:val="0"/>
      <w:jc w:val="left"/>
    </w:pPr>
    <w:rPr>
      <w:sz w:val="18"/>
      <w:szCs w:val="18"/>
    </w:rPr>
  </w:style>
  <w:style w:type="character" w:customStyle="1" w:styleId="a7">
    <w:name w:val="页脚 字符"/>
    <w:basedOn w:val="a0"/>
    <w:link w:val="a6"/>
    <w:uiPriority w:val="99"/>
    <w:rsid w:val="001D54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1</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chuangxin1095688@sina.cn</dc:creator>
  <cp:keywords/>
  <dc:description/>
  <cp:lastModifiedBy>chuangxin1095688@sina.cn</cp:lastModifiedBy>
  <cp:revision>24</cp:revision>
  <dcterms:created xsi:type="dcterms:W3CDTF">2018-05-30T01:27:00Z</dcterms:created>
  <dcterms:modified xsi:type="dcterms:W3CDTF">2018-06-04T02:11:00Z</dcterms:modified>
</cp:coreProperties>
</file>