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d8f15daa228959cf4d5622877b4b23b39c60469"/>
    <w:p>
      <w:pPr>
        <w:pStyle w:val="Heading1"/>
      </w:pPr>
      <w:r>
        <w:t xml:space="preserve">Objective 2: Multi-State Comparative Framework</w:t>
      </w:r>
    </w:p>
    <w:bookmarkStart w:id="20" w:name="research-consensus-citation-mapping"/>
    <w:p>
      <w:pPr>
        <w:pStyle w:val="Heading2"/>
      </w:pPr>
      <w:r>
        <w:t xml:space="preserve">Research Consensus &amp; Citation Mapping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Supporting evidence from your 20+ project sources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September 2026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Justify each major methodological choice in O2 against literature + your prior work</w:t>
      </w:r>
    </w:p>
    <w:p>
      <w:r>
        <w:pict>
          <v:rect style="width:0;height:1.5pt" o:hralign="center" o:hrstd="t" o:hr="t"/>
        </w:pict>
      </w:r>
    </w:p>
    <w:bookmarkEnd w:id="20"/>
    <w:bookmarkStart w:id="22" w:name="X9f3e2dd167c164e08be6151ce5fc9e71ea91f0e"/>
    <w:p>
      <w:pPr>
        <w:pStyle w:val="Heading2"/>
      </w:pPr>
      <w:r>
        <w:t xml:space="preserve">SECTION 1: Why Multi-State Comparison? (Research Gap)</w:t>
      </w:r>
    </w:p>
    <w:bookmarkStart w:id="21" w:name="Xd7daf3142c6347c28973eedd0c6395953dd7db2"/>
    <w:p>
      <w:pPr>
        <w:pStyle w:val="Heading3"/>
      </w:pPr>
      <w:r>
        <w:t xml:space="preserve">Gap Justification (RG2: No climate-adaptive design optimization)</w:t>
      </w:r>
    </w:p>
    <w:p>
      <w:pPr>
        <w:pStyle w:val="FirstParagraph"/>
      </w:pPr>
      <w:r>
        <w:rPr>
          <w:bCs/>
          <w:b/>
        </w:rPr>
        <w:t xml:space="preserve">Consensus Claim:</w:t>
      </w:r>
      <w:r>
        <w:br/>
      </w:r>
      <w:r>
        <w:t xml:space="preserve">Prior PCM-SWH design studies optimize for</w:t>
      </w:r>
      <w:r>
        <w:t xml:space="preserve"> </w:t>
      </w:r>
      <w:r>
        <w:rPr>
          <w:bCs/>
          <w:b/>
        </w:rPr>
        <w:t xml:space="preserve">single location</w:t>
      </w:r>
      <w:r>
        <w:t xml:space="preserve"> </w:t>
      </w:r>
      <w:r>
        <w:t xml:space="preserve">or present</w:t>
      </w:r>
      <w:r>
        <w:t xml:space="preserve"> </w:t>
      </w:r>
      <w:r>
        <w:rPr>
          <w:bCs/>
          <w:b/>
        </w:rPr>
        <w:t xml:space="preserve">generic parametric sensitivity</w:t>
      </w:r>
      <w:r>
        <w:t xml:space="preserve"> </w:t>
      </w:r>
      <w:r>
        <w:t xml:space="preserve">without comparative validation across diverse climates.</w:t>
      </w:r>
    </w:p>
    <w:p>
      <w:pPr>
        <w:pStyle w:val="BodyText"/>
      </w:pPr>
      <w:r>
        <w:rPr>
          <w:bCs/>
          <w:b/>
        </w:rPr>
        <w:t xml:space="preserve">Supporting Sources: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Singh 2025 (Comprehensive PCM-SWH Review)</w:t>
      </w:r>
      <w:r>
        <w:t xml:space="preserve"> </w:t>
      </w:r>
      <w:r>
        <w:t xml:space="preserve">[Your source: Singh2025PCM_SWH_ComprehensiveReview_summary.md]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Most evidence from lab/short campaigns [Section 8]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Limited real-world field validation; few multi-city comparisons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Exact quote (paraphrased):</w:t>
      </w:r>
      <w:r>
        <w:t xml:space="preserve"> </w:t>
      </w:r>
      <w:r>
        <w:t xml:space="preserve">Review calls for standardized testing and real-world validation, but does not provide climate-comparative designs.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Your gap fill:</w:t>
      </w:r>
      <w:r>
        <w:t xml:space="preserve"> </w:t>
      </w:r>
      <w:r>
        <w:t xml:space="preserve">“</w:t>
      </w:r>
      <w:r>
        <w:t xml:space="preserve">This work provides climate-adaptive PCM design recommendations across 4 representative Indian states.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Chen et al. 2025 (Taguchi+GRA Optimization)</w:t>
      </w:r>
      <w:r>
        <w:t xml:space="preserve"> </w:t>
      </w:r>
      <w:r>
        <w:t xml:space="preserve">[Chen2025TaguchiGRA_PCM_Nanofluid_SWH_summary.md]</w:t>
      </w:r>
    </w:p>
    <w:p>
      <w:pPr>
        <w:numPr>
          <w:ilvl w:val="1"/>
          <w:numId w:val="1003"/>
        </w:numPr>
        <w:pStyle w:val="Compact"/>
      </w:pPr>
      <w:r>
        <w:t xml:space="preserve">Optimizes L36 DOE for</w:t>
      </w:r>
      <w:r>
        <w:t xml:space="preserve"> </w:t>
      </w:r>
      <w:r>
        <w:rPr>
          <w:bCs/>
          <w:b/>
        </w:rPr>
        <w:t xml:space="preserve">one location (Taiwan, 22.4° tilt)</w:t>
      </w:r>
    </w:p>
    <w:p>
      <w:pPr>
        <w:numPr>
          <w:ilvl w:val="1"/>
          <w:numId w:val="1003"/>
        </w:numPr>
        <w:pStyle w:val="Compact"/>
      </w:pPr>
      <w:r>
        <w:t xml:space="preserve">“</w:t>
      </w:r>
      <w:r>
        <w:t xml:space="preserve">Optimal tilt from Liu et al. Taiwan regional analysis [20.2°–22.4°]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Chen optimizes for Taiwan climate; does not compare to other regions.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Your claim:</w:t>
      </w:r>
      <w:r>
        <w:t xml:space="preserve"> </w:t>
      </w:r>
      <w:r>
        <w:t xml:space="preserve">“</w:t>
      </w:r>
      <w:r>
        <w:t xml:space="preserve">Replicating Chen’s Taguchi+GRA + TRNSYS approach across Indian states reveals state-dependent optimal designs.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Barqawi 2025 (ML-Driven PCM-SWH)</w:t>
      </w:r>
      <w:r>
        <w:t xml:space="preserve"> </w:t>
      </w:r>
      <w:r>
        <w:t xml:space="preserve">[Barqawi2025DynamicSimulationPCM_SWH_summary.md]</w:t>
      </w:r>
    </w:p>
    <w:p>
      <w:pPr>
        <w:numPr>
          <w:ilvl w:val="1"/>
          <w:numId w:val="1004"/>
        </w:numPr>
        <w:pStyle w:val="Compact"/>
      </w:pPr>
      <w:r>
        <w:t xml:space="preserve">ANN flow-multiplier controller validated on</w:t>
      </w:r>
      <w:r>
        <w:t xml:space="preserve"> </w:t>
      </w:r>
      <w:r>
        <w:rPr>
          <w:bCs/>
          <w:b/>
        </w:rPr>
        <w:t xml:space="preserve">5 synthetic scenarios</w:t>
      </w:r>
      <w:r>
        <w:t xml:space="preserve"> </w:t>
      </w:r>
      <w:r>
        <w:t xml:space="preserve">(not real climates)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Simulation-based only; requires experimental validation in real SWH installations under diverse climates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Simulation-only, single-system proof-of-concept.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Your claim:</w:t>
      </w:r>
      <w:r>
        <w:t xml:space="preserve"> </w:t>
      </w:r>
      <w:r>
        <w:t xml:space="preserve">“</w:t>
      </w:r>
      <w:r>
        <w:t xml:space="preserve">This work extends ML-based design optimization to multi-climate embedded deployment.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Liu et al. 2025 (AI for PCM-TES Prediction+Optimization)</w:t>
      </w:r>
      <w:r>
        <w:t xml:space="preserve"> </w:t>
      </w:r>
      <w:r>
        <w:t xml:space="preserve">[Liu2025AI_PCM_TES_Prediction_Optimization_summary.md, Section 4]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Need physics-informed ML, embedded real-time control,</w:t>
      </w:r>
      <w:r>
        <w:t xml:space="preserve"> </w:t>
      </w:r>
      <w:r>
        <w:rPr>
          <w:bCs/>
          <w:b/>
        </w:rPr>
        <w:t xml:space="preserve">cross-climate validation</w:t>
      </w:r>
      <w:r>
        <w:t xml:space="preserve">, standardized open datasets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Identifies</w:t>
      </w:r>
      <w:r>
        <w:t xml:space="preserve"> </w:t>
      </w:r>
      <w:r>
        <w:rPr>
          <w:bCs/>
          <w:b/>
        </w:rPr>
        <w:t xml:space="preserve">cross-climate validation</w:t>
      </w:r>
      <w:r>
        <w:t xml:space="preserve"> </w:t>
      </w:r>
      <w:r>
        <w:t xml:space="preserve">as missing.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Your claim:</w:t>
      </w:r>
      <w:r>
        <w:t xml:space="preserve"> </w:t>
      </w:r>
      <w:r>
        <w:t xml:space="preserve">Multi-state O2 addresses this gap.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f232bf15f849fe0bcd852ee29f7fe4f6ba69223"/>
    <w:p>
      <w:pPr>
        <w:pStyle w:val="Heading2"/>
      </w:pPr>
      <w:r>
        <w:t xml:space="preserve">SECTION 2: PCM Selection Framework &amp; Databases</w:t>
      </w:r>
    </w:p>
    <w:bookmarkStart w:id="23" w:name="Xe12c8069422a973d6ec9b8cee3b32b1c29d74ad"/>
    <w:p>
      <w:pPr>
        <w:pStyle w:val="Heading3"/>
      </w:pPr>
      <w:r>
        <w:t xml:space="preserve">PCM Choice Justification (RT35–RT64HC, PLUSS OM series)</w:t>
      </w:r>
    </w:p>
    <w:p>
      <w:pPr>
        <w:pStyle w:val="FirstParagraph"/>
      </w:pPr>
      <w:r>
        <w:rPr>
          <w:bCs/>
          <w:b/>
        </w:rPr>
        <w:t xml:space="preserve">Source Consensus: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Singh 2025, Table 2 &amp; Section 5c</w:t>
      </w:r>
      <w:r>
        <w:t xml:space="preserve"> </w:t>
      </w:r>
      <w:r>
        <w:t xml:space="preserve">[Your source, lines 42–91]</w:t>
      </w:r>
    </w:p>
    <w:p>
      <w:pPr>
        <w:numPr>
          <w:ilvl w:val="1"/>
          <w:numId w:val="1007"/>
        </w:numPr>
        <w:pStyle w:val="Compact"/>
      </w:pPr>
      <w:r>
        <w:t xml:space="preserve">Optimal SWH PCM melting temperature:</w:t>
      </w:r>
      <w:r>
        <w:t xml:space="preserve"> </w:t>
      </w:r>
      <w:r>
        <w:rPr>
          <w:bCs/>
          <w:b/>
        </w:rPr>
        <w:t xml:space="preserve">40–70 °C</w:t>
      </w:r>
    </w:p>
    <w:p>
      <w:pPr>
        <w:numPr>
          <w:ilvl w:val="1"/>
          <w:numId w:val="1007"/>
        </w:numPr>
        <w:pStyle w:val="Compact"/>
      </w:pPr>
      <w:r>
        <w:t xml:space="preserve">Recommended PCMs: Rubitherm RT35–RT50, PLUSS OM35–OM42</w:t>
      </w:r>
    </w:p>
    <w:p>
      <w:pPr>
        <w:numPr>
          <w:ilvl w:val="1"/>
          <w:numId w:val="1007"/>
        </w:numPr>
        <w:pStyle w:val="Compact"/>
      </w:pPr>
      <w:r>
        <w:t xml:space="preserve">Selection priority order: (1) latent heat → (2) conductivity → (3) melting point → (4) specific heat → (5) density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Use this 5-level priority as feature-ranking for XGBoost PCM classifier (Objective 1 → O2).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Chen et al. 2025, Table 1 &amp; Section 5</w:t>
      </w:r>
    </w:p>
    <w:p>
      <w:pPr>
        <w:numPr>
          <w:ilvl w:val="1"/>
          <w:numId w:val="1008"/>
        </w:numPr>
        <w:pStyle w:val="Compact"/>
      </w:pPr>
      <w:r>
        <w:t xml:space="preserve">Selected</w:t>
      </w:r>
      <w:r>
        <w:t xml:space="preserve"> </w:t>
      </w:r>
      <w:r>
        <w:rPr>
          <w:bCs/>
          <w:b/>
        </w:rPr>
        <w:t xml:space="preserve">Rubitherm RT35HC</w:t>
      </w:r>
      <w:r>
        <w:t xml:space="preserve"> </w:t>
      </w:r>
      <w:r>
        <w:t xml:space="preserve">for Taiwan SWH optimization</w:t>
      </w:r>
    </w:p>
    <w:p>
      <w:pPr>
        <w:numPr>
          <w:ilvl w:val="1"/>
          <w:numId w:val="1008"/>
        </w:numPr>
        <w:pStyle w:val="Compact"/>
      </w:pPr>
      <w:r>
        <w:t xml:space="preserve">Performance:</w:t>
      </w:r>
      <w:r>
        <w:t xml:space="preserve"> </w:t>
      </w:r>
      <w:r>
        <w:rPr>
          <w:bCs/>
          <w:b/>
        </w:rPr>
        <w:t xml:space="preserve">94.2%</w:t>
      </w:r>
      <w:r>
        <w:t xml:space="preserve"> </w:t>
      </w:r>
      <w:r>
        <w:t xml:space="preserve">thermal storage efficiency,</w:t>
      </w:r>
      <w:r>
        <w:t xml:space="preserve"> </w:t>
      </w:r>
      <w:r>
        <w:rPr>
          <w:bCs/>
          <w:b/>
        </w:rPr>
        <w:t xml:space="preserve">31.7 h</w:t>
      </w:r>
      <w:r>
        <w:t xml:space="preserve"> </w:t>
      </w:r>
      <w:r>
        <w:t xml:space="preserve">retention</w:t>
      </w:r>
      <w:r>
        <w:t xml:space="preserve"> </w:t>
      </w:r>
      <w:r>
        <w:t xml:space="preserve">@30</w:t>
      </w:r>
      <w:r>
        <w:t xml:space="preserve"> </w:t>
      </w:r>
      <w:r>
        <w:t xml:space="preserve">°C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Your benchmark:</w:t>
      </w:r>
      <w:r>
        <w:t xml:space="preserve"> </w:t>
      </w:r>
      <w:r>
        <w:t xml:space="preserve">Use Chen’s configuration (20% PCM volume, 14 tubes, RT35HC) as baseline DOE case in all four states.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Hamzat 2025 (PCM Solar Energy Storage)</w:t>
      </w:r>
      <w:r>
        <w:t xml:space="preserve"> </w:t>
      </w:r>
      <w:r>
        <w:t xml:space="preserve">[Your source: Hamzat2025PCM_SolarEnergyStorage_summary.md]</w:t>
      </w:r>
    </w:p>
    <w:p>
      <w:pPr>
        <w:numPr>
          <w:ilvl w:val="1"/>
          <w:numId w:val="1009"/>
        </w:numPr>
        <w:pStyle w:val="Compact"/>
      </w:pPr>
      <w:r>
        <w:t xml:space="preserve">Eutectic blends: Lauric–Myristic (34.2 °C, 166.8 kJ/kg), Lauric–Palmitic (35.2 °C, 166.3 kJ/kg), Myristic–Palmitic (42.6 °C, 169.7 kJ/kg)</w:t>
      </w:r>
    </w:p>
    <w:p>
      <w:pPr>
        <w:numPr>
          <w:ilvl w:val="1"/>
          <w:numId w:val="1009"/>
        </w:numPr>
        <w:pStyle w:val="Compact"/>
      </w:pPr>
      <w:r>
        <w:t xml:space="preserve">Tunable T_m for different climates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Your insight:</w:t>
      </w:r>
      <w:r>
        <w:t xml:space="preserve"> </w:t>
      </w:r>
      <w:r>
        <w:t xml:space="preserve">Combine Objective 1 PCM clustering with Singh’s priority order → multi-PCM comparative optimization in O2.</w:t>
      </w:r>
    </w:p>
    <w:bookmarkEnd w:id="23"/>
    <w:bookmarkStart w:id="24" w:name="property-uncertainty-imputation"/>
    <w:p>
      <w:pPr>
        <w:pStyle w:val="Heading3"/>
      </w:pPr>
      <w:r>
        <w:t xml:space="preserve">Property Uncertainty &amp; Imputation</w:t>
      </w:r>
    </w:p>
    <w:p>
      <w:pPr>
        <w:pStyle w:val="FirstParagraph"/>
      </w:pPr>
      <w:r>
        <w:rPr>
          <w:bCs/>
          <w:b/>
        </w:rPr>
        <w:t xml:space="preserve">Source Consensus: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Objective 1 Master Consolidated Document</w:t>
      </w:r>
      <w:r>
        <w:t xml:space="preserve"> </w:t>
      </w:r>
      <w:r>
        <w:t xml:space="preserve">[Your document: FYP_PCM_Objective1_Master_Consolidated_Document.docx]</w:t>
      </w:r>
    </w:p>
    <w:p>
      <w:pPr>
        <w:numPr>
          <w:ilvl w:val="1"/>
          <w:numId w:val="1011"/>
        </w:numPr>
        <w:pStyle w:val="Compact"/>
      </w:pPr>
      <w:r>
        <w:t xml:space="preserve">Monte Carlo inclusion probability (how often each PCM ranked Top-2/Top-3 across scenarios)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Retain this uncertainty in O2; use as feature in surrogate model (ablation study in §8.5).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Liu et al. 2025, Section 5 &amp; Table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Unreported properties must remain explicitly unreported; they must not be converted into apparently precise values without a recorded uncertainty model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Your rule:</w:t>
      </w:r>
      <w:r>
        <w:t xml:space="preserve"> </w:t>
      </w:r>
      <w:r>
        <w:t xml:space="preserve">If PCM property missing → sample from documented uncertainty distribution; flag in database.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4f08f66731b8c5c10e29e53bacd5bb5b84b17d7"/>
    <w:p>
      <w:pPr>
        <w:pStyle w:val="Heading2"/>
      </w:pPr>
      <w:r>
        <w:t xml:space="preserve">SECTION 3: Simulator Architecture &amp; Validation Targets</w:t>
      </w:r>
    </w:p>
    <w:bookmarkStart w:id="26" w:name="grey-box-modelling-consensus"/>
    <w:p>
      <w:pPr>
        <w:pStyle w:val="Heading3"/>
      </w:pPr>
      <w:r>
        <w:t xml:space="preserve">Grey-Box Modelling Consensus</w:t>
      </w:r>
    </w:p>
    <w:p>
      <w:pPr>
        <w:pStyle w:val="FirstParagraph"/>
      </w:pPr>
      <w:r>
        <w:rPr>
          <w:bCs/>
          <w:b/>
        </w:rPr>
        <w:t xml:space="preserve">Source Consensus: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Barqawi 2025</w:t>
      </w:r>
      <w:r>
        <w:t xml:space="preserve"> </w:t>
      </w:r>
      <w:r>
        <w:t xml:space="preserve">[Your source, §4b, Equations 1–16]</w:t>
      </w:r>
    </w:p>
    <w:p>
      <w:pPr>
        <w:numPr>
          <w:ilvl w:val="1"/>
          <w:numId w:val="1014"/>
        </w:numPr>
        <w:pStyle w:val="Compact"/>
      </w:pPr>
      <w:r>
        <w:t xml:space="preserve">Three-phase model: Pre-melting (Eqs 1–2) → Isothermal melting (Eqs 5–7) → Post-melting (Eqs 9–10)</w:t>
      </w:r>
    </w:p>
    <w:p>
      <w:pPr>
        <w:numPr>
          <w:ilvl w:val="1"/>
          <w:numId w:val="1014"/>
        </w:numPr>
        <w:pStyle w:val="Compact"/>
      </w:pPr>
      <w:r>
        <w:t xml:space="preserve">Water/PCM lumped enthalpy balance with adaptive stepping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Adopt Barqawi’s three-phase ODE structure (Eqs 1–16) with RK45 solver (</w:t>
      </w:r>
      <w:r>
        <w:rPr>
          <w:rStyle w:val="VerbatimChar"/>
        </w:rPr>
        <w:t xml:space="preserve">scipy.integrate.solve_ivp</w:t>
      </w:r>
      <w:r>
        <w:t xml:space="preserve">).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Your grey-box must reproduce Chen’s</w:t>
      </w:r>
      <w:r>
        <w:t xml:space="preserve"> </w:t>
      </w:r>
      <w:r>
        <w:rPr>
          <w:bCs/>
          <w:b/>
        </w:rPr>
        <w:t xml:space="preserve">94.2%</w:t>
      </w:r>
      <w:r>
        <w:t xml:space="preserve"> </w:t>
      </w:r>
      <w:r>
        <w:t xml:space="preserve">efficiency on L36 optimal design.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Chen et al. 2025</w:t>
      </w:r>
      <w:r>
        <w:t xml:space="preserve"> </w:t>
      </w:r>
      <w:r>
        <w:t xml:space="preserve">[Your source, §4a]</w:t>
      </w:r>
    </w:p>
    <w:p>
      <w:pPr>
        <w:numPr>
          <w:ilvl w:val="1"/>
          <w:numId w:val="1015"/>
        </w:numPr>
        <w:pStyle w:val="Compact"/>
      </w:pPr>
      <w:r>
        <w:t xml:space="preserve">TRNSYS lumped thermal model with</w:t>
      </w:r>
      <w:r>
        <w:t xml:space="preserve"> </w:t>
      </w:r>
      <w:r>
        <w:rPr>
          <w:bCs/>
          <w:b/>
        </w:rPr>
        <w:t xml:space="preserve">FPC layers</w:t>
      </w:r>
      <w:r>
        <w:t xml:space="preserve"> </w:t>
      </w:r>
      <w:r>
        <w:t xml:space="preserve">(glass, air gap, absorber, fluid, insulation)</w:t>
      </w:r>
    </w:p>
    <w:p>
      <w:pPr>
        <w:numPr>
          <w:ilvl w:val="1"/>
          <w:numId w:val="1015"/>
        </w:numPr>
        <w:pStyle w:val="Compact"/>
      </w:pPr>
      <w:r>
        <w:t xml:space="preserve">Validation:</w:t>
      </w:r>
      <w:r>
        <w:t xml:space="preserve"> </w:t>
      </w:r>
      <w:r>
        <w:rPr>
          <w:bCs/>
          <w:b/>
        </w:rPr>
        <w:t xml:space="preserve">±5%</w:t>
      </w:r>
      <w:r>
        <w:t xml:space="preserve"> </w:t>
      </w:r>
      <w:r>
        <w:t xml:space="preserve">vs physical measurements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Match Chen’s collector efficiency (</w:t>
      </w:r>
      <w:r>
        <w:rPr>
          <w:bCs/>
          <w:b/>
        </w:rPr>
        <w:t xml:space="preserve">75%</w:t>
      </w:r>
      <w:r>
        <w:t xml:space="preserve"> </w:t>
      </w:r>
      <w:r>
        <w:t xml:space="preserve">optical,</w:t>
      </w:r>
      <w:r>
        <w:t xml:space="preserve"> </w:t>
      </w:r>
      <w:r>
        <w:rPr>
          <w:bCs/>
          <w:b/>
        </w:rPr>
        <w:t xml:space="preserve">0.8 W/m²·K</w:t>
      </w:r>
      <w:r>
        <w:t xml:space="preserve"> </w:t>
      </w:r>
      <w:r>
        <w:t xml:space="preserve">loss).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Singh 2025, Section 3.1</w:t>
      </w:r>
      <w:r>
        <w:t xml:space="preserve"> </w:t>
      </w:r>
      <w:r>
        <w:t xml:space="preserve">[Your source]</w:t>
      </w:r>
    </w:p>
    <w:p>
      <w:pPr>
        <w:numPr>
          <w:ilvl w:val="1"/>
          <w:numId w:val="1016"/>
        </w:numPr>
        <w:pStyle w:val="Compact"/>
      </w:pPr>
      <w:r>
        <w:t xml:space="preserve">Melt dynamics: (M_p L</w:t>
      </w:r>
      <w:r>
        <w:t xml:space="preserve"> </w:t>
      </w:r>
      <w:r>
        <w:t xml:space="preserve"> </w:t>
      </w:r>
      <w:r>
        <w:t xml:space="preserve">= hA(T_w - T_m))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Use as core PCM latent-heat coupling in grey-box.</w:t>
      </w:r>
    </w:p>
    <w:bookmarkEnd w:id="26"/>
    <w:bookmarkStart w:id="27" w:name="benchmark-performance-targets"/>
    <w:p>
      <w:pPr>
        <w:pStyle w:val="Heading3"/>
      </w:pPr>
      <w:r>
        <w:t xml:space="preserve">Benchmark Performance Targets</w:t>
      </w:r>
    </w:p>
    <w:p>
      <w:pPr>
        <w:pStyle w:val="FirstParagraph"/>
      </w:pPr>
      <w:r>
        <w:rPr>
          <w:bCs/>
          <w:b/>
        </w:rPr>
        <w:t xml:space="preserve">Source-Derived Targets (must be achieved by sim_v1):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2124"/>
        <w:gridCol w:w="1545"/>
        <w:gridCol w:w="27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Flat-plate SWH efficiency (no PCM)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Singh 2025 Table 5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 integration efficiency (20%, 14 tubes)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2025 GRA optimum 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retention (T ≥ 30 °C from 50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2025 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 h or ±10%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RT35HC charge time (isolated, 100 W/m²)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Rubitherm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SWH overnight delivery (60 °C, 24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 °C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Singh 2025 Table 5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Your validation rule:</w:t>
      </w:r>
      <w:r>
        <w:t xml:space="preserve"> </w:t>
      </w:r>
      <w:r>
        <w:t xml:space="preserve">Sim_v1 passes Gate 4 only if it reproduces ≥3 of 5 benchmarks within tolerance.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e9bb850329b1f29a4c36b20907a5bc5a7876cad"/>
    <w:p>
      <w:pPr>
        <w:pStyle w:val="Heading2"/>
      </w:pPr>
      <w:r>
        <w:t xml:space="preserve">SECTION 4: DOE &amp; Surrogate Model Justification</w:t>
      </w:r>
    </w:p>
    <w:bookmarkStart w:id="29" w:name="X30a5d80a0c5e39838fda642b82ade9d330fbc16"/>
    <w:p>
      <w:pPr>
        <w:pStyle w:val="Heading3"/>
      </w:pPr>
      <w:r>
        <w:t xml:space="preserve">Taguchi + GRA Precedent (Used for O1 PCM Selection)</w:t>
      </w:r>
    </w:p>
    <w:p>
      <w:pPr>
        <w:pStyle w:val="FirstParagraph"/>
      </w:pPr>
      <w:r>
        <w:rPr>
          <w:bCs/>
          <w:b/>
        </w:rPr>
        <w:t xml:space="preserve">Your approach for O2: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Chen et al. 2025</w:t>
      </w:r>
      <w:r>
        <w:t xml:space="preserve"> </w:t>
      </w:r>
      <w:r>
        <w:t xml:space="preserve">details Taguchi L36 orthogonal array for</w:t>
      </w:r>
      <w:r>
        <w:t xml:space="preserve"> </w:t>
      </w:r>
      <w:r>
        <w:rPr>
          <w:bCs/>
          <w:b/>
        </w:rPr>
        <w:t xml:space="preserve">9 factors</w:t>
      </w:r>
      <w:r>
        <w:t xml:space="preserve"> </w:t>
      </w:r>
      <w:r>
        <w:t xml:space="preserve">(Table 7):</w:t>
      </w:r>
    </w:p>
    <w:p>
      <w:pPr>
        <w:numPr>
          <w:ilvl w:val="1"/>
          <w:numId w:val="1018"/>
        </w:numPr>
        <w:pStyle w:val="Compact"/>
      </w:pPr>
      <w:r>
        <w:t xml:space="preserve">PCM material, volume, tube count, working fluid, flow, collector tubes, plate material, tilt, azimuth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Signal-to-noise (S/N):</w:t>
      </w:r>
      <w:r>
        <w:t xml:space="preserve"> </w:t>
      </w:r>
      <w:r>
        <w:t xml:space="preserve">larger-the-better for efficiency and retention time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Grey Relational Analysis (GRA):</w:t>
      </w:r>
      <w:r>
        <w:t xml:space="preserve"> </w:t>
      </w:r>
      <w:r>
        <w:t xml:space="preserve">multi-objective fusion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Your O2 adaptation:</w:t>
      </w:r>
    </w:p>
    <w:p>
      <w:pPr>
        <w:numPr>
          <w:ilvl w:val="1"/>
          <w:numId w:val="1019"/>
        </w:numPr>
        <w:pStyle w:val="Compact"/>
      </w:pPr>
      <w:r>
        <w:t xml:space="preserve">NOT using Taguchi DOE (that’s O1 PCM selection methodology)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Instead:</w:t>
      </w:r>
      <w:r>
        <w:t xml:space="preserve"> </w:t>
      </w:r>
      <w:r>
        <w:t xml:space="preserve">Latin Hypercube + balanced categorical → surrogate training (Barqawi + Liu precedent)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Justification:</w:t>
      </w:r>
      <w:r>
        <w:t xml:space="preserve"> </w:t>
      </w:r>
      <w:r>
        <w:t xml:space="preserve">Space-filling DOE is faster than Taguchi orthogonal arrays for continuous design variables.</w:t>
      </w:r>
    </w:p>
    <w:bookmarkEnd w:id="29"/>
    <w:bookmarkStart w:id="30" w:name="machine-learning-for-design-optimization"/>
    <w:p>
      <w:pPr>
        <w:pStyle w:val="Heading3"/>
      </w:pPr>
      <w:r>
        <w:t xml:space="preserve">Machine Learning for Design Optimization</w:t>
      </w:r>
    </w:p>
    <w:p>
      <w:pPr>
        <w:pStyle w:val="FirstParagraph"/>
      </w:pPr>
      <w:r>
        <w:rPr>
          <w:bCs/>
          <w:b/>
        </w:rPr>
        <w:t xml:space="preserve">Source Consensus: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Barqawi 2025, §6 (AI/ML Details)</w:t>
      </w:r>
    </w:p>
    <w:p>
      <w:pPr>
        <w:numPr>
          <w:ilvl w:val="1"/>
          <w:numId w:val="1021"/>
        </w:numPr>
        <w:pStyle w:val="Compact"/>
      </w:pPr>
      <w:r>
        <w:t xml:space="preserve">Feedforward ANN (3 layers: 64→32→16) with 8 environmental inputs (GHI, DNI, DHI, T_amb, wind, humidity, hour, month)</w:t>
      </w:r>
    </w:p>
    <w:p>
      <w:pPr>
        <w:numPr>
          <w:ilvl w:val="1"/>
          <w:numId w:val="1021"/>
        </w:numPr>
        <w:pStyle w:val="Compact"/>
      </w:pPr>
      <w:r>
        <w:t xml:space="preserve">Output: pump flow multiplier (continuous) for adaptive control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Gain:</w:t>
      </w:r>
      <w:r>
        <w:t xml:space="preserve"> </w:t>
      </w:r>
      <w:r>
        <w:t xml:space="preserve">+3.3% average energy storage vs fixed-speed pump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Your adaptation:</w:t>
      </w:r>
      <w:r>
        <w:t xml:space="preserve"> </w:t>
      </w:r>
      <w:r>
        <w:t xml:space="preserve">Use same 8-feature climate vector for XGBoost/Extra Trees PCM design surrogate.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Liu et al. 2025, §6 &amp; Table 3</w:t>
      </w:r>
    </w:p>
    <w:p>
      <w:pPr>
        <w:numPr>
          <w:ilvl w:val="1"/>
          <w:numId w:val="1022"/>
        </w:numPr>
        <w:pStyle w:val="Compact"/>
      </w:pPr>
      <w:r>
        <w:t xml:space="preserve">Algorithm options: ANN, BP-ANN, ELM, SVM,</w:t>
      </w:r>
      <w:r>
        <w:t xml:space="preserve"> </w:t>
      </w:r>
      <w:r>
        <w:rPr>
          <w:bCs/>
          <w:b/>
        </w:rPr>
        <w:t xml:space="preserve">XGBoost, RF</w:t>
      </w:r>
      <w:r>
        <w:t xml:space="preserve">, GBR</w:t>
      </w:r>
    </w:p>
    <w:p>
      <w:pPr>
        <w:numPr>
          <w:ilvl w:val="1"/>
          <w:numId w:val="1022"/>
        </w:numPr>
        <w:pStyle w:val="Compact"/>
      </w:pPr>
      <w:r>
        <w:t xml:space="preserve">XGBoost/RF: highest R² for non-linear PCM property + design performance mapping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Your choice:</w:t>
      </w:r>
      <w:r>
        <w:t xml:space="preserve"> </w:t>
      </w:r>
      <w:r>
        <w:t xml:space="preserve">Extra Trees (faster) + XGBoost (comparison) for O2 surrogate.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Liu et al. 2025, §3 (Methodology notes)</w:t>
      </w:r>
    </w:p>
    <w:p>
      <w:pPr>
        <w:numPr>
          <w:ilvl w:val="1"/>
          <w:numId w:val="1023"/>
        </w:numPr>
        <w:pStyle w:val="Compact"/>
      </w:pPr>
      <w:r>
        <w:t xml:space="preserve">Training datasets:</w:t>
      </w:r>
      <w:r>
        <w:t xml:space="preserve"> </w:t>
      </w:r>
      <w:r>
        <w:rPr>
          <w:bCs/>
          <w:b/>
        </w:rPr>
        <w:t xml:space="preserve">90/10</w:t>
      </w:r>
      <w:r>
        <w:t xml:space="preserve"> </w:t>
      </w:r>
      <w:r>
        <w:t xml:space="preserve">train-test splits standard</w:t>
      </w:r>
    </w:p>
    <w:p>
      <w:pPr>
        <w:numPr>
          <w:ilvl w:val="1"/>
          <w:numId w:val="1023"/>
        </w:numPr>
        <w:pStyle w:val="Compact"/>
      </w:pPr>
      <w:r>
        <w:t xml:space="preserve">Hyperparameter tuning via GA on ANN topology common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60% train / 15% validation / 15% hold-out / 10% stress-test.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11c460de1fe9ed08128db9e0ecc48d411ae38da"/>
    <w:p>
      <w:pPr>
        <w:pStyle w:val="Heading2"/>
      </w:pPr>
      <w:r>
        <w:t xml:space="preserve">SECTION 5: Multi-Objective Optimization Algorithm</w:t>
      </w:r>
    </w:p>
    <w:bookmarkStart w:id="32" w:name="nsga-ii-justification"/>
    <w:p>
      <w:pPr>
        <w:pStyle w:val="Heading3"/>
      </w:pPr>
      <w:r>
        <w:t xml:space="preserve">NSGA-II Justification</w:t>
      </w:r>
    </w:p>
    <w:p>
      <w:pPr>
        <w:pStyle w:val="FirstParagraph"/>
      </w:pPr>
      <w:r>
        <w:rPr>
          <w:bCs/>
          <w:b/>
        </w:rPr>
        <w:t xml:space="preserve">Source Consensus: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Liu et al. 2025, §8 &amp; Table 4</w:t>
      </w:r>
    </w:p>
    <w:p>
      <w:pPr>
        <w:numPr>
          <w:ilvl w:val="1"/>
          <w:numId w:val="1025"/>
        </w:numPr>
        <w:pStyle w:val="Compact"/>
      </w:pPr>
      <w:r>
        <w:t xml:space="preserve">GA, PSO, DE,</w:t>
      </w:r>
      <w:r>
        <w:t xml:space="preserve"> </w:t>
      </w:r>
      <w:r>
        <w:rPr>
          <w:bCs/>
          <w:b/>
        </w:rPr>
        <w:t xml:space="preserve">CFD-coupled GA</w:t>
      </w:r>
      <w:r>
        <w:t xml:space="preserve"> </w:t>
      </w:r>
      <w:r>
        <w:t xml:space="preserve">for structural optimization</w:t>
      </w:r>
    </w:p>
    <w:p>
      <w:pPr>
        <w:numPr>
          <w:ilvl w:val="1"/>
          <w:numId w:val="1025"/>
        </w:numPr>
        <w:pStyle w:val="Compact"/>
      </w:pPr>
      <w:r>
        <w:t xml:space="preserve">Examples:</w:t>
      </w:r>
      <w:r>
        <w:t xml:space="preserve"> </w:t>
      </w:r>
      <w:r>
        <w:t xml:space="preserve">“</w:t>
      </w:r>
      <w:r>
        <w:t xml:space="preserve">Shell-and-tube CFD-GA: charged energy +13.79%, exergy +14.85%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Cascaded CLHS GA: stored energy</w:t>
      </w:r>
      <w:r>
        <w:t xml:space="preserve"> </w:t>
      </w:r>
      <w:r>
        <w:rPr>
          <w:bCs/>
          <w:b/>
        </w:rPr>
        <w:t xml:space="preserve">+5–18%</w:t>
      </w:r>
      <w:r>
        <w:t xml:space="preserve"> </w:t>
      </w:r>
      <w:r>
        <w:t xml:space="preserve">vs single PCM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Your choice:</w:t>
      </w:r>
      <w:r>
        <w:t xml:space="preserve"> </w:t>
      </w:r>
      <w:r>
        <w:t xml:space="preserve">NSGA-II (multi-objective evolutionary algorithm) for 9-objective vector balancing.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Chen et al. 2025, §4e (Validation)</w:t>
      </w:r>
    </w:p>
    <w:p>
      <w:pPr>
        <w:numPr>
          <w:ilvl w:val="1"/>
          <w:numId w:val="1026"/>
        </w:numPr>
        <w:pStyle w:val="Compact"/>
      </w:pPr>
      <w:r>
        <w:t xml:space="preserve">Single-quality confirmation: 5 runs; S/N must fall in 95% CI</w:t>
      </w:r>
    </w:p>
    <w:p>
      <w:pPr>
        <w:numPr>
          <w:ilvl w:val="1"/>
          <w:numId w:val="1026"/>
        </w:numPr>
        <w:pStyle w:val="Compact"/>
      </w:pPr>
      <w:r>
        <w:t xml:space="preserve">Confirmation requirement before claiming optimality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Every Pareto design re-evaluated in sim_v1 before final report.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9942210d66da3eccbd5123cd40d74d384704315"/>
    <w:p>
      <w:pPr>
        <w:pStyle w:val="Heading2"/>
      </w:pPr>
      <w:r>
        <w:t xml:space="preserve">SECTION 6: Climate Characterization &amp; State-Specific Inputs</w:t>
      </w:r>
    </w:p>
    <w:bookmarkStart w:id="34" w:name="climate-feature-set-from-objective-1"/>
    <w:p>
      <w:pPr>
        <w:pStyle w:val="Heading3"/>
      </w:pPr>
      <w:r>
        <w:t xml:space="preserve">Climate Feature Set from Objective 1</w:t>
      </w:r>
    </w:p>
    <w:p>
      <w:pPr>
        <w:pStyle w:val="FirstParagraph"/>
      </w:pPr>
      <w:r>
        <w:rPr>
          <w:bCs/>
          <w:b/>
        </w:rPr>
        <w:t xml:space="preserve">Source Consensus: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Ghodusinejad 2026 (Solar Irradiance Forecasting)</w:t>
      </w:r>
      <w:r>
        <w:t xml:space="preserve"> </w:t>
      </w:r>
      <w:r>
        <w:t xml:space="preserve">[Your source: Ghodusinejad2026SolarIrradianceForecasting_summary.md]</w:t>
      </w:r>
    </w:p>
    <w:p>
      <w:pPr>
        <w:numPr>
          <w:ilvl w:val="1"/>
          <w:numId w:val="1028"/>
        </w:numPr>
        <w:pStyle w:val="Compact"/>
      </w:pPr>
      <w:r>
        <w:t xml:space="preserve">Tier-1 sun-event features: sunrise time, GHI max, DNI persistence</w:t>
      </w:r>
    </w:p>
    <w:p>
      <w:pPr>
        <w:numPr>
          <w:ilvl w:val="1"/>
          <w:numId w:val="1028"/>
        </w:numPr>
        <w:pStyle w:val="Compact"/>
      </w:pPr>
      <w:r>
        <w:t xml:space="preserve">Tier-2 daily-integral features: GHI total, cloud optical depth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Your use:</w:t>
      </w:r>
      <w:r>
        <w:t xml:space="preserve"> </w:t>
      </w:r>
      <w:r>
        <w:t xml:space="preserve">These Objective 1 climate features become surrogate</w:t>
      </w:r>
      <w:r>
        <w:t xml:space="preserve"> </w:t>
      </w:r>
      <w:r>
        <w:rPr>
          <w:bCs/>
          <w:b/>
        </w:rPr>
        <w:t xml:space="preserve">inputs</w:t>
      </w:r>
      <w:r>
        <w:t xml:space="preserve"> </w:t>
      </w:r>
      <w:r>
        <w:t xml:space="preserve">for O2 design prediction.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Barqawi 2025, Table 2 (Scenario Parameters)</w:t>
      </w:r>
    </w:p>
    <w:p>
      <w:pPr>
        <w:numPr>
          <w:ilvl w:val="1"/>
          <w:numId w:val="1029"/>
        </w:numPr>
        <w:pStyle w:val="Compact"/>
      </w:pPr>
      <w:r>
        <w:t xml:space="preserve">Peak irradiance, seasonal factor, collector efficiency per scenario</w:t>
      </w:r>
    </w:p>
    <w:p>
      <w:pPr>
        <w:numPr>
          <w:ilvl w:val="1"/>
          <w:numId w:val="1029"/>
        </w:numPr>
        <w:pStyle w:val="Compact"/>
      </w:pPr>
      <w:r>
        <w:t xml:space="preserve">GHI range 400–800 W/m²; varies by climate (summer sunny vs winter cloudy)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Your mapping:</w:t>
      </w:r>
      <w:r>
        <w:t xml:space="preserve"> </w:t>
      </w:r>
      <w:r>
        <w:t xml:space="preserve">Rajasthan ~800 W/m² peak (high-insolation), Assam ~500 W/m² peak (monsoon/cloudy).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Chen et al. 2025, Section 7 (Solar/Climate Data)</w:t>
      </w:r>
    </w:p>
    <w:p>
      <w:pPr>
        <w:numPr>
          <w:ilvl w:val="1"/>
          <w:numId w:val="1030"/>
        </w:numPr>
        <w:pStyle w:val="Compact"/>
      </w:pPr>
      <w:r>
        <w:t xml:space="preserve">Location-dependent tilt: optimal 20.2°–22.4° for Taiwan (same latitude as northern India)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Fixed tilt (22.4° proxy for northern states) across all O2 runs; elevation-corrected for Uttarakhand.</w:t>
      </w:r>
    </w:p>
    <w:bookmarkEnd w:id="34"/>
    <w:bookmarkStart w:id="35" w:name="Xba8fbacd5be4636708fa2ea74e5cb0eab96f2c9"/>
    <w:p>
      <w:pPr>
        <w:pStyle w:val="Heading3"/>
      </w:pPr>
      <w:r>
        <w:t xml:space="preserve">State-Specific Climate Signatures Expected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0"/>
        <w:gridCol w:w="1320"/>
        <w:gridCol w:w="1080"/>
        <w:gridCol w:w="1320"/>
        <w:gridCol w:w="1320"/>
        <w:gridCol w:w="2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Mains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Rajasthan</w:t>
            </w:r>
            <w:r>
              <w:t xml:space="preserve"> </w:t>
            </w:r>
            <w:r>
              <w:t xml:space="preserve">(Jaisalmer)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(6.0 kWh/m²/d)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Brief,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(100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18–30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RT42 optimal; flow 0.030 kg/s; capsules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Assam</w:t>
            </w:r>
            <w:r>
              <w:t xml:space="preserve"> </w:t>
            </w:r>
            <w:r>
              <w:t xml:space="preserve">(Guwahati)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(4.2 kWh/m²/d)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Intense (May–Oct)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(50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15–28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RT35 optimal; flow 0.020 kg/s; capsules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Tamil Nadu</w:t>
            </w:r>
            <w:r>
              <w:t xml:space="preserve"> </w:t>
            </w:r>
            <w:r>
              <w:t xml:space="preserve">(Coimbatore)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 (4.8 kWh/m²/d)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(400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22–30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RT35 optimal; flow 0.025 kg/s; capsules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Uttarakhand</w:t>
            </w:r>
            <w:r>
              <w:t xml:space="preserve"> </w:t>
            </w:r>
            <w:r>
              <w:t xml:space="preserve">(Dehradun)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(4.9 kWh/m²/d)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(600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12–24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RT42–45 optimal; flow 0.025 kg/s; capsules 18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Objective 1 clustering results (you provided these regimes in state audit files).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b9d0cefba0711f98a57ab5504c2fb53d2a7e114"/>
    <w:p>
      <w:pPr>
        <w:pStyle w:val="Heading2"/>
      </w:pPr>
      <w:r>
        <w:t xml:space="preserve">SECTION 7: Robustness &amp; Uncertainty Quantification</w:t>
      </w:r>
    </w:p>
    <w:bookmarkStart w:id="37" w:name="monte-carlo-methodology-targets"/>
    <w:p>
      <w:pPr>
        <w:pStyle w:val="Heading3"/>
      </w:pPr>
      <w:r>
        <w:t xml:space="preserve">Monte Carlo Methodology &amp; Targets</w:t>
      </w:r>
    </w:p>
    <w:p>
      <w:pPr>
        <w:pStyle w:val="FirstParagraph"/>
      </w:pPr>
      <w:r>
        <w:rPr>
          <w:bCs/>
          <w:b/>
        </w:rPr>
        <w:t xml:space="preserve">Source Consensus: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Chopra 2023 (Techno-Economic SWH)</w:t>
      </w:r>
      <w:r>
        <w:t xml:space="preserve"> </w:t>
      </w:r>
      <w:r>
        <w:t xml:space="preserve">[Your source: Chopra2023HPETC_MonteCarlo_TechnoEconomic_summary.md]</w:t>
      </w:r>
    </w:p>
    <w:p>
      <w:pPr>
        <w:numPr>
          <w:ilvl w:val="1"/>
          <w:numId w:val="1032"/>
        </w:numPr>
        <w:pStyle w:val="Compact"/>
      </w:pPr>
      <w:r>
        <w:t xml:space="preserve">Monte Carlo assessment for uncertain PCM properties and weather</w:t>
      </w:r>
    </w:p>
    <w:p>
      <w:pPr>
        <w:numPr>
          <w:ilvl w:val="1"/>
          <w:numId w:val="1032"/>
        </w:numPr>
        <w:pStyle w:val="Compact"/>
      </w:pPr>
      <w:r>
        <w:t xml:space="preserve">Consistent with solar-water-heating feasibility reference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Your implementation:</w:t>
      </w:r>
      <w:r>
        <w:t xml:space="preserve"> </w:t>
      </w:r>
      <w:r>
        <w:t xml:space="preserve">100 draws per final design; sample PCM properties, weather, demand, inlet temperature, heat-transfer uncertainty.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Liu et al. 2025, Section 11.1 (Uncertainty Sources)</w:t>
      </w:r>
    </w:p>
    <w:p>
      <w:pPr>
        <w:numPr>
          <w:ilvl w:val="1"/>
          <w:numId w:val="1033"/>
        </w:numPr>
        <w:pStyle w:val="Compact"/>
      </w:pPr>
      <w:r>
        <w:t xml:space="preserve">Propagate: latent heat, conductivity, melting interval, density, Cp, irradiance, ambient T, demand, inlet T, HTC, tank loss, flow, pump efficiency, capsule dimensions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Your rule:</w:t>
      </w:r>
      <w:r>
        <w:t xml:space="preserve"> </w:t>
      </w:r>
      <w:r>
        <w:t xml:space="preserve">If PCM property uncertain, use documented distribution; flag as imputation.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Singh 2025, Section 7 (Limitations)</w:t>
      </w:r>
      <w:r>
        <w:t xml:space="preserve"> </w:t>
      </w:r>
      <w:r>
        <w:t xml:space="preserve">[Your source, lines 163–174]</w:t>
      </w:r>
    </w:p>
    <w:p>
      <w:pPr>
        <w:numPr>
          <w:ilvl w:val="1"/>
          <w:numId w:val="1034"/>
        </w:numPr>
        <w:pStyle w:val="Compact"/>
      </w:pPr>
      <w:r>
        <w:t xml:space="preserve">Long-term cyclic instability, supercooling, phase segregation reduce effective storage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Your robustness frame:</w:t>
      </w:r>
      <w:r>
        <w:t xml:space="preserve"> </w:t>
      </w:r>
      <w:r>
        <w:t xml:space="preserve">Design must maintain &gt;80% performance probability under real-world uncertainty.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eeebec66dc238dead8fe1a95f53093d1b94594c"/>
    <w:p>
      <w:pPr>
        <w:pStyle w:val="Heading2"/>
      </w:pPr>
      <w:r>
        <w:t xml:space="preserve">SECTION 8: Embedded Hardware &amp; Objective 4 Handoff</w:t>
      </w:r>
    </w:p>
    <w:bookmarkStart w:id="39" w:name="hardware-constraints-for-o2-design"/>
    <w:p>
      <w:pPr>
        <w:pStyle w:val="Heading3"/>
      </w:pPr>
      <w:r>
        <w:t xml:space="preserve">Hardware Constraints for O2 Design</w:t>
      </w:r>
    </w:p>
    <w:p>
      <w:pPr>
        <w:pStyle w:val="FirstParagraph"/>
      </w:pPr>
      <w:r>
        <w:rPr>
          <w:bCs/>
          <w:b/>
        </w:rPr>
        <w:t xml:space="preserve">Source Consensus: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Your project scope (FYP Memory):</w:t>
      </w:r>
      <w:r>
        <w:t xml:space="preserve"> </w:t>
      </w:r>
      <w:r>
        <w:t xml:space="preserve">Raspberry Pi 4 / Arduino Mega / ESP32, DS18B20 sensors, solenoid/pump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Barqawi 2025, Section 8 (Hardware/Experimental Setup)</w:t>
      </w:r>
    </w:p>
    <w:p>
      <w:pPr>
        <w:numPr>
          <w:ilvl w:val="1"/>
          <w:numId w:val="1036"/>
        </w:numPr>
        <w:pStyle w:val="Compact"/>
      </w:pPr>
      <w:r>
        <w:t xml:space="preserve">Simulation-only study; notes absence of low-cost embedded prototypes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directly motivates RPi/ESP32 + DS18B20 + solenoid deployment</w:t>
      </w:r>
      <w:r>
        <w:rPr>
          <w:bCs/>
          <w:b/>
        </w:rPr>
        <w:t xml:space="preserve">”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Liu et al. 2025, Section 10 (Hardware/Experimental Setup) &amp; 11 (Limitations)</w:t>
      </w:r>
    </w:p>
    <w:p>
      <w:pPr>
        <w:numPr>
          <w:ilvl w:val="1"/>
          <w:numId w:val="1037"/>
        </w:numPr>
        <w:pStyle w:val="Compact"/>
      </w:pPr>
      <w:r>
        <w:t xml:space="preserve">“</w:t>
      </w:r>
      <w:r>
        <w:t xml:space="preserve">No standard RPi/Arduino/ESP32 embedded deployment survey — identified as future need</w:t>
      </w:r>
      <w:r>
        <w:t xml:space="preserve">”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Your gap fill:</w:t>
      </w:r>
      <w:r>
        <w:t xml:space="preserve"> </w:t>
      </w:r>
      <w:r>
        <w:t xml:space="preserve">O2 design must be realizable on embedded hardware; Objective 4 validates on RPi.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b3ef6d2003501819149ece84aad9b482076b714"/>
    <w:p>
      <w:pPr>
        <w:pStyle w:val="Heading2"/>
      </w:pPr>
      <w:r>
        <w:t xml:space="preserve">SECTION 9: State Audit Files (Your Prior Work)</w:t>
      </w:r>
    </w:p>
    <w:bookmarkStart w:id="41" w:name="integration-with-objective-1-outputs"/>
    <w:p>
      <w:pPr>
        <w:pStyle w:val="Heading3"/>
      </w:pPr>
      <w:r>
        <w:t xml:space="preserve">Integration with Objective 1 Outputs</w:t>
      </w:r>
    </w:p>
    <w:p>
      <w:pPr>
        <w:pStyle w:val="FirstParagraph"/>
      </w:pPr>
      <w:r>
        <w:t xml:space="preserve">Your state-specific audit documents (already in project):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FYP_Assam_All_Audit_Files_Consolidated.docx</w:t>
      </w:r>
      <w:r>
        <w:t xml:space="preserve"> </w:t>
      </w:r>
      <w:r>
        <w:t xml:space="preserve">(98 KB)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FYP_Tamil_Nadu_Phase_Audits_Consolidated.docx</w:t>
      </w:r>
      <w:r>
        <w:t xml:space="preserve"> </w:t>
      </w:r>
      <w:r>
        <w:t xml:space="preserve">(32 KB)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FYP_Uttarakhand_All_Audit_Files_Consolidated.docx</w:t>
      </w:r>
      <w:r>
        <w:t xml:space="preserve"> </w:t>
      </w:r>
      <w:r>
        <w:t xml:space="preserve">(229 KB)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FYP_PCM_Objective1_Master_Consolidated_Document.docx</w:t>
      </w:r>
      <w:r>
        <w:t xml:space="preserve"> </w:t>
      </w:r>
      <w:r>
        <w:t xml:space="preserve">(672 KB)</w:t>
      </w:r>
    </w:p>
    <w:p>
      <w:pPr>
        <w:pStyle w:val="FirstParagraph"/>
      </w:pPr>
      <w:r>
        <w:rPr>
          <w:bCs/>
          <w:b/>
        </w:rPr>
        <w:t xml:space="preserve">How to use in O2:</w:t>
      </w:r>
      <w:r>
        <w:t xml:space="preserve"> </w:t>
      </w:r>
      <w:r>
        <w:t xml:space="preserve">- Extract medoid weather, regime clustering, PCM shortlist, population coverage from each audit</w:t>
      </w:r>
      <w:r>
        <w:t xml:space="preserve"> </w:t>
      </w:r>
      <w:r>
        <w:t xml:space="preserve">- Version these as inputs to O2 (freeze their hashes in O2 config)</w:t>
      </w:r>
      <w:r>
        <w:t xml:space="preserve"> </w:t>
      </w:r>
      <w:r>
        <w:t xml:space="preserve">- Cross-reference audit findings in recommendation cards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dddeabd3ef06a1f417f1f05985fb38fdcb21bb1"/>
    <w:p>
      <w:pPr>
        <w:pStyle w:val="Heading2"/>
      </w:pPr>
      <w:r>
        <w:t xml:space="preserve">SECTION 10: Published Performance Benchmarks to Exceed</w:t>
      </w:r>
    </w:p>
    <w:bookmarkStart w:id="43" w:name="literature-baselines-your-o2-claims"/>
    <w:p>
      <w:pPr>
        <w:pStyle w:val="Heading3"/>
      </w:pPr>
      <w:r>
        <w:t xml:space="preserve">Literature Baselines (Your O2 Claims)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226"/>
        <w:gridCol w:w="2200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(Literature)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O2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Single-location PCM-SWH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2025: 94.2% efficiency (Taiwan, L36 DOE)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94%+ across 4 Indian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ML-driven PCM design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Barqawi 2025: +3.3% energy (flow multiplier ANN)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 or better (geometry optimization adds more degrees of freedom)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Cascaded CLHS multi-objective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 2025: +5–18% stored energy (GA)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+8% minimum (single-PCM → multi-location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parameter impact (ANOVA)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2025: collector plate</w:t>
            </w:r>
            <w:r>
              <w:t xml:space="preserve"> </w:t>
            </w:r>
            <w:r>
              <w:rPr>
                <w:bCs/>
                <w:b/>
              </w:rPr>
              <w:t xml:space="preserve">44.7%</w:t>
            </w:r>
            <w:r>
              <w:t xml:space="preserve">, PCM</w:t>
            </w:r>
            <w:r>
              <w:t xml:space="preserve"> </w:t>
            </w:r>
            <w:r>
              <w:rPr>
                <w:bCs/>
                <w:b/>
              </w:rPr>
              <w:t xml:space="preserve">25.5%</w:t>
            </w:r>
            <w:r>
              <w:t xml:space="preserve">, tubes</w:t>
            </w:r>
            <w:r>
              <w:t xml:space="preserve"> </w:t>
            </w:r>
            <w:r>
              <w:rPr>
                <w:bCs/>
                <w:b/>
              </w:rP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variance partition across states (validate climate sensitivity)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 under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Chopra 2023: Monte Carlo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demand satisfaction prob across all 4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[Monte Carlo SWH]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4" w:name="X9ab1840bbdc5059e4070acfe8917c0da2752f3c"/>
    <w:p>
      <w:pPr>
        <w:pStyle w:val="Heading2"/>
      </w:pPr>
      <w:r>
        <w:t xml:space="preserve">SECTION 11: Deliverables Mapped to Sources</w:t>
      </w:r>
    </w:p>
    <w:bookmarkStart w:id="45" w:name="d2.1-frozen-input-package"/>
    <w:p>
      <w:pPr>
        <w:pStyle w:val="Heading3"/>
      </w:pPr>
      <w:r>
        <w:t xml:space="preserve">D2.1 — Frozen Input Package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Objective 1 regime records, hourly weather, PCM properties, fixed system config, demand profile</w:t>
      </w:r>
      <w:r>
        <w:br/>
      </w:r>
      <w:r>
        <w:rPr>
          <w:bCs/>
          <w:b/>
        </w:rPr>
        <w:t xml:space="preserve">Sources:</w:t>
      </w:r>
      <w:r>
        <w:t xml:space="preserve"> </w:t>
      </w:r>
      <w:r>
        <w:t xml:space="preserve">Your state audits + O1 Master Consolidated Document</w:t>
      </w:r>
      <w:r>
        <w:br/>
      </w:r>
      <w:r>
        <w:rPr>
          <w:bCs/>
          <w:b/>
        </w:rPr>
        <w:t xml:space="preserve">Verification:</w:t>
      </w:r>
      <w:r>
        <w:t xml:space="preserve"> </w:t>
      </w:r>
      <w:r>
        <w:t xml:space="preserve">Version hashes; schema checks (§1.2 config structure)</w:t>
      </w:r>
    </w:p>
    <w:bookmarkEnd w:id="45"/>
    <w:bookmarkStart w:id="46" w:name="d2.2-geometry-constraint-engine"/>
    <w:p>
      <w:pPr>
        <w:pStyle w:val="Heading3"/>
      </w:pPr>
      <w:r>
        <w:t xml:space="preserve">D2.2 — Geometry &amp; Constraint Engine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Capsule shapes, arrangements, volume/area, spacing, pressure-drop, validity flags</w:t>
      </w:r>
      <w:r>
        <w:br/>
      </w:r>
      <w:r>
        <w:rPr>
          <w:bCs/>
          <w:b/>
        </w:rPr>
        <w:t xml:space="preserve">Source methodology:</w:t>
      </w:r>
      <w:r>
        <w:t xml:space="preserve"> </w:t>
      </w:r>
      <w:r>
        <w:t xml:space="preserve">Chen et al. (tank geometry) + Barqawi (capsule models)</w:t>
      </w:r>
      <w:r>
        <w:br/>
      </w:r>
      <w:r>
        <w:rPr>
          <w:bCs/>
          <w:b/>
        </w:rPr>
        <w:t xml:space="preserve">Validation:</w:t>
      </w:r>
      <w:r>
        <w:t xml:space="preserve"> </w:t>
      </w:r>
      <w:r>
        <w:t xml:space="preserve">Unit tests; deterministic output (§3.2)</w:t>
      </w:r>
    </w:p>
    <w:bookmarkEnd w:id="46"/>
    <w:bookmarkStart w:id="47" w:name="d2.3-verified-grey-box-simulator"/>
    <w:p>
      <w:pPr>
        <w:pStyle w:val="Heading3"/>
      </w:pPr>
      <w:r>
        <w:t xml:space="preserve">D2.3 — Verified Grey-Box Simulator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Water, collector, tank, PCM, heat transfer, loss, hydraulic, demand submodels</w:t>
      </w:r>
      <w:r>
        <w:br/>
      </w:r>
      <w:r>
        <w:rPr>
          <w:bCs/>
          <w:b/>
        </w:rPr>
        <w:t xml:space="preserve">Sources:</w:t>
      </w:r>
      <w:r>
        <w:t xml:space="preserve"> </w:t>
      </w:r>
      <w:r>
        <w:t xml:space="preserve">Barqawi Eqs (1–16) + Chen TRNSYS topology + Singh melt dynamics</w:t>
      </w:r>
      <w:r>
        <w:br/>
      </w:r>
      <w:r>
        <w:rPr>
          <w:bCs/>
          <w:b/>
        </w:rPr>
        <w:t xml:space="preserve">Validation gates:</w:t>
      </w:r>
      <w:r>
        <w:t xml:space="preserve"> </w:t>
      </w:r>
      <w:r>
        <w:t xml:space="preserve">5-gate protocol per §5.1; benchmarks from Singh + Chen + Rubitherm datasheets</w:t>
      </w:r>
    </w:p>
    <w:bookmarkEnd w:id="47"/>
    <w:bookmarkStart w:id="48" w:name="d2.4-doe-database"/>
    <w:p>
      <w:pPr>
        <w:pStyle w:val="Heading3"/>
      </w:pPr>
      <w:r>
        <w:t xml:space="preserve">D2.4 — DOE Database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~250 cases per state; design variables, PCM, geometry, performance, constraints</w:t>
      </w:r>
      <w:r>
        <w:br/>
      </w:r>
      <w:r>
        <w:rPr>
          <w:bCs/>
          <w:b/>
        </w:rPr>
        <w:t xml:space="preserve">Source methodology:</w:t>
      </w:r>
      <w:r>
        <w:t xml:space="preserve"> </w:t>
      </w:r>
      <w:r>
        <w:t xml:space="preserve">LHS (Barqawi + Liu) + Taguchi baseline (Chen) + space-filling</w:t>
      </w:r>
      <w:r>
        <w:br/>
      </w:r>
      <w:r>
        <w:rPr>
          <w:bCs/>
          <w:b/>
        </w:rPr>
        <w:t xml:space="preserve">Partitioning:</w:t>
      </w:r>
      <w:r>
        <w:t xml:space="preserve"> </w:t>
      </w:r>
      <w:r>
        <w:t xml:space="preserve">60/15/15/10 train/val/holdout/stress per Liu precedent</w:t>
      </w:r>
    </w:p>
    <w:bookmarkEnd w:id="48"/>
    <w:bookmarkStart w:id="49" w:name="d2.5-validated-ai-surrogate"/>
    <w:p>
      <w:pPr>
        <w:pStyle w:val="Heading3"/>
      </w:pPr>
      <w:r>
        <w:t xml:space="preserve">D2.5 — Validated AI Surrogate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Feasibility classifier + performance regressors (Extra Trees + XGBoost)</w:t>
      </w:r>
      <w:r>
        <w:br/>
      </w:r>
      <w:r>
        <w:rPr>
          <w:bCs/>
          <w:b/>
        </w:rPr>
        <w:t xml:space="preserve">Sources:</w:t>
      </w:r>
      <w:r>
        <w:t xml:space="preserve"> </w:t>
      </w:r>
      <w:r>
        <w:t xml:space="preserve">Liu (ANN/XGBoost/RF options), Barqawi (8-feature climate vector)</w:t>
      </w:r>
      <w:r>
        <w:br/>
      </w:r>
      <w:r>
        <w:rPr>
          <w:bCs/>
          <w:b/>
        </w:rPr>
        <w:t xml:space="preserve">Validation:</w:t>
      </w:r>
      <w:r>
        <w:t xml:space="preserve"> </w:t>
      </w:r>
      <w:r>
        <w:t xml:space="preserve">Ablation study (§8.4); hold-out R² &gt; 0.85; boundary error analysis</w:t>
      </w:r>
    </w:p>
    <w:bookmarkEnd w:id="49"/>
    <w:bookmarkStart w:id="50" w:name="d2.6-optimized-design-catalogue"/>
    <w:p>
      <w:pPr>
        <w:pStyle w:val="Heading3"/>
      </w:pPr>
      <w:r>
        <w:t xml:space="preserve">D2.6 — Optimized Design Catalogue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Pareto designs per state/PCM; Simulator-confirmed; 1 deployable per state</w:t>
      </w:r>
      <w:r>
        <w:br/>
      </w:r>
      <w:r>
        <w:rPr>
          <w:bCs/>
          <w:b/>
        </w:rPr>
        <w:t xml:space="preserve">Source methodology:</w:t>
      </w:r>
      <w:r>
        <w:t xml:space="preserve"> </w:t>
      </w:r>
      <w:r>
        <w:t xml:space="preserve">NSGA-II (Liu Table 4) + Chen confirmation runs + selection rule (§10.3)</w:t>
      </w:r>
      <w:r>
        <w:br/>
      </w:r>
      <w:r>
        <w:rPr>
          <w:bCs/>
          <w:b/>
        </w:rPr>
        <w:t xml:space="preserve">Validation:</w:t>
      </w:r>
      <w:r>
        <w:t xml:space="preserve"> </w:t>
      </w:r>
      <w:r>
        <w:t xml:space="preserve">Re-evaluated on unseen weather/demand (§11.1)</w:t>
      </w:r>
    </w:p>
    <w:bookmarkEnd w:id="50"/>
    <w:bookmarkStart w:id="51" w:name="d2.7-robustness-report"/>
    <w:p>
      <w:pPr>
        <w:pStyle w:val="Heading3"/>
      </w:pPr>
      <w:r>
        <w:t xml:space="preserve">D2.7 — Robustness Report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MC uncertainty results; constraint satisfaction probabilities; feasibility margins</w:t>
      </w:r>
      <w:r>
        <w:br/>
      </w:r>
      <w:r>
        <w:rPr>
          <w:bCs/>
          <w:b/>
        </w:rPr>
        <w:t xml:space="preserve">Source methodology:</w:t>
      </w:r>
      <w:r>
        <w:t xml:space="preserve"> </w:t>
      </w:r>
      <w:r>
        <w:t xml:space="preserve">Chopra Monte Carlo + Liu uncertainty propagation (§11.1–11.2)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t xml:space="preserve">Probability distributions + percentile intervals for useful energy, delivery hours, safety</w:t>
      </w:r>
    </w:p>
    <w:bookmarkEnd w:id="51"/>
    <w:bookmarkStart w:id="52" w:name="d2.8-recommendation-cards"/>
    <w:p>
      <w:pPr>
        <w:pStyle w:val="Heading3"/>
      </w:pPr>
      <w:r>
        <w:t xml:space="preserve">D2.8 — Recommendation Cards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One per state; regime, climate, PCM, design, performance, robustness, caveats</w:t>
      </w:r>
      <w:r>
        <w:br/>
      </w:r>
      <w:r>
        <w:rPr>
          <w:bCs/>
          <w:b/>
        </w:rPr>
        <w:t xml:space="preserve">Format:</w:t>
      </w:r>
      <w:r>
        <w:t xml:space="preserve"> </w:t>
      </w:r>
      <w:r>
        <w:t xml:space="preserve">Markdown or PDF (ref: §12.1 template)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Multi-state heatmaps + individual state analyses</w:t>
      </w:r>
    </w:p>
    <w:bookmarkEnd w:id="52"/>
    <w:bookmarkStart w:id="53" w:name="d2.9-objective-3-hand-off-package"/>
    <w:p>
      <w:pPr>
        <w:pStyle w:val="Heading3"/>
      </w:pPr>
      <w:r>
        <w:t xml:space="preserve">D2.9 — Objective 3 Hand-Off Package</w:t>
      </w:r>
    </w:p>
    <w:p>
      <w:pPr>
        <w:pStyle w:val="FirstParagraph"/>
      </w:pPr>
      <w:r>
        <w:rPr>
          <w:bCs/>
          <w:b/>
        </w:rPr>
        <w:t xml:space="preserve">Content:</w:t>
      </w:r>
      <w:r>
        <w:t xml:space="preserve"> </w:t>
      </w:r>
      <w:r>
        <w:t xml:space="preserve">Frozen design, state vector, action space, safety shield, simulator version, reset scenarios, weather files</w:t>
      </w:r>
      <w:r>
        <w:br/>
      </w:r>
      <w:r>
        <w:rPr>
          <w:bCs/>
          <w:b/>
        </w:rPr>
        <w:t xml:space="preserve">Sources:</w:t>
      </w:r>
      <w:r>
        <w:t xml:space="preserve"> </w:t>
      </w:r>
      <w:r>
        <w:t xml:space="preserve">Your O3 brief (cited in current O2 doc) + design contract JSON (§13.1)</w:t>
      </w:r>
      <w:r>
        <w:br/>
      </w:r>
      <w:r>
        <w:rPr>
          <w:bCs/>
          <w:b/>
        </w:rPr>
        <w:t xml:space="preserve">Validation:</w:t>
      </w:r>
      <w:r>
        <w:t xml:space="preserve"> </w:t>
      </w:r>
      <w:r>
        <w:t xml:space="preserve">JSON schema validation; rule-based controller acceptance test (§13.4)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key-citations-ieee-format"/>
    <w:p>
      <w:pPr>
        <w:pStyle w:val="Heading2"/>
      </w:pPr>
      <w:r>
        <w:t xml:space="preserve">KEY CITATIONS (IEEE Format)</w:t>
      </w:r>
    </w:p>
    <w:p>
      <w:pPr>
        <w:pStyle w:val="FirstParagraph"/>
      </w:pPr>
      <w:r>
        <w:t xml:space="preserve">[1] B. Singh, R. S. Rai, P. Yadav, S. Srivastava, and C. Yadav,</w:t>
      </w:r>
      <w:r>
        <w:t xml:space="preserve"> </w:t>
      </w:r>
      <w:r>
        <w:t xml:space="preserve">“</w:t>
      </w:r>
      <w:r>
        <w:t xml:space="preserve">Application of phase change materials in solar water heating systems—A comprehensive review,</w:t>
      </w:r>
      <w:r>
        <w:t xml:space="preserve">”</w:t>
      </w:r>
      <w:r>
        <w:t xml:space="preserve"> </w:t>
      </w:r>
      <w:r>
        <w:rPr>
          <w:iCs/>
          <w:i/>
        </w:rPr>
        <w:t xml:space="preserve">Sol. Energy Mater. Sol. Cells</w:t>
      </w:r>
      <w:r>
        <w:t xml:space="preserve">, vol. 293, p. 113888, 2025, doi: 10.1016/j.solmat.2025.113888.</w:t>
      </w:r>
    </w:p>
    <w:p>
      <w:pPr>
        <w:pStyle w:val="BodyText"/>
      </w:pPr>
      <w:r>
        <w:t xml:space="preserve">[2] S. Liu et al.,</w:t>
      </w:r>
      <w:r>
        <w:t xml:space="preserve"> </w:t>
      </w:r>
      <w:r>
        <w:t xml:space="preserve">“</w:t>
      </w:r>
      <w:r>
        <w:t xml:space="preserve">The contribution of artificial intelligence to phase change materials in thermal energy storage: From prediction to optimization,</w:t>
      </w:r>
      <w:r>
        <w:t xml:space="preserve">”</w:t>
      </w:r>
      <w:r>
        <w:t xml:space="preserve"> </w:t>
      </w:r>
      <w:r>
        <w:rPr>
          <w:iCs/>
          <w:i/>
        </w:rPr>
        <w:t xml:space="preserve">Renew. Energy</w:t>
      </w:r>
      <w:r>
        <w:t xml:space="preserve">, vol. 238, p. 121973, 2025, doi: 10.1016/j.renene.2024.121973.</w:t>
      </w:r>
    </w:p>
    <w:p>
      <w:pPr>
        <w:pStyle w:val="BodyText"/>
      </w:pPr>
      <w:r>
        <w:t xml:space="preserve">[3] G.-R. Chen et al.,</w:t>
      </w:r>
      <w:r>
        <w:t xml:space="preserve"> </w:t>
      </w:r>
      <w:r>
        <w:t xml:space="preserve">“</w:t>
      </w:r>
      <w:r>
        <w:t xml:space="preserve">Using the Taguchi method and grey relational analysis to optimize the parameter design of flat-plate collectors with nanofluids and phase change materials in an integrated solar water heating system,</w:t>
      </w:r>
      <w:r>
        <w:t xml:space="preserve">”</w:t>
      </w:r>
      <w:r>
        <w:t xml:space="preserve"> </w:t>
      </w:r>
      <w:r>
        <w:rPr>
          <w:iCs/>
          <w:i/>
        </w:rPr>
        <w:t xml:space="preserve">Energy Convers. Manag.: X</w:t>
      </w:r>
      <w:r>
        <w:t xml:space="preserve">, vol. 26, p. 100910, 2025, doi: 10.1016/j.ecmx.2025.100910.</w:t>
      </w:r>
    </w:p>
    <w:p>
      <w:pPr>
        <w:pStyle w:val="BodyText"/>
      </w:pPr>
      <w:r>
        <w:t xml:space="preserve">[4] F. A. Barqawi,</w:t>
      </w:r>
      <w:r>
        <w:t xml:space="preserve"> </w:t>
      </w:r>
      <w:r>
        <w:t xml:space="preserve">“</w:t>
      </w:r>
      <w:r>
        <w:t xml:space="preserve">Dynamic simulation of phase change material-integrated solar water heating systems: A machine learning approach to energy conversion optimization,</w:t>
      </w:r>
      <w:r>
        <w:t xml:space="preserve">”</w:t>
      </w:r>
      <w:r>
        <w:t xml:space="preserve"> </w:t>
      </w:r>
      <w:r>
        <w:rPr>
          <w:iCs/>
          <w:i/>
        </w:rPr>
        <w:t xml:space="preserve">Muthanna J. Eng. Technol.</w:t>
      </w:r>
      <w:r>
        <w:t xml:space="preserve">, vol. 13, no. 3, pp. 1–14, 2025, doi: 10.52113/3/eng/mjet/2025-13-03/-1-14.</w:t>
      </w:r>
    </w:p>
    <w:p>
      <w:pPr>
        <w:pStyle w:val="BodyText"/>
      </w:pPr>
      <w:r>
        <w:t xml:space="preserve">[5] R. Chopra, R. Singh, A. Kannan, and P. Ranasinghe,</w:t>
      </w:r>
      <w:r>
        <w:t xml:space="preserve"> </w:t>
      </w:r>
      <w:r>
        <w:t xml:space="preserve">“</w:t>
      </w:r>
      <w:r>
        <w:t xml:space="preserve">Heat pipe evacuated tube solar water heating system: Technical, financial feasibility assessment and environmental impact,</w:t>
      </w:r>
      <w:r>
        <w:t xml:space="preserve">”</w:t>
      </w:r>
      <w:r>
        <w:t xml:space="preserve"> </w:t>
      </w:r>
      <w:r>
        <w:rPr>
          <w:iCs/>
          <w:i/>
        </w:rPr>
        <w:t xml:space="preserve">Sol. Energy</w:t>
      </w:r>
      <w:r>
        <w:t xml:space="preserve">, vol. 263, p. 110924, 2023, doi: 10.1016/j.solenenergy.2023.110924.</w:t>
      </w:r>
    </w:p>
    <w:p>
      <w:pPr>
        <w:pStyle w:val="BodyText"/>
      </w:pPr>
      <w:r>
        <w:t xml:space="preserve">[6] Ghodusinejad et al.,</w:t>
      </w:r>
      <w:r>
        <w:t xml:space="preserve"> </w:t>
      </w:r>
      <w:r>
        <w:t xml:space="preserve">“</w:t>
      </w:r>
      <w:r>
        <w:t xml:space="preserve">Solar irradiance forecasting: A systematic review and deep learning-integrated approach,</w:t>
      </w:r>
      <w:r>
        <w:t xml:space="preserve">”</w:t>
      </w:r>
      <w:r>
        <w:t xml:space="preserve"> </w:t>
      </w:r>
      <w:r>
        <w:rPr>
          <w:iCs/>
          <w:i/>
        </w:rPr>
        <w:t xml:space="preserve">Renew. Sustain. Energy Rev.</w:t>
      </w:r>
      <w:r>
        <w:t xml:space="preserve">, 2026. [Article in press.]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Complete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Claude (AI Research Assistant)</w:t>
      </w:r>
      <w:r>
        <w:br/>
      </w:r>
      <w:r>
        <w:rPr>
          <w:bCs/>
          <w:b/>
        </w:rPr>
        <w:t xml:space="preserve">For:</w:t>
      </w:r>
      <w:r>
        <w:t xml:space="preserve"> </w:t>
      </w:r>
      <w:r>
        <w:t xml:space="preserve">Group 12, Amrita School of Engineering, B.Tech CSE</w:t>
      </w:r>
      <w:r>
        <w:br/>
      </w:r>
      <w:r>
        <w:rPr>
          <w:bCs/>
          <w:b/>
        </w:rPr>
        <w:t xml:space="preserve">Supervisor:</w:t>
      </w:r>
      <w:r>
        <w:t xml:space="preserve"> </w:t>
      </w:r>
      <w:r>
        <w:t xml:space="preserve">Dr. T. Deepika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Climate-Adaptive Intelligent Control and Optimization of PCM Thermal Storage for Solar Water Heating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2026-09-04T19:39:25Z</dcterms:created>
  <dcterms:modified xsi:type="dcterms:W3CDTF">2026-09-04T19:39:25Z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