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0092" w14:textId="686A8057" w:rsidR="00ED5D91" w:rsidRDefault="00707CFF">
      <w:r>
        <w:rPr>
          <w:rFonts w:hint="eastAsia"/>
        </w:rPr>
        <w:t>可能世界的逻辑</w:t>
      </w:r>
    </w:p>
    <w:p w14:paraId="7CF61D5C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作者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R.B.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马库斯</w:t>
      </w:r>
    </w:p>
    <w:p w14:paraId="08D158C6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出版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上海译文出版社</w:t>
      </w:r>
    </w:p>
    <w:p w14:paraId="62474B44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定价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9.4</w:t>
      </w:r>
    </w:p>
    <w:p w14:paraId="641F5767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装帧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平装</w:t>
      </w:r>
    </w:p>
    <w:p w14:paraId="2168F33F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页数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 xml:space="preserve">429 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页</w:t>
      </w:r>
    </w:p>
    <w:p w14:paraId="52486FC8" w14:textId="77777777" w:rsidR="00707CFF" w:rsidRDefault="00707CFF" w:rsidP="00707CFF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时间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1993-5-1</w:t>
      </w:r>
    </w:p>
    <w:p w14:paraId="58CA68B0" w14:textId="2E1E7B52" w:rsidR="00707CFF" w:rsidRDefault="00707CFF"/>
    <w:p w14:paraId="626DD39A" w14:textId="5796F2A6" w:rsidR="00AB085E" w:rsidRDefault="00AB085E">
      <w:r>
        <w:rPr>
          <w:rFonts w:hint="eastAsia"/>
        </w:rPr>
        <w:t>与熊明老师讨论，并得到了赞同；与杜姗姗老师讨论</w:t>
      </w:r>
    </w:p>
    <w:p w14:paraId="17422ADE" w14:textId="77777777" w:rsidR="00AB085E" w:rsidRDefault="00AB085E">
      <w:pPr>
        <w:rPr>
          <w:rFonts w:hint="eastAsia"/>
        </w:rPr>
      </w:pPr>
    </w:p>
    <w:p w14:paraId="72DE70C6" w14:textId="77777777" w:rsidR="00707CFF" w:rsidRDefault="00707CFF" w:rsidP="00707CFF">
      <w:r>
        <w:rPr>
          <w:rFonts w:hint="eastAsia"/>
        </w:rPr>
        <w:t>（如果其中的“错误”不是仅因为个别书的印刷问题的话，况且康先生也提到了印刷技术的困难）</w:t>
      </w:r>
      <w:r>
        <w:t xml:space="preserve"> </w:t>
      </w:r>
    </w:p>
    <w:p w14:paraId="5A995563" w14:textId="77777777" w:rsidR="00707CFF" w:rsidRDefault="00707CFF" w:rsidP="00707CFF"/>
    <w:p w14:paraId="476DA1BD" w14:textId="77777777" w:rsidR="00707CFF" w:rsidRDefault="00707CFF" w:rsidP="00707CFF">
      <w:r>
        <w:t xml:space="preserve"> </w:t>
      </w:r>
    </w:p>
    <w:p w14:paraId="53E2A347" w14:textId="77777777" w:rsidR="00707CFF" w:rsidRDefault="00707CFF" w:rsidP="00707CFF"/>
    <w:p w14:paraId="389ECFE8" w14:textId="77777777" w:rsidR="00707CFF" w:rsidRDefault="00707CFF" w:rsidP="00707CFF">
      <w:r>
        <w:t>p19，“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等线" w:eastAsia="等线" w:hAnsi="等线" w:cs="等线" w:hint="eastAsia"/>
        </w:rPr>
        <w:t>φ</w:t>
      </w:r>
      <w:r>
        <w:t>_</w:t>
      </w:r>
      <w:r>
        <w:rPr>
          <w:rFonts w:ascii="Segoe UI Symbol" w:hAnsi="Segoe UI Symbol" w:cs="Segoe UI Symbol"/>
        </w:rPr>
        <w:t>⚬</w:t>
      </w:r>
      <w:r>
        <w:t>x</w:t>
      </w:r>
      <w:r>
        <w:rPr>
          <w:rFonts w:ascii="等线" w:eastAsia="等线" w:hAnsi="等线" w:cs="等线" w:hint="eastAsia"/>
        </w:rPr>
        <w:t>”</w:t>
      </w:r>
      <w:r>
        <w:t>或应为上标；</w:t>
      </w:r>
    </w:p>
    <w:p w14:paraId="3F9ACD73" w14:textId="77777777" w:rsidR="00707CFF" w:rsidRDefault="00707CFF" w:rsidP="00707CFF"/>
    <w:p w14:paraId="30C88A46" w14:textId="77777777" w:rsidR="00707CFF" w:rsidRDefault="00707CFF" w:rsidP="00707CFF">
      <w:r>
        <w:t xml:space="preserve"> </w:t>
      </w:r>
    </w:p>
    <w:p w14:paraId="186D5C93" w14:textId="77777777" w:rsidR="00707CFF" w:rsidRDefault="00707CFF" w:rsidP="00707CFF"/>
    <w:p w14:paraId="3D91E971" w14:textId="2E7348ED" w:rsidR="00707CFF" w:rsidRDefault="00707CFF" w:rsidP="00707CFF">
      <w:r>
        <w:t>p51-52，“从D1、D2、D3和哥德尔第二定理能推出勒布定理吗？第二定理被W的公理□⊥∨◇□⊥临摹，这个问题相当于K4加上W是否等于G。如果是的，按对应结果，只有死点和濒死点的传递框架应该</w:t>
      </w:r>
      <w:proofErr w:type="gramStart"/>
      <w:r>
        <w:t>是逆良基</w:t>
      </w:r>
      <w:proofErr w:type="gramEnd"/>
      <w:r>
        <w:t>的。瞧反例：</w:t>
      </w:r>
    </w:p>
    <w:p w14:paraId="17C1844B" w14:textId="75FCDCB4" w:rsidR="00707CFF" w:rsidRDefault="00707CFF" w:rsidP="00707CFF"/>
    <w:p w14:paraId="00ABCCB9" w14:textId="0CEB389A" w:rsidR="00707CFF" w:rsidRDefault="00707CFF" w:rsidP="00707CFF">
      <w:r>
        <w:rPr>
          <w:noProof/>
        </w:rPr>
        <w:drawing>
          <wp:inline distT="0" distB="0" distL="0" distR="0" wp14:anchorId="2BFADC17" wp14:editId="6045A139">
            <wp:extent cx="102870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7329B" w14:textId="5500C855" w:rsidR="00707CFF" w:rsidRDefault="00707CFF" w:rsidP="00707CFF"/>
    <w:p w14:paraId="287C1D6A" w14:textId="77777777" w:rsidR="00707CFF" w:rsidRDefault="00707CFF" w:rsidP="00707CFF">
      <w:proofErr w:type="gramStart"/>
      <w:r>
        <w:rPr>
          <w:rFonts w:hint="eastAsia"/>
        </w:rPr>
        <w:t>图很达意</w:t>
      </w:r>
      <w:proofErr w:type="gramEnd"/>
      <w:r>
        <w:rPr>
          <w:rFonts w:hint="eastAsia"/>
        </w:rPr>
        <w:t>了，我憎恶不得要领的琐细。”（前文</w:t>
      </w:r>
      <w:r>
        <w:t>p48已图示W对应死点或濒死点框架，而G</w:t>
      </w:r>
      <w:proofErr w:type="gramStart"/>
      <w:r>
        <w:t>对应逆良基</w:t>
      </w:r>
      <w:proofErr w:type="gramEnd"/>
      <w:r>
        <w:t>德传递框架，而K4对应传递框架）</w:t>
      </w:r>
    </w:p>
    <w:p w14:paraId="3C81407A" w14:textId="77777777" w:rsidR="00707CFF" w:rsidRDefault="00707CFF" w:rsidP="00707CFF"/>
    <w:p w14:paraId="1A12440A" w14:textId="2EEC1A34" w:rsidR="00707CFF" w:rsidRDefault="00707CFF" w:rsidP="00707CFF">
      <w:r>
        <w:t>两个图例，在第一个中0可通达1，1可通达2，根据传递性，0可通达2，那么似乎0和2就都不是濒死点（只通达死点的点，而死点是不通达任何点的点）了；在第二个图例中也类似。再者如果死点和濒死点的传递框架</w:t>
      </w:r>
      <w:proofErr w:type="gramStart"/>
      <w:r>
        <w:t>不是逆良基</w:t>
      </w:r>
      <w:proofErr w:type="gramEnd"/>
      <w:r>
        <w:t>的，即框架中有</w:t>
      </w:r>
      <w:proofErr w:type="gramStart"/>
      <w:r>
        <w:t>一构成</w:t>
      </w:r>
      <w:proofErr w:type="gramEnd"/>
      <w:r>
        <w:t>R上升链的无穷序列（p50），即</w:t>
      </w:r>
      <w:proofErr w:type="spellStart"/>
      <w:r>
        <w:t>xRy</w:t>
      </w:r>
      <w:proofErr w:type="spellEnd"/>
      <w:r>
        <w:t>，</w:t>
      </w:r>
      <w:proofErr w:type="spellStart"/>
      <w:r>
        <w:t>yRz</w:t>
      </w:r>
      <w:proofErr w:type="spellEnd"/>
      <w:r>
        <w:t>...可是根据传递性就会有</w:t>
      </w:r>
      <w:proofErr w:type="spellStart"/>
      <w:r>
        <w:t>xRz</w:t>
      </w:r>
      <w:proofErr w:type="spellEnd"/>
      <w:r>
        <w:t>，因而x不是濒死点。所以</w:t>
      </w:r>
      <w:proofErr w:type="gramStart"/>
      <w:r>
        <w:t>疑</w:t>
      </w:r>
      <w:proofErr w:type="gramEnd"/>
      <w:r>
        <w:t>有误。</w:t>
      </w:r>
    </w:p>
    <w:p w14:paraId="32B60EDD" w14:textId="0D650330" w:rsidR="00707CFF" w:rsidRDefault="00707CFF" w:rsidP="00707CFF"/>
    <w:p w14:paraId="6B393EF7" w14:textId="77777777" w:rsidR="00707CFF" w:rsidRDefault="00707CFF" w:rsidP="00707CFF"/>
    <w:p w14:paraId="1A3E0D56" w14:textId="77777777" w:rsidR="00707CFF" w:rsidRDefault="00707CFF" w:rsidP="00707CFF"/>
    <w:p w14:paraId="7738062D" w14:textId="0E31740F" w:rsidR="00707CFF" w:rsidRDefault="00707CFF" w:rsidP="00707CFF">
      <w:pPr>
        <w:rPr>
          <w:rFonts w:hint="eastAsia"/>
        </w:rPr>
      </w:pPr>
      <w:r>
        <w:rPr>
          <w:noProof/>
        </w:rPr>
        <w:drawing>
          <wp:inline distT="0" distB="0" distL="0" distR="0" wp14:anchorId="52804374" wp14:editId="56A4B226">
            <wp:extent cx="1028700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5AF50" w14:textId="7AF35871" w:rsidR="00707CFF" w:rsidRDefault="00707CFF" w:rsidP="00707CFF"/>
    <w:p w14:paraId="6494D2B9" w14:textId="74BA41FE" w:rsidR="00707CFF" w:rsidRDefault="00707CFF" w:rsidP="00707CFF">
      <w:r w:rsidRPr="00707CFF">
        <w:rPr>
          <w:rFonts w:hint="eastAsia"/>
        </w:rPr>
        <w:t>任取</w:t>
      </w:r>
      <w:proofErr w:type="gramStart"/>
      <w:r w:rsidRPr="00707CFF">
        <w:rPr>
          <w:rFonts w:hint="eastAsia"/>
        </w:rPr>
        <w:t>一</w:t>
      </w:r>
      <w:proofErr w:type="spellStart"/>
      <w:proofErr w:type="gramEnd"/>
      <w:r w:rsidRPr="00707CFF">
        <w:t>G^ω</w:t>
      </w:r>
      <w:proofErr w:type="spellEnd"/>
      <w:r w:rsidRPr="00707CFF">
        <w:t>的定理A，</w:t>
      </w:r>
      <w:proofErr w:type="gramStart"/>
      <w:r w:rsidRPr="00707CFF">
        <w:t>由加强</w:t>
      </w:r>
      <w:proofErr w:type="gramEnd"/>
      <w:r w:rsidRPr="00707CFF">
        <w:t>的嵌入定理则有G|-□⊥→⊥。可是由前文G的刻画定理（p53）：G|-A</w:t>
      </w:r>
      <w:r w:rsidRPr="00707CFF">
        <w:rPr>
          <w:rFonts w:ascii="Cambria Math" w:hAnsi="Cambria Math" w:cs="Cambria Math"/>
        </w:rPr>
        <w:t>⇔</w:t>
      </w:r>
      <w:r w:rsidRPr="00707CFF">
        <w:t>A在所有</w:t>
      </w:r>
      <w:proofErr w:type="gramStart"/>
      <w:r w:rsidRPr="00707CFF">
        <w:t>有穷严格</w:t>
      </w:r>
      <w:proofErr w:type="gramEnd"/>
      <w:r w:rsidRPr="00707CFF">
        <w:t>偏序模型中真。考虑单点模型，它不通达任何其它世界，包括它自身，在其上可以有□⊥和¬⊥，似乎构成</w:t>
      </w:r>
      <w:proofErr w:type="gramStart"/>
      <w:r w:rsidRPr="00707CFF">
        <w:t>一</w:t>
      </w:r>
      <w:proofErr w:type="gramEnd"/>
      <w:r w:rsidRPr="00707CFF">
        <w:t>反例。所以</w:t>
      </w:r>
      <w:proofErr w:type="gramStart"/>
      <w:r w:rsidRPr="00707CFF">
        <w:t>疑</w:t>
      </w:r>
      <w:proofErr w:type="gramEnd"/>
      <w:r w:rsidRPr="00707CFF">
        <w:t>有误</w:t>
      </w:r>
      <w:r>
        <w:rPr>
          <w:rFonts w:hint="eastAsia"/>
        </w:rPr>
        <w:t>。</w:t>
      </w:r>
    </w:p>
    <w:p w14:paraId="28829B32" w14:textId="358892A0" w:rsidR="00707CFF" w:rsidRDefault="00707CFF" w:rsidP="00707CFF"/>
    <w:p w14:paraId="536DC636" w14:textId="3559E766" w:rsidR="00707CFF" w:rsidRDefault="00707CFF" w:rsidP="00707CFF"/>
    <w:p w14:paraId="58DF9012" w14:textId="77777777" w:rsidR="00707CFF" w:rsidRDefault="00707CFF" w:rsidP="00707CFF">
      <w:r>
        <w:t>p70，布</w:t>
      </w:r>
      <w:proofErr w:type="gramStart"/>
      <w:r>
        <w:t>洛</w:t>
      </w:r>
      <w:proofErr w:type="gramEnd"/>
      <w:r>
        <w:t>斯的长公式，根据其上“从到过渡的原则”，或应作如下修改</w:t>
      </w:r>
    </w:p>
    <w:p w14:paraId="13A6FA21" w14:textId="77777777" w:rsidR="00707CFF" w:rsidRDefault="00707CFF" w:rsidP="00707CFF"/>
    <w:p w14:paraId="550F0F77" w14:textId="07D67392" w:rsidR="00707CFF" w:rsidRDefault="00707CFF" w:rsidP="00707CFF"/>
    <w:p w14:paraId="491C68A1" w14:textId="36CFC22A" w:rsidR="00707CFF" w:rsidRDefault="00707CFF" w:rsidP="00707CFF">
      <w:r>
        <w:rPr>
          <w:noProof/>
        </w:rPr>
        <w:lastRenderedPageBreak/>
        <w:drawing>
          <wp:inline distT="0" distB="0" distL="0" distR="0" wp14:anchorId="429CF80D" wp14:editId="376DC2B5">
            <wp:extent cx="10287000" cy="552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214BD" w14:textId="77777777" w:rsidR="00707CFF" w:rsidRDefault="00707CFF" w:rsidP="00707CF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</w:p>
    <w:p w14:paraId="1BA27E70" w14:textId="77777777" w:rsidR="00707CFF" w:rsidRDefault="00707CFF" w:rsidP="00707CF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p140</w:t>
      </w:r>
      <w:r>
        <w:rPr>
          <w:rFonts w:ascii="Arial" w:hAnsi="Arial" w:cs="Arial"/>
          <w:color w:val="111111"/>
          <w:sz w:val="21"/>
          <w:szCs w:val="21"/>
        </w:rPr>
        <w:t>，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办法是对含有自由变号的句子作闭包解释。所以，</w:t>
      </w:r>
      <w:r>
        <w:rPr>
          <w:rFonts w:ascii="Cambria Math" w:hAnsi="Cambria Math" w:cs="Cambria Math"/>
          <w:color w:val="111111"/>
          <w:sz w:val="21"/>
          <w:szCs w:val="21"/>
        </w:rPr>
        <w:t>∃</w:t>
      </w:r>
      <w:r>
        <w:rPr>
          <w:rFonts w:ascii="Arial" w:hAnsi="Arial" w:cs="Arial"/>
          <w:color w:val="111111"/>
          <w:sz w:val="21"/>
          <w:szCs w:val="21"/>
        </w:rPr>
        <w:t>x(x=y)</w:t>
      </w:r>
      <w:r>
        <w:rPr>
          <w:rFonts w:ascii="Arial" w:hAnsi="Arial" w:cs="Arial"/>
          <w:color w:val="111111"/>
          <w:sz w:val="21"/>
          <w:szCs w:val="21"/>
        </w:rPr>
        <w:t>有</w:t>
      </w:r>
      <w:r>
        <w:rPr>
          <w:rFonts w:ascii="Cambria Math" w:hAnsi="Cambria Math" w:cs="Cambria Math"/>
          <w:color w:val="111111"/>
          <w:sz w:val="21"/>
          <w:szCs w:val="21"/>
        </w:rPr>
        <w:t>∀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Cambria Math" w:hAnsi="Cambria Math" w:cs="Cambria Math"/>
          <w:color w:val="111111"/>
          <w:sz w:val="21"/>
          <w:szCs w:val="21"/>
        </w:rPr>
        <w:t>∃</w:t>
      </w:r>
      <w:r>
        <w:rPr>
          <w:rFonts w:ascii="Arial" w:hAnsi="Arial" w:cs="Arial"/>
          <w:color w:val="111111"/>
          <w:sz w:val="21"/>
          <w:szCs w:val="21"/>
        </w:rPr>
        <w:t>x</w:t>
      </w:r>
      <w:proofErr w:type="spellEnd"/>
      <w:r>
        <w:rPr>
          <w:rFonts w:ascii="Arial" w:hAnsi="Arial" w:cs="Arial"/>
          <w:color w:val="111111"/>
          <w:sz w:val="21"/>
          <w:szCs w:val="21"/>
        </w:rPr>
        <w:t>(x=y)</w:t>
      </w:r>
      <w:r>
        <w:rPr>
          <w:rFonts w:ascii="Arial" w:hAnsi="Arial" w:cs="Arial"/>
          <w:color w:val="111111"/>
          <w:sz w:val="21"/>
          <w:szCs w:val="21"/>
        </w:rPr>
        <w:t>的语义效应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，根据英文文章原文（</w:t>
      </w:r>
      <w:r>
        <w:rPr>
          <w:rFonts w:ascii="Arial" w:hAnsi="Arial" w:cs="Arial"/>
          <w:color w:val="111111"/>
          <w:sz w:val="21"/>
          <w:szCs w:val="21"/>
        </w:rPr>
        <w:t>Garson, J. W. (2001). Quantification in Modal Logic. Handbook of Philosophical Logic, 267–323.</w:t>
      </w:r>
      <w:r>
        <w:rPr>
          <w:rFonts w:ascii="Arial" w:hAnsi="Arial" w:cs="Arial"/>
          <w:color w:val="111111"/>
          <w:sz w:val="21"/>
          <w:szCs w:val="21"/>
        </w:rPr>
        <w:t>）应改为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Cambria Math" w:hAnsi="Cambria Math" w:cs="Cambria Math"/>
          <w:color w:val="111111"/>
          <w:sz w:val="21"/>
          <w:szCs w:val="21"/>
        </w:rPr>
        <w:t>∀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y</w:t>
      </w:r>
      <w:r>
        <w:rPr>
          <w:rFonts w:ascii="Cambria Math" w:hAnsi="Cambria Math" w:cs="Cambria Math"/>
          <w:color w:val="111111"/>
          <w:sz w:val="21"/>
          <w:szCs w:val="21"/>
        </w:rPr>
        <w:t>∃</w:t>
      </w:r>
      <w:r>
        <w:rPr>
          <w:rFonts w:ascii="Arial" w:hAnsi="Arial" w:cs="Arial"/>
          <w:color w:val="111111"/>
          <w:sz w:val="21"/>
          <w:szCs w:val="21"/>
        </w:rPr>
        <w:t>x</w:t>
      </w:r>
      <w:proofErr w:type="spellEnd"/>
      <w:r>
        <w:rPr>
          <w:rFonts w:ascii="Arial" w:hAnsi="Arial" w:cs="Arial"/>
          <w:color w:val="111111"/>
          <w:sz w:val="21"/>
          <w:szCs w:val="21"/>
        </w:rPr>
        <w:t>(x=y)”</w:t>
      </w:r>
    </w:p>
    <w:p w14:paraId="43D9581E" w14:textId="77777777" w:rsidR="00707CFF" w:rsidRDefault="00707CFF" w:rsidP="00707CF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p214“</w:t>
      </w:r>
      <w:r>
        <w:rPr>
          <w:rFonts w:ascii="Arial" w:hAnsi="Arial" w:cs="Arial"/>
          <w:color w:val="111111"/>
          <w:sz w:val="21"/>
          <w:szCs w:val="21"/>
        </w:rPr>
        <w:t>这些词没有把一个个体给挑出来，对实际主义者，它们唯一的用处是说笼统的话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，根据</w:t>
      </w:r>
      <w:r>
        <w:rPr>
          <w:rFonts w:ascii="Arial" w:hAnsi="Arial" w:cs="Arial"/>
          <w:color w:val="111111"/>
          <w:sz w:val="21"/>
          <w:szCs w:val="21"/>
        </w:rPr>
        <w:t xml:space="preserve">J. P. Burgess, The unreal future,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Theoria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44(1978), pp. 157–179.</w:t>
      </w:r>
      <w:r>
        <w:rPr>
          <w:rFonts w:ascii="Arial" w:hAnsi="Arial" w:cs="Arial"/>
          <w:color w:val="111111"/>
          <w:sz w:val="21"/>
          <w:szCs w:val="21"/>
        </w:rPr>
        <w:t>原文（</w:t>
      </w:r>
      <w:r>
        <w:rPr>
          <w:rFonts w:ascii="Arial" w:hAnsi="Arial" w:cs="Arial"/>
          <w:color w:val="111111"/>
          <w:sz w:val="21"/>
          <w:szCs w:val="21"/>
        </w:rPr>
        <w:t>p178</w:t>
      </w:r>
      <w:r>
        <w:rPr>
          <w:rFonts w:ascii="Arial" w:hAnsi="Arial" w:cs="Arial"/>
          <w:color w:val="111111"/>
          <w:sz w:val="21"/>
          <w:szCs w:val="21"/>
        </w:rPr>
        <w:t>），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应为</w:t>
      </w:r>
      <w:r>
        <w:rPr>
          <w:rFonts w:ascii="Arial" w:hAnsi="Arial" w:cs="Arial"/>
          <w:color w:val="111111"/>
          <w:sz w:val="21"/>
          <w:szCs w:val="21"/>
        </w:rPr>
        <w:t>“</w:t>
      </w:r>
      <w:proofErr w:type="gramEnd"/>
      <w:r>
        <w:rPr>
          <w:rFonts w:ascii="Arial" w:hAnsi="Arial" w:cs="Arial"/>
          <w:color w:val="111111"/>
          <w:sz w:val="21"/>
          <w:szCs w:val="21"/>
        </w:rPr>
        <w:t>反实际主义者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（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Antactualist</w:t>
      </w:r>
      <w:proofErr w:type="spellEnd"/>
      <w:r>
        <w:rPr>
          <w:rFonts w:ascii="Arial" w:hAnsi="Arial" w:cs="Arial"/>
          <w:color w:val="111111"/>
          <w:sz w:val="21"/>
          <w:szCs w:val="21"/>
        </w:rPr>
        <w:t>）</w:t>
      </w:r>
    </w:p>
    <w:p w14:paraId="0416510B" w14:textId="77777777" w:rsidR="00707CFF" w:rsidRDefault="00707CFF" w:rsidP="00707CF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p297</w:t>
      </w:r>
      <w:r>
        <w:rPr>
          <w:rFonts w:ascii="Arial" w:hAnsi="Arial" w:cs="Arial"/>
          <w:color w:val="111111"/>
          <w:sz w:val="21"/>
          <w:szCs w:val="21"/>
        </w:rPr>
        <w:t>，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韦尔迪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，即威尔第</w:t>
      </w:r>
    </w:p>
    <w:p w14:paraId="672FB3D0" w14:textId="77777777" w:rsidR="00707CFF" w:rsidRDefault="00707CFF" w:rsidP="00707CFF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p370</w:t>
      </w:r>
      <w:r>
        <w:rPr>
          <w:rFonts w:ascii="Arial" w:hAnsi="Arial" w:cs="Arial"/>
          <w:color w:val="111111"/>
          <w:sz w:val="21"/>
          <w:szCs w:val="21"/>
        </w:rPr>
        <w:t>，</w:t>
      </w:r>
      <w:r>
        <w:rPr>
          <w:rFonts w:ascii="Arial" w:hAnsi="Arial" w:cs="Arial"/>
          <w:color w:val="111111"/>
          <w:sz w:val="21"/>
          <w:szCs w:val="21"/>
        </w:rPr>
        <w:t>“‘a isa ζ entity’”</w:t>
      </w:r>
      <w:r>
        <w:rPr>
          <w:rFonts w:ascii="Arial" w:hAnsi="Arial" w:cs="Arial"/>
          <w:color w:val="111111"/>
          <w:sz w:val="21"/>
          <w:szCs w:val="21"/>
        </w:rPr>
        <w:t>或应改为</w:t>
      </w:r>
      <w:r>
        <w:rPr>
          <w:rFonts w:ascii="Arial" w:hAnsi="Arial" w:cs="Arial"/>
          <w:color w:val="111111"/>
          <w:sz w:val="21"/>
          <w:szCs w:val="21"/>
        </w:rPr>
        <w:t>“is a”</w:t>
      </w:r>
    </w:p>
    <w:p w14:paraId="5B588B2A" w14:textId="77777777" w:rsidR="00707CFF" w:rsidRPr="00707CFF" w:rsidRDefault="00707CFF" w:rsidP="00707CFF">
      <w:pPr>
        <w:rPr>
          <w:rFonts w:hint="eastAsia"/>
        </w:rPr>
      </w:pPr>
    </w:p>
    <w:sectPr w:rsidR="00707CFF" w:rsidRPr="0070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249"/>
    <w:multiLevelType w:val="multilevel"/>
    <w:tmpl w:val="310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68"/>
    <w:rsid w:val="00707CFF"/>
    <w:rsid w:val="00AB085E"/>
    <w:rsid w:val="00ED5D91"/>
    <w:rsid w:val="00F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A0B9"/>
  <w15:chartTrackingRefBased/>
  <w15:docId w15:val="{F3946521-EDF2-479C-B837-7564F02F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-item">
    <w:name w:val="info-item"/>
    <w:basedOn w:val="a"/>
    <w:rsid w:val="00707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fo-item-key">
    <w:name w:val="info-item-key"/>
    <w:basedOn w:val="a0"/>
    <w:rsid w:val="00707CFF"/>
  </w:style>
  <w:style w:type="character" w:customStyle="1" w:styleId="info-item-val">
    <w:name w:val="info-item-val"/>
    <w:basedOn w:val="a0"/>
    <w:rsid w:val="00707CFF"/>
  </w:style>
  <w:style w:type="paragraph" w:styleId="a3">
    <w:name w:val="Normal (Web)"/>
    <w:basedOn w:val="a"/>
    <w:uiPriority w:val="99"/>
    <w:semiHidden/>
    <w:unhideWhenUsed/>
    <w:rsid w:val="00707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31</cp:revision>
  <dcterms:created xsi:type="dcterms:W3CDTF">2022-03-31T11:50:00Z</dcterms:created>
  <dcterms:modified xsi:type="dcterms:W3CDTF">2022-03-31T11:53:00Z</dcterms:modified>
</cp:coreProperties>
</file>