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BB3E8" w14:textId="5F6643DF" w:rsidR="002F271E" w:rsidRDefault="002F271E"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p>
    <w:p w14:paraId="7146A73D" w14:textId="27FAF5B2" w:rsidR="00E97098" w:rsidRPr="00E97098" w:rsidRDefault="00E97098"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r w:rsidRPr="002F271E">
        <w:rPr>
          <w:rFonts w:ascii="Arial" w:eastAsia="宋体" w:hAnsi="Arial" w:cs="Arial" w:hint="eastAsia"/>
          <w:color w:val="111111"/>
          <w:kern w:val="0"/>
          <w:szCs w:val="21"/>
        </w:rPr>
        <w:t>亚里士多德《</w:t>
      </w:r>
      <w:r w:rsidRPr="002F271E">
        <w:rPr>
          <w:rFonts w:ascii="Arial" w:eastAsia="宋体" w:hAnsi="Arial" w:cs="Arial"/>
          <w:color w:val="111111"/>
          <w:kern w:val="0"/>
          <w:szCs w:val="21"/>
        </w:rPr>
        <w:t xml:space="preserve"> </w:t>
      </w:r>
      <w:r w:rsidRPr="002F271E">
        <w:rPr>
          <w:rFonts w:ascii="Arial" w:eastAsia="宋体" w:hAnsi="Arial" w:cs="Arial"/>
          <w:color w:val="111111"/>
          <w:kern w:val="0"/>
          <w:szCs w:val="21"/>
        </w:rPr>
        <w:t>物理学》的一个英译本。这本书的</w:t>
      </w:r>
      <w:r w:rsidRPr="002F271E">
        <w:rPr>
          <w:rFonts w:ascii="Arial" w:eastAsia="宋体" w:hAnsi="Arial" w:cs="Arial"/>
          <w:color w:val="111111"/>
          <w:kern w:val="0"/>
          <w:szCs w:val="21"/>
        </w:rPr>
        <w:t xml:space="preserve"> Book II 3 </w:t>
      </w:r>
      <w:r w:rsidRPr="002F271E">
        <w:rPr>
          <w:rFonts w:ascii="Arial" w:eastAsia="宋体" w:hAnsi="Arial" w:cs="Arial"/>
          <w:color w:val="111111"/>
          <w:kern w:val="0"/>
          <w:szCs w:val="21"/>
        </w:rPr>
        <w:t>的开篇写道：</w:t>
      </w:r>
      <w:r w:rsidRPr="002F271E">
        <w:rPr>
          <w:rFonts w:ascii="Arial" w:eastAsia="宋体" w:hAnsi="Arial" w:cs="Arial"/>
          <w:color w:val="111111"/>
          <w:kern w:val="0"/>
          <w:szCs w:val="21"/>
        </w:rPr>
        <w:t>“Knowledge is the object of our inquiry, and men do not think they know a thing till they have grasped the 'why' of it (which is to grasp its primary cause)”</w:t>
      </w:r>
      <w:r w:rsidRPr="002F271E">
        <w:rPr>
          <w:rFonts w:ascii="Arial" w:eastAsia="宋体" w:hAnsi="Arial" w:cs="Arial"/>
          <w:color w:val="111111"/>
          <w:kern w:val="0"/>
          <w:szCs w:val="21"/>
        </w:rPr>
        <w:t>，翻译成中文就是，我们探索的目标是知识，只有掌握了</w:t>
      </w:r>
      <w:r w:rsidRPr="002F271E">
        <w:rPr>
          <w:rFonts w:ascii="Arial" w:eastAsia="宋体" w:hAnsi="Arial" w:cs="Arial"/>
          <w:color w:val="111111"/>
          <w:kern w:val="0"/>
          <w:szCs w:val="21"/>
        </w:rPr>
        <w:t>“</w:t>
      </w:r>
      <w:r w:rsidRPr="002F271E">
        <w:rPr>
          <w:rFonts w:ascii="Arial" w:eastAsia="宋体" w:hAnsi="Arial" w:cs="Arial"/>
          <w:color w:val="111111"/>
          <w:kern w:val="0"/>
          <w:szCs w:val="21"/>
        </w:rPr>
        <w:t>为什么</w:t>
      </w:r>
      <w:r w:rsidRPr="002F271E">
        <w:rPr>
          <w:rFonts w:ascii="Arial" w:eastAsia="宋体" w:hAnsi="Arial" w:cs="Arial"/>
          <w:color w:val="111111"/>
          <w:kern w:val="0"/>
          <w:szCs w:val="21"/>
        </w:rPr>
        <w:t>”</w:t>
      </w:r>
      <w:r w:rsidRPr="002F271E">
        <w:rPr>
          <w:rFonts w:ascii="Arial" w:eastAsia="宋体" w:hAnsi="Arial" w:cs="Arial"/>
          <w:color w:val="111111"/>
          <w:kern w:val="0"/>
          <w:szCs w:val="21"/>
        </w:rPr>
        <w:t>，才算真正理解一个事物，即，掌握该事物的根本原因。</w:t>
      </w:r>
    </w:p>
    <w:p w14:paraId="6AC9BC91" w14:textId="77777777" w:rsidR="00E97098" w:rsidRDefault="00E97098"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p>
    <w:p w14:paraId="03D2BE47" w14:textId="61B06FC0" w:rsidR="00C31C4F" w:rsidRDefault="00C31C4F"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r w:rsidRPr="00C31C4F">
        <w:rPr>
          <w:rFonts w:ascii="Arial" w:eastAsia="宋体" w:hAnsi="Arial" w:cs="Arial" w:hint="eastAsia"/>
          <w:color w:val="111111"/>
          <w:kern w:val="0"/>
          <w:szCs w:val="21"/>
        </w:rPr>
        <w:t>伽利略</w:t>
      </w:r>
      <w:r w:rsidRPr="00C31C4F">
        <w:rPr>
          <w:rFonts w:ascii="Arial" w:eastAsia="宋体" w:hAnsi="Arial" w:cs="Arial"/>
          <w:color w:val="111111"/>
          <w:kern w:val="0"/>
          <w:szCs w:val="21"/>
        </w:rPr>
        <w:t>god as a mathematician</w:t>
      </w:r>
      <w:r w:rsidRPr="00C31C4F">
        <w:rPr>
          <w:rFonts w:ascii="Arial" w:eastAsia="宋体" w:hAnsi="Arial" w:cs="Arial"/>
          <w:color w:val="111111"/>
          <w:kern w:val="0"/>
          <w:szCs w:val="21"/>
        </w:rPr>
        <w:t>（</w:t>
      </w:r>
      <w:r w:rsidRPr="00C31C4F">
        <w:rPr>
          <w:rFonts w:ascii="Arial" w:eastAsia="宋体" w:hAnsi="Arial" w:cs="Arial"/>
          <w:color w:val="111111"/>
          <w:kern w:val="0"/>
          <w:szCs w:val="21"/>
        </w:rPr>
        <w:t>Archimidea</w:t>
      </w:r>
      <w:r w:rsidRPr="00C31C4F">
        <w:rPr>
          <w:rFonts w:ascii="Arial" w:eastAsia="宋体" w:hAnsi="Arial" w:cs="Arial"/>
          <w:color w:val="111111"/>
          <w:kern w:val="0"/>
          <w:szCs w:val="21"/>
        </w:rPr>
        <w:t>）</w:t>
      </w:r>
    </w:p>
    <w:p w14:paraId="48BBFA88" w14:textId="7AB03323" w:rsidR="00E97098" w:rsidRDefault="00E97098"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r w:rsidRPr="00E97098">
        <w:rPr>
          <w:rFonts w:ascii="Arial" w:eastAsia="宋体" w:hAnsi="Arial" w:cs="Arial"/>
          <w:color w:val="111111"/>
          <w:kern w:val="0"/>
          <w:szCs w:val="21"/>
        </w:rPr>
        <w:t>no the first cause</w:t>
      </w:r>
      <w:r>
        <w:rPr>
          <w:rFonts w:ascii="Arial" w:eastAsia="宋体" w:hAnsi="Arial" w:cs="Arial" w:hint="eastAsia"/>
          <w:color w:val="111111"/>
          <w:kern w:val="0"/>
          <w:szCs w:val="21"/>
        </w:rPr>
        <w:t>；</w:t>
      </w:r>
      <w:r w:rsidRPr="00E97098">
        <w:rPr>
          <w:rFonts w:ascii="Arial" w:eastAsia="宋体" w:hAnsi="Arial" w:cs="Arial"/>
          <w:color w:val="111111"/>
          <w:kern w:val="0"/>
          <w:szCs w:val="21"/>
        </w:rPr>
        <w:t xml:space="preserve">tele vs </w:t>
      </w:r>
      <w:r w:rsidRPr="00E97098">
        <w:rPr>
          <w:rFonts w:ascii="Arial" w:eastAsia="宋体" w:hAnsi="Arial" w:cs="Arial"/>
          <w:color w:val="111111"/>
          <w:kern w:val="0"/>
          <w:szCs w:val="21"/>
        </w:rPr>
        <w:t>自发</w:t>
      </w:r>
    </w:p>
    <w:p w14:paraId="5B2631C2" w14:textId="634FCAC6" w:rsidR="004B08D7" w:rsidRDefault="00FF7C33"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hint="eastAsia"/>
          <w:color w:val="111111"/>
          <w:kern w:val="0"/>
          <w:szCs w:val="21"/>
        </w:rPr>
      </w:pPr>
      <w:r w:rsidRPr="00FF7C33">
        <w:rPr>
          <w:rFonts w:ascii="Arial" w:eastAsia="宋体" w:hAnsi="Arial" w:cs="Arial"/>
          <w:color w:val="111111"/>
          <w:kern w:val="0"/>
          <w:szCs w:val="21"/>
        </w:rPr>
        <w:t xml:space="preserve">induction and </w:t>
      </w:r>
      <w:r>
        <w:rPr>
          <w:rFonts w:ascii="Arial" w:eastAsia="宋体" w:hAnsi="Arial" w:cs="Arial" w:hint="eastAsia"/>
          <w:color w:val="111111"/>
          <w:kern w:val="0"/>
          <w:szCs w:val="21"/>
        </w:rPr>
        <w:t>abstraction</w:t>
      </w:r>
      <w:r>
        <w:rPr>
          <w:rFonts w:ascii="Arial" w:eastAsia="宋体" w:hAnsi="Arial" w:cs="Arial"/>
          <w:color w:val="111111"/>
          <w:kern w:val="0"/>
          <w:szCs w:val="21"/>
        </w:rPr>
        <w:t xml:space="preserve">, </w:t>
      </w:r>
      <w:r w:rsidRPr="00FF7C33">
        <w:rPr>
          <w:rFonts w:ascii="Arial" w:eastAsia="宋体" w:hAnsi="Arial" w:cs="Arial"/>
          <w:color w:val="111111"/>
          <w:kern w:val="0"/>
          <w:szCs w:val="21"/>
        </w:rPr>
        <w:t>generalization</w:t>
      </w:r>
    </w:p>
    <w:p w14:paraId="299AF6B0" w14:textId="77777777" w:rsidR="00C31C4F" w:rsidRDefault="00C31C4F"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p>
    <w:p w14:paraId="15F6A5D2" w14:textId="39A1D5DC" w:rsidR="00C31C4F" w:rsidRDefault="00C31C4F"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r>
        <w:rPr>
          <w:rFonts w:ascii="Arial" w:eastAsia="宋体" w:hAnsi="Arial" w:cs="Arial" w:hint="eastAsia"/>
          <w:color w:val="111111"/>
          <w:kern w:val="0"/>
          <w:szCs w:val="21"/>
        </w:rPr>
        <w:t>“上帝给了我们理性，不是为了让我们不去用它的”</w:t>
      </w:r>
    </w:p>
    <w:p w14:paraId="10962F51" w14:textId="0722EBF8" w:rsidR="00C31C4F" w:rsidRDefault="00C31C4F"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r>
        <w:rPr>
          <w:rFonts w:ascii="Arial" w:eastAsia="宋体" w:hAnsi="Arial" w:cs="Arial" w:hint="eastAsia"/>
          <w:color w:val="111111"/>
          <w:kern w:val="0"/>
          <w:szCs w:val="21"/>
        </w:rPr>
        <w:t>科学的中世纪起源：中世纪神学的理性传统</w:t>
      </w:r>
    </w:p>
    <w:p w14:paraId="61C33AFF" w14:textId="19BB216E" w:rsidR="004B08D7" w:rsidRDefault="004B08D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p>
    <w:p w14:paraId="3AFE35CE" w14:textId="199173A8" w:rsidR="004B08D7" w:rsidRPr="00C31C4F" w:rsidRDefault="004B08D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hint="eastAsia"/>
          <w:color w:val="111111"/>
          <w:kern w:val="0"/>
          <w:szCs w:val="21"/>
        </w:rPr>
      </w:pPr>
      <w:r>
        <w:rPr>
          <w:rFonts w:hint="eastAsia"/>
          <w:kern w:val="0"/>
        </w:rPr>
        <w:t>发现了</w:t>
      </w:r>
      <w:r>
        <w:rPr>
          <w:rFonts w:hint="eastAsia"/>
          <w:kern w:val="0"/>
        </w:rPr>
        <w:t>随时间运动</w:t>
      </w:r>
      <w:r>
        <w:rPr>
          <w:rFonts w:hint="eastAsia"/>
          <w:kern w:val="0"/>
        </w:rPr>
        <w:t>的向度；</w:t>
      </w:r>
      <w:r>
        <w:rPr>
          <w:rFonts w:hint="eastAsia"/>
          <w:kern w:val="0"/>
        </w:rPr>
        <w:t>将运动的定义回到位置的变化上</w:t>
      </w:r>
    </w:p>
    <w:p w14:paraId="2AE164B8" w14:textId="77777777" w:rsidR="002F271E" w:rsidRDefault="002F271E"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p>
    <w:p w14:paraId="18ABCFA3" w14:textId="4E0181E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r w:rsidRPr="00C43B87">
        <w:rPr>
          <w:rFonts w:ascii="Arial" w:eastAsia="宋体" w:hAnsi="Arial" w:cs="Arial" w:hint="eastAsia"/>
          <w:color w:val="111111"/>
          <w:kern w:val="0"/>
          <w:szCs w:val="21"/>
        </w:rPr>
        <w:t>书名</w:t>
      </w:r>
      <w:r w:rsidRPr="00C43B87">
        <w:rPr>
          <w:rFonts w:ascii="Arial" w:eastAsia="宋体" w:hAnsi="Arial" w:cs="Arial"/>
          <w:color w:val="111111"/>
          <w:kern w:val="0"/>
          <w:szCs w:val="21"/>
        </w:rPr>
        <w:t xml:space="preserve">: </w:t>
      </w:r>
      <w:r w:rsidRPr="00C43B87">
        <w:rPr>
          <w:rFonts w:ascii="Arial" w:eastAsia="宋体" w:hAnsi="Arial" w:cs="Arial"/>
          <w:color w:val="111111"/>
          <w:kern w:val="0"/>
          <w:szCs w:val="21"/>
        </w:rPr>
        <w:t>自然哲学之数学原理</w:t>
      </w:r>
    </w:p>
    <w:p w14:paraId="124954AB"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r w:rsidRPr="00C43B87">
        <w:rPr>
          <w:rFonts w:ascii="Arial" w:eastAsia="宋体" w:hAnsi="Arial" w:cs="Arial" w:hint="eastAsia"/>
          <w:color w:val="111111"/>
          <w:kern w:val="0"/>
          <w:szCs w:val="21"/>
        </w:rPr>
        <w:t>作者</w:t>
      </w:r>
      <w:r w:rsidRPr="00C43B87">
        <w:rPr>
          <w:rFonts w:ascii="Arial" w:eastAsia="宋体" w:hAnsi="Arial" w:cs="Arial"/>
          <w:color w:val="111111"/>
          <w:kern w:val="0"/>
          <w:szCs w:val="21"/>
        </w:rPr>
        <w:t>: [</w:t>
      </w:r>
      <w:r w:rsidRPr="00C43B87">
        <w:rPr>
          <w:rFonts w:ascii="Arial" w:eastAsia="宋体" w:hAnsi="Arial" w:cs="Arial"/>
          <w:color w:val="111111"/>
          <w:kern w:val="0"/>
          <w:szCs w:val="21"/>
        </w:rPr>
        <w:t>英</w:t>
      </w:r>
      <w:r w:rsidRPr="00C43B87">
        <w:rPr>
          <w:rFonts w:ascii="Arial" w:eastAsia="宋体" w:hAnsi="Arial" w:cs="Arial"/>
          <w:color w:val="111111"/>
          <w:kern w:val="0"/>
          <w:szCs w:val="21"/>
        </w:rPr>
        <w:t xml:space="preserve">] </w:t>
      </w:r>
      <w:r w:rsidRPr="00C43B87">
        <w:rPr>
          <w:rFonts w:ascii="Arial" w:eastAsia="宋体" w:hAnsi="Arial" w:cs="Arial"/>
          <w:color w:val="111111"/>
          <w:kern w:val="0"/>
          <w:szCs w:val="21"/>
        </w:rPr>
        <w:t>牛顿</w:t>
      </w:r>
    </w:p>
    <w:p w14:paraId="2241DD4B"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r w:rsidRPr="00C43B87">
        <w:rPr>
          <w:rFonts w:ascii="Arial" w:eastAsia="宋体" w:hAnsi="Arial" w:cs="Arial" w:hint="eastAsia"/>
          <w:color w:val="111111"/>
          <w:kern w:val="0"/>
          <w:szCs w:val="21"/>
        </w:rPr>
        <w:t>页数</w:t>
      </w:r>
      <w:r w:rsidRPr="00C43B87">
        <w:rPr>
          <w:rFonts w:ascii="Arial" w:eastAsia="宋体" w:hAnsi="Arial" w:cs="Arial"/>
          <w:color w:val="111111"/>
          <w:kern w:val="0"/>
          <w:szCs w:val="21"/>
        </w:rPr>
        <w:t>: 354</w:t>
      </w:r>
    </w:p>
    <w:p w14:paraId="53D3506D"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r w:rsidRPr="00C43B87">
        <w:rPr>
          <w:rFonts w:ascii="Arial" w:eastAsia="宋体" w:hAnsi="Arial" w:cs="Arial" w:hint="eastAsia"/>
          <w:color w:val="111111"/>
          <w:kern w:val="0"/>
          <w:szCs w:val="21"/>
        </w:rPr>
        <w:t>出版社</w:t>
      </w:r>
      <w:r w:rsidRPr="00C43B87">
        <w:rPr>
          <w:rFonts w:ascii="Arial" w:eastAsia="宋体" w:hAnsi="Arial" w:cs="Arial"/>
          <w:color w:val="111111"/>
          <w:kern w:val="0"/>
          <w:szCs w:val="21"/>
        </w:rPr>
        <w:t xml:space="preserve">: </w:t>
      </w:r>
      <w:r w:rsidRPr="00C43B87">
        <w:rPr>
          <w:rFonts w:ascii="Arial" w:eastAsia="宋体" w:hAnsi="Arial" w:cs="Arial"/>
          <w:color w:val="111111"/>
          <w:kern w:val="0"/>
          <w:szCs w:val="21"/>
        </w:rPr>
        <w:t>北京大学出版社</w:t>
      </w:r>
    </w:p>
    <w:p w14:paraId="41F98C46" w14:textId="6CC138B1" w:rsid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r w:rsidRPr="00C43B87">
        <w:rPr>
          <w:rFonts w:ascii="Arial" w:eastAsia="宋体" w:hAnsi="Arial" w:cs="Arial" w:hint="eastAsia"/>
          <w:color w:val="111111"/>
          <w:kern w:val="0"/>
          <w:szCs w:val="21"/>
        </w:rPr>
        <w:t>出版年</w:t>
      </w:r>
      <w:r w:rsidRPr="00C43B87">
        <w:rPr>
          <w:rFonts w:ascii="Arial" w:eastAsia="宋体" w:hAnsi="Arial" w:cs="Arial"/>
          <w:color w:val="111111"/>
          <w:kern w:val="0"/>
          <w:szCs w:val="21"/>
        </w:rPr>
        <w:t>: 2006-1</w:t>
      </w:r>
    </w:p>
    <w:p w14:paraId="660EB803" w14:textId="77777777" w:rsid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p>
    <w:p w14:paraId="59888B9D" w14:textId="1D872E7A"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r w:rsidRPr="00C43B87">
        <w:rPr>
          <w:rFonts w:ascii="Arial" w:eastAsia="宋体" w:hAnsi="Arial" w:cs="Arial" w:hint="eastAsia"/>
          <w:color w:val="111111"/>
          <w:kern w:val="0"/>
          <w:szCs w:val="21"/>
        </w:rPr>
        <w:t>牛顿的形而上学</w:t>
      </w:r>
    </w:p>
    <w:p w14:paraId="2E0EDF53" w14:textId="77777777" w:rsid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 w:val="18"/>
          <w:szCs w:val="18"/>
        </w:rPr>
      </w:pPr>
    </w:p>
    <w:p w14:paraId="27813CBE" w14:textId="6660E3C5"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在牛顿之前，</w:t>
      </w:r>
    </w:p>
    <w:p w14:paraId="240401F1"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学界的风气是一事当前必先追问终极原因，这种思维方式至今仍在许多人的头脑中存在，但它在大多数场合并不能给人们带来更多的知识。</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伽利略对人们说，要先搞清楚事物是怎么样，然后才能回答为什么。</w:t>
      </w:r>
      <w:r w:rsidRPr="00C43B87">
        <w:rPr>
          <w:rFonts w:ascii="Arial" w:eastAsia="宋体" w:hAnsi="Arial" w:cs="Arial"/>
          <w:color w:val="111111"/>
          <w:kern w:val="0"/>
          <w:sz w:val="18"/>
          <w:szCs w:val="18"/>
        </w:rPr>
        <w:lastRenderedPageBreak/>
        <w:t>在思辨风气甚嚣尘上的时代，伽利略得不到广泛的认同感，而自牛顿始，这种先描述后解释的思维才成为自然科学的标准思维，正因为如此，牛顿以后的科学才步入正轨，日益昌明。（牛顿，导读</w:t>
      </w:r>
      <w:r w:rsidRPr="00C43B87">
        <w:rPr>
          <w:rFonts w:ascii="Arial" w:eastAsia="宋体" w:hAnsi="Arial" w:cs="Arial"/>
          <w:color w:val="111111"/>
          <w:kern w:val="0"/>
          <w:sz w:val="18"/>
          <w:szCs w:val="18"/>
        </w:rPr>
        <w:t>p17</w:t>
      </w:r>
      <w:r w:rsidRPr="00C43B87">
        <w:rPr>
          <w:rFonts w:ascii="Arial" w:eastAsia="宋体" w:hAnsi="Arial" w:cs="Arial"/>
          <w:color w:val="111111"/>
          <w:kern w:val="0"/>
          <w:sz w:val="18"/>
          <w:szCs w:val="18"/>
        </w:rPr>
        <w:t>）</w:t>
      </w:r>
    </w:p>
    <w:p w14:paraId="48CB47E0"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 w:val="18"/>
          <w:szCs w:val="18"/>
        </w:rPr>
      </w:pPr>
    </w:p>
    <w:p w14:paraId="39914799"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 w:val="18"/>
          <w:szCs w:val="18"/>
        </w:rPr>
      </w:pPr>
    </w:p>
    <w:p w14:paraId="15748FA7"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 w:val="18"/>
          <w:szCs w:val="18"/>
        </w:rPr>
      </w:pPr>
    </w:p>
    <w:p w14:paraId="33B7AFB1"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哲学中的推理规则</w:t>
      </w:r>
    </w:p>
    <w:p w14:paraId="28DBF1B8"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18D4E036"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规则</w:t>
      </w:r>
      <w:r w:rsidRPr="00C43B87">
        <w:rPr>
          <w:rFonts w:ascii="Arial" w:eastAsia="宋体" w:hAnsi="Arial" w:cs="Arial"/>
          <w:color w:val="111111"/>
          <w:kern w:val="0"/>
          <w:sz w:val="18"/>
          <w:szCs w:val="18"/>
        </w:rPr>
        <w:t>I</w:t>
      </w:r>
    </w:p>
    <w:p w14:paraId="39AA2C38"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506F2773"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寻求自然事物的原因，不得超出真实和足以解释其现象者</w:t>
      </w:r>
    </w:p>
    <w:p w14:paraId="53494F14"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为达此目的，哲学家们说，自然不做徒劳的事，解释多了白费口舌，言简意赅才见真谛；因为自然喜欢简单性，不会响应于多余原因的侈谈。</w:t>
      </w:r>
    </w:p>
    <w:p w14:paraId="3E6B861C"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3E04C3D4"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规则</w:t>
      </w:r>
      <w:r w:rsidRPr="00C43B87">
        <w:rPr>
          <w:rFonts w:ascii="Arial" w:eastAsia="宋体" w:hAnsi="Arial" w:cs="Arial"/>
          <w:color w:val="111111"/>
          <w:kern w:val="0"/>
          <w:sz w:val="18"/>
          <w:szCs w:val="18"/>
        </w:rPr>
        <w:t>II</w:t>
      </w:r>
    </w:p>
    <w:p w14:paraId="57D965D2"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4A23FFE8"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因此对于相同的自然现象，必须尽可能地寻求相同的原因。</w:t>
      </w:r>
    </w:p>
    <w:p w14:paraId="621D4038"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例如人与野兽的呼吸</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欧洲与美洲的石头下落</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炊事用火的光亮与阳光</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地球反光与行星反光。</w:t>
      </w:r>
    </w:p>
    <w:p w14:paraId="1735957D"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7DB49A86"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规则</w:t>
      </w:r>
      <w:r w:rsidRPr="00C43B87">
        <w:rPr>
          <w:rFonts w:ascii="Arial" w:eastAsia="宋体" w:hAnsi="Arial" w:cs="Arial"/>
          <w:color w:val="111111"/>
          <w:kern w:val="0"/>
          <w:sz w:val="18"/>
          <w:szCs w:val="18"/>
        </w:rPr>
        <w:t>III</w:t>
      </w:r>
    </w:p>
    <w:p w14:paraId="1498F6C6"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4B3FD994"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物体的特性，若其程度既不能增加也不能减少，且在实验所及范围内为所有物体所共有</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则应视为一切物体的普遍属性。</w:t>
      </w:r>
    </w:p>
    <w:p w14:paraId="6B8ADFD3"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因为，物体的特性只能通过实验为们所了解，我们认为是普适的属性只能是实验上普适的：只能是既不会减少又绝不会消失的。我们当然不会因为梦幻和凭空臆想面放弃实验证据</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也不会背弃自然的相似性，这种相似性应是简单的，首尾一致的。我们无法逾越感官而了解物体的广延，也无无法由此而深入物体内内部：但是，因为我们假设所有物体的广延是可感知的，所以也把这一属性普遍地赋予所有物体。我们由经验知道许多物体是硬的</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面全体的硬度是由部分的硬度所产生的，所以我们恰当地推断，不仅我们感知的物体的粒子是硬的，而且所有其他粒子都是硬的。说所有物体都是不可穿透的，这不是推理而来的结论，而是感知的。我们发现拿着的物体是不可穿透的，由此推断出不可穿透性是一切物体的普遍性质。说所有物体邡能运动，并赋予它们在运动时或静止时具有某种保持其状态的能力</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我们称之为惯性</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只不过是由我们曾见到过的物体中所发现的类似特性而推断出来的。全体的广延、硬度、不可穿透性、可运动性和惯性，都是由部分的广延、硬度，不可穿透性、可运动性和惯性所造成的：因而我们推断所有物体的最小例子也都具有广延、硬度、不可穿透性、可运动性，并赋予它们以惯性性质。这是一切哲学的基础。此外，物体分离的但又相邻接的粒子可以相互分开，这是观测事实，在未被分开的粒子内，我们的思维能区分出更小的部分，正如数学所证明的那样，但如此区分开的，以及未被分开的部分，能否确实由自然力分割并加以分离，我们尚不得而知。然面，只要有哪怕是一例实验证明，由坚硬的物体上取下的任何未分开的小粒子被分割开来了，我们就可以沿用本规则得出结论，已分开的和末分开的粒子实际上都可以分割为无限小。最后，如果实验和天文观测普遍发现，地球附近的物体都被吸引向地球，吸引力正比于物体所各自包含的物质，月球也根据其物质量被吸引向地球；而另一方面，我们的海洋被吸引向月球；所有的行星相互吸引；彗星以类似方式被吸引向太阳，则我们必须沿用本规则赋予一切物体以普遍相互吸引的原理。因为一切物体的普遍吸引是由现象得到的结论，它比物体的不可穿透性显得有说服力：后者在天体活动范围内</w:t>
      </w:r>
      <w:r w:rsidRPr="00C43B87">
        <w:rPr>
          <w:rFonts w:ascii="Arial" w:eastAsia="宋体" w:hAnsi="Arial" w:cs="Arial"/>
          <w:color w:val="111111"/>
          <w:kern w:val="0"/>
          <w:sz w:val="18"/>
          <w:szCs w:val="18"/>
        </w:rPr>
        <w:lastRenderedPageBreak/>
        <w:t>无法由实验或任何别的观测手段加以验证。我肯定重力不是物体的基本属性：我说到固有的力时，只是指它们的惯性。这才是不会变更的。物体的重力会随其远离地球而减小。</w:t>
      </w:r>
    </w:p>
    <w:p w14:paraId="49B9926B"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6F32FAF2"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规则</w:t>
      </w:r>
      <w:r w:rsidRPr="00C43B87">
        <w:rPr>
          <w:rFonts w:ascii="Arial" w:eastAsia="宋体" w:hAnsi="Arial" w:cs="Arial"/>
          <w:color w:val="111111"/>
          <w:kern w:val="0"/>
          <w:sz w:val="18"/>
          <w:szCs w:val="18"/>
        </w:rPr>
        <w:t>IV</w:t>
      </w:r>
    </w:p>
    <w:p w14:paraId="11D1FB38"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在实验哲学中，我们必须将由现象所归纳出的命题视为完全正确的或基本正确的而不管想像所可能得到的与之相反的种种假说，直到出现了其他的或可排除这些命期或可使之变得更加精确的现象之时。</w:t>
      </w:r>
    </w:p>
    <w:p w14:paraId="3F9F5D00"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我们必须遵守这一规则</w:t>
      </w:r>
      <w:r w:rsidRPr="00C43B87">
        <w:rPr>
          <w:rFonts w:ascii="Arial" w:eastAsia="宋体" w:hAnsi="Arial" w:cs="Arial"/>
          <w:color w:val="111111"/>
          <w:kern w:val="0"/>
          <w:sz w:val="18"/>
          <w:szCs w:val="18"/>
        </w:rPr>
        <w:t xml:space="preserve"> </w:t>
      </w:r>
      <w:r w:rsidRPr="00C43B87">
        <w:rPr>
          <w:rFonts w:ascii="Arial" w:eastAsia="宋体" w:hAnsi="Arial" w:cs="Arial"/>
          <w:color w:val="111111"/>
          <w:kern w:val="0"/>
          <w:sz w:val="18"/>
          <w:szCs w:val="18"/>
        </w:rPr>
        <w:t>，使不脱离假说归纳出的结论。引自第</w:t>
      </w:r>
      <w:r w:rsidRPr="00C43B87">
        <w:rPr>
          <w:rFonts w:ascii="Arial" w:eastAsia="宋体" w:hAnsi="Arial" w:cs="Arial"/>
          <w:color w:val="111111"/>
          <w:kern w:val="0"/>
          <w:sz w:val="18"/>
          <w:szCs w:val="18"/>
        </w:rPr>
        <w:t>257</w:t>
      </w:r>
      <w:r w:rsidRPr="00C43B87">
        <w:rPr>
          <w:rFonts w:ascii="Arial" w:eastAsia="宋体" w:hAnsi="Arial" w:cs="Arial"/>
          <w:color w:val="111111"/>
          <w:kern w:val="0"/>
          <w:sz w:val="18"/>
          <w:szCs w:val="18"/>
        </w:rPr>
        <w:t>页</w:t>
      </w:r>
    </w:p>
    <w:p w14:paraId="5FBF91AE"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 w:val="18"/>
          <w:szCs w:val="18"/>
        </w:rPr>
      </w:pPr>
    </w:p>
    <w:p w14:paraId="5344A164"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 w:val="18"/>
          <w:szCs w:val="18"/>
        </w:rPr>
      </w:pPr>
    </w:p>
    <w:p w14:paraId="0AF069B9"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 w:val="18"/>
          <w:szCs w:val="18"/>
        </w:rPr>
      </w:pPr>
    </w:p>
    <w:p w14:paraId="4414A35E"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科学是实证的，也不仅仅是实证的。我们说科学是实证的，是说科学发端于实验和观测，得到理论、预言，再通过实验和观测检验预言。科学不仅是实证的，因为一旦理论化，可以推出无限多个预言，我们不可能一一检验这些预言，我们只能相信逻辑和数学结构的一致性使得科学成为一个整体。但是，一旦某一天其中一个推论被实验否定，我们就要改进科学本身。宇宙学也如此，宇宙学是科学延伸的极致，因为宇宙学的建立依赖于对规律的极端信任。举一个重要的例子我们就明白为什么是这样：通常天文尺度非常大，我们不可能用寻常的方法测量天文距离。天文距离的测量一般是两种，一种是通过三角关系测量，即所谓的视差。当距离非常大时，</w:t>
      </w:r>
      <w:r w:rsidRPr="00C43B87">
        <w:rPr>
          <w:rFonts w:ascii="Arial" w:eastAsia="宋体" w:hAnsi="Arial" w:cs="Arial"/>
          <w:color w:val="111111"/>
          <w:kern w:val="0"/>
          <w:sz w:val="18"/>
          <w:szCs w:val="18"/>
        </w:rPr>
        <w:t xml:space="preserve"> </w:t>
      </w:r>
      <w:r w:rsidRPr="00C43B87">
        <w:rPr>
          <w:rFonts w:ascii="Arial" w:eastAsia="宋体" w:hAnsi="Arial" w:cs="Arial"/>
          <w:color w:val="111111"/>
          <w:kern w:val="0"/>
          <w:sz w:val="18"/>
          <w:szCs w:val="18"/>
        </w:rPr>
        <w:t>我们要借助第二种方法，</w:t>
      </w:r>
      <w:r w:rsidRPr="00C43B87">
        <w:rPr>
          <w:rFonts w:ascii="Arial" w:eastAsia="宋体" w:hAnsi="Arial" w:cs="Arial"/>
          <w:color w:val="111111"/>
          <w:kern w:val="0"/>
          <w:sz w:val="18"/>
          <w:szCs w:val="18"/>
        </w:rPr>
        <w:t xml:space="preserve"> </w:t>
      </w:r>
      <w:r w:rsidRPr="00C43B87">
        <w:rPr>
          <w:rFonts w:ascii="Arial" w:eastAsia="宋体" w:hAnsi="Arial" w:cs="Arial"/>
          <w:color w:val="111111"/>
          <w:kern w:val="0"/>
          <w:sz w:val="18"/>
          <w:szCs w:val="18"/>
        </w:rPr>
        <w:t>即找到一种被认为是亮度固定的天体，然后通过表面的亮度决定这个天体距离我们多远：就像一支具有固有亮度的蜡烛一样，我们可以通过眼中看到的亮度确定它离我们有多远，亮度越是微弱，距离我们越远。第二种测量距离的方法含有两个假定，第一是给定的天体有固定的亮度，第二是表面亮度与距离平方成反比。当距离很大时，后一个假定并不能通过寻常的方法检验。我们反过来将第二个假定变成定义，由这个方法定义出来的距离叫视距离。</w:t>
      </w:r>
    </w:p>
    <w:p w14:paraId="66CC19B9"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物理学中有很多概念和陈述并不是我们寻常经验的推论。例如，我们在实验室实现一个极高的温度，如上万度，我们并不是用寻常的温度计来测量的，而是通过光谱。光谱本身用来决定温度其实也暗含了一些假定，例如光的波长与温度成反比，或者倒过来，在某个温度之上，温度就是通过光来定义的。很多概念的延伸都超出了寻常的经验，但是，所有这些定义必须满足逻辑的自洽性。这样，在物理学中，我们可以定义非同寻常的高温，非同寻常的极小的距离，也可以定义非常寻常的极大的距离。</w:t>
      </w:r>
    </w:p>
    <w:p w14:paraId="3F03C079"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宇宙学的建立，就是需要我们对这些概念的信任，这样，我们就回答了我年轻时对宇宙学的第一个质疑：我们能够相信物理学在遥远的距离之外和遥远的过去都是成立的吗？回答是，当然可以信任，虽然遥远的距离和遥远的过去本身的定义超出我们寻常的经验，但形成了一个逻辑自洽的体系。除非这个体系出现不自洽，那时我们就得修改我们的理论，使之重新成为与观测吻合的自洽的体系。（李淼）</w:t>
      </w:r>
    </w:p>
    <w:p w14:paraId="0DFBBBE0"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0D6332A8"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李淼，宇宙学的黄金时代，</w:t>
      </w:r>
      <w:r w:rsidRPr="00C43B87">
        <w:rPr>
          <w:rFonts w:ascii="Arial" w:eastAsia="宋体" w:hAnsi="Arial" w:cs="Arial"/>
          <w:color w:val="111111"/>
          <w:kern w:val="0"/>
          <w:sz w:val="18"/>
          <w:szCs w:val="18"/>
        </w:rPr>
        <w:t xml:space="preserve">in </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 xml:space="preserve">10000 </w:t>
      </w:r>
      <w:r w:rsidRPr="00C43B87">
        <w:rPr>
          <w:rFonts w:ascii="Arial" w:eastAsia="宋体" w:hAnsi="Arial" w:cs="Arial"/>
          <w:color w:val="111111"/>
          <w:kern w:val="0"/>
          <w:sz w:val="18"/>
          <w:szCs w:val="18"/>
        </w:rPr>
        <w:t>个科学难题</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物理学卷》，科学出版社，</w:t>
      </w:r>
      <w:r w:rsidRPr="00C43B87">
        <w:rPr>
          <w:rFonts w:ascii="Arial" w:eastAsia="宋体" w:hAnsi="Arial" w:cs="Arial"/>
          <w:color w:val="111111"/>
          <w:kern w:val="0"/>
          <w:sz w:val="18"/>
          <w:szCs w:val="18"/>
        </w:rPr>
        <w:t>2009</w:t>
      </w:r>
    </w:p>
    <w:p w14:paraId="12EB3C08" w14:textId="77777777" w:rsidR="00D36635" w:rsidRPr="00C43B87" w:rsidRDefault="00D36635"/>
    <w:sectPr w:rsidR="00D36635" w:rsidRPr="00C43B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AB"/>
    <w:rsid w:val="002F271E"/>
    <w:rsid w:val="004B08D7"/>
    <w:rsid w:val="006949AB"/>
    <w:rsid w:val="00C31C4F"/>
    <w:rsid w:val="00C43B87"/>
    <w:rsid w:val="00D36635"/>
    <w:rsid w:val="00E97098"/>
    <w:rsid w:val="00FF7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05F0"/>
  <w15:chartTrackingRefBased/>
  <w15:docId w15:val="{86B9BB7A-4A14-44B4-9253-ED0A5A45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88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18</cp:revision>
  <dcterms:created xsi:type="dcterms:W3CDTF">2022-03-31T12:30:00Z</dcterms:created>
  <dcterms:modified xsi:type="dcterms:W3CDTF">2022-04-04T04:44:00Z</dcterms:modified>
</cp:coreProperties>
</file>