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70B48" w14:textId="77777777" w:rsidR="009F1AB3" w:rsidRDefault="009F1AB3" w:rsidP="009F1AB3">
      <w:pPr>
        <w:jc w:val="center"/>
        <w:rPr>
          <w:rFonts w:ascii="Arial" w:hAnsi="Arial" w:cs="Arial"/>
          <w:b/>
          <w:bCs/>
          <w:sz w:val="52"/>
          <w:szCs w:val="52"/>
        </w:rPr>
      </w:pPr>
      <w:r w:rsidRPr="009F1AB3">
        <w:rPr>
          <w:rFonts w:ascii="Arial" w:hAnsi="Arial" w:cs="Arial"/>
          <w:b/>
          <w:bCs/>
          <w:sz w:val="52"/>
          <w:szCs w:val="52"/>
        </w:rPr>
        <w:t>KickStarter</w:t>
      </w:r>
      <w:r>
        <w:rPr>
          <w:rFonts w:ascii="Arial" w:hAnsi="Arial" w:cs="Arial"/>
          <w:b/>
          <w:bCs/>
          <w:sz w:val="52"/>
          <w:szCs w:val="52"/>
        </w:rPr>
        <w:t>.com</w:t>
      </w:r>
    </w:p>
    <w:p w14:paraId="4EE0C940" w14:textId="77777777" w:rsidR="009F1AB3" w:rsidRDefault="009F1AB3" w:rsidP="009F1AB3">
      <w:pPr>
        <w:jc w:val="center"/>
        <w:rPr>
          <w:rFonts w:ascii="Arial" w:hAnsi="Arial" w:cs="Arial"/>
          <w:b/>
          <w:bCs/>
          <w:sz w:val="52"/>
          <w:szCs w:val="52"/>
        </w:rPr>
      </w:pPr>
      <w:r>
        <w:rPr>
          <w:rFonts w:ascii="Arial" w:hAnsi="Arial" w:cs="Arial"/>
          <w:b/>
          <w:bCs/>
          <w:sz w:val="52"/>
          <w:szCs w:val="52"/>
        </w:rPr>
        <w:t>Project</w:t>
      </w:r>
      <w:r w:rsidRPr="009F1AB3">
        <w:rPr>
          <w:rFonts w:ascii="Arial" w:hAnsi="Arial" w:cs="Arial"/>
          <w:b/>
          <w:bCs/>
          <w:sz w:val="52"/>
          <w:szCs w:val="52"/>
        </w:rPr>
        <w:t xml:space="preserve"> Trends</w:t>
      </w:r>
    </w:p>
    <w:p w14:paraId="20A3538B" w14:textId="492295FC" w:rsidR="008F7B80" w:rsidRDefault="009F1AB3" w:rsidP="009F1AB3">
      <w:pPr>
        <w:jc w:val="center"/>
        <w:rPr>
          <w:rFonts w:ascii="Arial" w:hAnsi="Arial" w:cs="Arial"/>
          <w:b/>
          <w:bCs/>
          <w:sz w:val="52"/>
          <w:szCs w:val="52"/>
        </w:rPr>
      </w:pPr>
      <w:r w:rsidRPr="009F1AB3">
        <w:rPr>
          <w:rFonts w:ascii="Arial" w:hAnsi="Arial" w:cs="Arial"/>
          <w:b/>
          <w:bCs/>
          <w:sz w:val="52"/>
          <w:szCs w:val="52"/>
        </w:rPr>
        <w:t xml:space="preserve"> and Analysis</w:t>
      </w:r>
    </w:p>
    <w:p w14:paraId="22B16CD4" w14:textId="0BA8B8D7" w:rsidR="009F1AB3" w:rsidRDefault="009F1AB3" w:rsidP="009F1AB3">
      <w:pPr>
        <w:jc w:val="center"/>
        <w:rPr>
          <w:rFonts w:ascii="Arial" w:hAnsi="Arial" w:cs="Arial"/>
          <w:b/>
          <w:bCs/>
          <w:sz w:val="52"/>
          <w:szCs w:val="52"/>
        </w:rPr>
      </w:pPr>
    </w:p>
    <w:p w14:paraId="62C7CFF1" w14:textId="77777777" w:rsidR="009F1AB3" w:rsidRPr="009F1AB3" w:rsidRDefault="009F1AB3" w:rsidP="009F1AB3">
      <w:pPr>
        <w:jc w:val="center"/>
        <w:rPr>
          <w:rFonts w:ascii="Arial" w:hAnsi="Arial" w:cs="Arial"/>
          <w:b/>
          <w:bCs/>
          <w:sz w:val="52"/>
          <w:szCs w:val="52"/>
        </w:rPr>
      </w:pPr>
    </w:p>
    <w:p w14:paraId="693FC176" w14:textId="2CF6F32A" w:rsidR="0029420B" w:rsidRDefault="0029420B">
      <w:pPr>
        <w:rPr>
          <w:rFonts w:ascii="Arial" w:hAnsi="Arial" w:cs="Arial"/>
          <w:sz w:val="24"/>
          <w:szCs w:val="24"/>
        </w:rPr>
      </w:pPr>
      <w:r>
        <w:rPr>
          <w:noProof/>
        </w:rPr>
        <w:lastRenderedPageBreak/>
        <w:drawing>
          <wp:inline distT="0" distB="0" distL="0" distR="0" wp14:anchorId="62043545" wp14:editId="6993BF24">
            <wp:extent cx="820102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01025" cy="3457575"/>
                    </a:xfrm>
                    <a:prstGeom prst="rect">
                      <a:avLst/>
                    </a:prstGeom>
                  </pic:spPr>
                </pic:pic>
              </a:graphicData>
            </a:graphic>
          </wp:inline>
        </w:drawing>
      </w:r>
      <w:r w:rsidR="00F74DFD">
        <w:rPr>
          <w:rFonts w:ascii="Arial" w:hAnsi="Arial" w:cs="Arial"/>
          <w:sz w:val="24"/>
          <w:szCs w:val="24"/>
        </w:rPr>
        <w:t xml:space="preserve">Music, </w:t>
      </w:r>
      <w:r>
        <w:rPr>
          <w:rFonts w:ascii="Arial" w:hAnsi="Arial" w:cs="Arial"/>
          <w:sz w:val="24"/>
          <w:szCs w:val="24"/>
        </w:rPr>
        <w:t xml:space="preserve">film &amp; video, and theater projects are the most successfully funded. However, because the data sample for various project categories is so small, little can be concluded about </w:t>
      </w:r>
      <w:r w:rsidR="005D28DB">
        <w:rPr>
          <w:rFonts w:ascii="Arial" w:hAnsi="Arial" w:cs="Arial"/>
          <w:sz w:val="24"/>
          <w:szCs w:val="24"/>
        </w:rPr>
        <w:t xml:space="preserve">the type of </w:t>
      </w:r>
      <w:r>
        <w:rPr>
          <w:rFonts w:ascii="Arial" w:hAnsi="Arial" w:cs="Arial"/>
          <w:sz w:val="24"/>
          <w:szCs w:val="24"/>
        </w:rPr>
        <w:t xml:space="preserve">projects that will successfully reach funded status. </w:t>
      </w:r>
    </w:p>
    <w:p w14:paraId="327EF0F8" w14:textId="77777777" w:rsidR="0029420B" w:rsidRDefault="0029420B">
      <w:pPr>
        <w:rPr>
          <w:rFonts w:ascii="Arial" w:hAnsi="Arial" w:cs="Arial"/>
          <w:sz w:val="24"/>
          <w:szCs w:val="24"/>
        </w:rPr>
      </w:pPr>
    </w:p>
    <w:p w14:paraId="518522C3" w14:textId="77777777" w:rsidR="005D28DB" w:rsidRDefault="005D28DB">
      <w:pPr>
        <w:rPr>
          <w:rFonts w:ascii="Arial" w:hAnsi="Arial" w:cs="Arial"/>
          <w:sz w:val="24"/>
          <w:szCs w:val="24"/>
        </w:rPr>
      </w:pPr>
    </w:p>
    <w:p w14:paraId="64AE3EFF" w14:textId="77777777" w:rsidR="005D28DB" w:rsidRDefault="005D28DB">
      <w:pPr>
        <w:rPr>
          <w:rFonts w:ascii="Arial" w:hAnsi="Arial" w:cs="Arial"/>
          <w:sz w:val="24"/>
          <w:szCs w:val="24"/>
        </w:rPr>
      </w:pPr>
    </w:p>
    <w:p w14:paraId="52DB27EE" w14:textId="77777777" w:rsidR="00AE0A09" w:rsidRDefault="008D6347">
      <w:pPr>
        <w:rPr>
          <w:rFonts w:ascii="Arial" w:hAnsi="Arial" w:cs="Arial"/>
          <w:sz w:val="24"/>
          <w:szCs w:val="24"/>
        </w:rPr>
      </w:pPr>
      <w:r>
        <w:rPr>
          <w:rFonts w:ascii="Arial" w:hAnsi="Arial" w:cs="Arial"/>
          <w:sz w:val="24"/>
          <w:szCs w:val="24"/>
        </w:rPr>
        <w:br w:type="page"/>
      </w:r>
      <w:r>
        <w:rPr>
          <w:rFonts w:ascii="Arial" w:hAnsi="Arial" w:cs="Arial"/>
          <w:noProof/>
          <w:sz w:val="24"/>
          <w:szCs w:val="24"/>
        </w:rPr>
        <w:lastRenderedPageBreak/>
        <w:drawing>
          <wp:inline distT="0" distB="0" distL="0" distR="0" wp14:anchorId="7EDE6E3A" wp14:editId="2F150DF9">
            <wp:extent cx="8229600" cy="4739005"/>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work_Unit_1_Chart_3.jpg"/>
                    <pic:cNvPicPr/>
                  </pic:nvPicPr>
                  <pic:blipFill>
                    <a:blip r:embed="rId7">
                      <a:extLst>
                        <a:ext uri="{28A0092B-C50C-407E-A947-70E740481C1C}">
                          <a14:useLocalDpi xmlns:a14="http://schemas.microsoft.com/office/drawing/2010/main" val="0"/>
                        </a:ext>
                      </a:extLst>
                    </a:blip>
                    <a:stretch>
                      <a:fillRect/>
                    </a:stretch>
                  </pic:blipFill>
                  <pic:spPr>
                    <a:xfrm>
                      <a:off x="0" y="0"/>
                      <a:ext cx="8229600" cy="4739005"/>
                    </a:xfrm>
                    <a:prstGeom prst="rect">
                      <a:avLst/>
                    </a:prstGeom>
                  </pic:spPr>
                </pic:pic>
              </a:graphicData>
            </a:graphic>
          </wp:inline>
        </w:drawing>
      </w:r>
    </w:p>
    <w:p w14:paraId="7862DF46" w14:textId="7E3F1D26" w:rsidR="00E11649" w:rsidRDefault="005E3945">
      <w:pPr>
        <w:rPr>
          <w:rFonts w:ascii="Arial" w:hAnsi="Arial" w:cs="Arial"/>
          <w:sz w:val="24"/>
          <w:szCs w:val="24"/>
        </w:rPr>
      </w:pPr>
      <w:r>
        <w:rPr>
          <w:rFonts w:ascii="Arial" w:hAnsi="Arial" w:cs="Arial"/>
          <w:sz w:val="24"/>
          <w:szCs w:val="24"/>
        </w:rPr>
        <w:lastRenderedPageBreak/>
        <w:t>Data seems to suggest that a documentary project on a rock band that sponsors and sells hardware would reach a wider</w:t>
      </w:r>
      <w:r w:rsidR="00E11649">
        <w:rPr>
          <w:rFonts w:ascii="Arial" w:hAnsi="Arial" w:cs="Arial"/>
          <w:sz w:val="24"/>
          <w:szCs w:val="24"/>
        </w:rPr>
        <w:t xml:space="preserve"> crowdfunding source and be incredibly </w:t>
      </w:r>
      <w:bookmarkStart w:id="0" w:name="_GoBack"/>
      <w:bookmarkEnd w:id="0"/>
      <w:r w:rsidR="00E11649">
        <w:rPr>
          <w:rFonts w:ascii="Arial" w:hAnsi="Arial" w:cs="Arial"/>
          <w:sz w:val="24"/>
          <w:szCs w:val="24"/>
        </w:rPr>
        <w:t>successful.</w:t>
      </w:r>
    </w:p>
    <w:p w14:paraId="087A6021" w14:textId="767DC3BA" w:rsidR="008D6347" w:rsidRDefault="00E11649">
      <w:pPr>
        <w:rPr>
          <w:rFonts w:ascii="Arial" w:hAnsi="Arial" w:cs="Arial"/>
          <w:sz w:val="24"/>
          <w:szCs w:val="24"/>
        </w:rPr>
      </w:pPr>
      <w:r>
        <w:rPr>
          <w:rFonts w:ascii="Arial" w:hAnsi="Arial" w:cs="Arial"/>
          <w:sz w:val="24"/>
          <w:szCs w:val="24"/>
        </w:rPr>
        <w:t xml:space="preserve">Seriously though: </w:t>
      </w:r>
      <w:r w:rsidR="00AE0A09">
        <w:rPr>
          <w:rFonts w:ascii="Arial" w:hAnsi="Arial" w:cs="Arial"/>
          <w:sz w:val="24"/>
          <w:szCs w:val="24"/>
        </w:rPr>
        <w:t>Rock music, documentary films, hardware projects are noteworthy as they all have 100 percent success rates. There are others also successful, but all of the data presented are again severely limited in sample size for conclusions to be drawn. In the theatrical space, plays have had the greatest success and failure of all sub-categories.</w:t>
      </w:r>
      <w:r w:rsidR="00F81DED">
        <w:rPr>
          <w:rFonts w:ascii="Arial" w:hAnsi="Arial" w:cs="Arial"/>
          <w:sz w:val="24"/>
          <w:szCs w:val="24"/>
        </w:rPr>
        <w:t xml:space="preserve"> In stark contrast, animation, food truck, video game, and web projects have unilaterally failed or been cancelled.</w:t>
      </w:r>
    </w:p>
    <w:p w14:paraId="6DAF1B56" w14:textId="3C97A543" w:rsidR="00AE0A09" w:rsidRDefault="00AE0A09">
      <w:pPr>
        <w:rPr>
          <w:rFonts w:ascii="Arial" w:hAnsi="Arial" w:cs="Arial"/>
          <w:sz w:val="24"/>
          <w:szCs w:val="24"/>
        </w:rPr>
      </w:pPr>
      <w:r>
        <w:rPr>
          <w:rFonts w:ascii="Arial" w:hAnsi="Arial" w:cs="Arial"/>
          <w:sz w:val="24"/>
          <w:szCs w:val="24"/>
        </w:rPr>
        <w:br w:type="page"/>
      </w:r>
    </w:p>
    <w:p w14:paraId="20ABBFFA" w14:textId="77777777" w:rsidR="005D28DB" w:rsidRDefault="005D28DB">
      <w:pPr>
        <w:rPr>
          <w:rFonts w:ascii="Arial" w:hAnsi="Arial" w:cs="Arial"/>
          <w:sz w:val="24"/>
          <w:szCs w:val="24"/>
        </w:rPr>
      </w:pPr>
    </w:p>
    <w:p w14:paraId="001408A1" w14:textId="77777777" w:rsidR="002A072E" w:rsidRPr="00F7244B" w:rsidRDefault="00F74DFD">
      <w:pPr>
        <w:rPr>
          <w:rFonts w:ascii="Arial" w:hAnsi="Arial" w:cs="Arial"/>
          <w:sz w:val="24"/>
          <w:szCs w:val="24"/>
        </w:rPr>
      </w:pPr>
      <w:r>
        <w:rPr>
          <w:rFonts w:ascii="Arial" w:hAnsi="Arial" w:cs="Arial"/>
          <w:noProof/>
          <w:sz w:val="24"/>
          <w:szCs w:val="24"/>
        </w:rPr>
        <w:drawing>
          <wp:inline distT="0" distB="0" distL="0" distR="0" wp14:anchorId="4D39CEEA" wp14:editId="40BDC593">
            <wp:extent cx="8229600" cy="3671570"/>
            <wp:effectExtent l="0" t="0" r="0" b="508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work_Unit_1_Chart_2.jpg"/>
                    <pic:cNvPicPr/>
                  </pic:nvPicPr>
                  <pic:blipFill>
                    <a:blip r:embed="rId8">
                      <a:extLst>
                        <a:ext uri="{28A0092B-C50C-407E-A947-70E740481C1C}">
                          <a14:useLocalDpi xmlns:a14="http://schemas.microsoft.com/office/drawing/2010/main" val="0"/>
                        </a:ext>
                      </a:extLst>
                    </a:blip>
                    <a:stretch>
                      <a:fillRect/>
                    </a:stretch>
                  </pic:blipFill>
                  <pic:spPr>
                    <a:xfrm>
                      <a:off x="0" y="0"/>
                      <a:ext cx="8229600" cy="3671570"/>
                    </a:xfrm>
                    <a:prstGeom prst="rect">
                      <a:avLst/>
                    </a:prstGeom>
                  </pic:spPr>
                </pic:pic>
              </a:graphicData>
            </a:graphic>
          </wp:inline>
        </w:drawing>
      </w:r>
    </w:p>
    <w:p w14:paraId="42C88A69" w14:textId="73D5E487" w:rsidR="002A072E" w:rsidRPr="00F7244B" w:rsidRDefault="002A072E" w:rsidP="00F74DFD">
      <w:pPr>
        <w:rPr>
          <w:rFonts w:ascii="Arial" w:hAnsi="Arial" w:cs="Arial"/>
          <w:sz w:val="24"/>
          <w:szCs w:val="24"/>
        </w:rPr>
      </w:pPr>
      <w:r w:rsidRPr="00F7244B">
        <w:rPr>
          <w:rFonts w:ascii="Arial" w:hAnsi="Arial" w:cs="Arial"/>
          <w:sz w:val="24"/>
          <w:szCs w:val="24"/>
        </w:rPr>
        <w:t xml:space="preserve">Highest correlation between successfully funded projects occurs just </w:t>
      </w:r>
      <w:r w:rsidR="009D1B06" w:rsidRPr="00F7244B">
        <w:rPr>
          <w:rFonts w:ascii="Arial" w:hAnsi="Arial" w:cs="Arial"/>
          <w:sz w:val="24"/>
          <w:szCs w:val="24"/>
        </w:rPr>
        <w:t xml:space="preserve">as </w:t>
      </w:r>
      <w:r w:rsidRPr="00F7244B">
        <w:rPr>
          <w:rFonts w:ascii="Arial" w:hAnsi="Arial" w:cs="Arial"/>
          <w:sz w:val="24"/>
          <w:szCs w:val="24"/>
        </w:rPr>
        <w:t>summer begins in the month of May</w:t>
      </w:r>
      <w:r w:rsidR="009D1B06" w:rsidRPr="00F7244B">
        <w:rPr>
          <w:rFonts w:ascii="Arial" w:hAnsi="Arial" w:cs="Arial"/>
          <w:sz w:val="24"/>
          <w:szCs w:val="24"/>
        </w:rPr>
        <w:t>.</w:t>
      </w:r>
      <w:r w:rsidRPr="00F7244B">
        <w:rPr>
          <w:rFonts w:ascii="Arial" w:hAnsi="Arial" w:cs="Arial"/>
          <w:sz w:val="24"/>
          <w:szCs w:val="24"/>
        </w:rPr>
        <w:t xml:space="preserve"> </w:t>
      </w:r>
      <w:r w:rsidR="009D1B06" w:rsidRPr="00F7244B">
        <w:rPr>
          <w:rFonts w:ascii="Arial" w:hAnsi="Arial" w:cs="Arial"/>
          <w:sz w:val="24"/>
          <w:szCs w:val="24"/>
        </w:rPr>
        <w:t xml:space="preserve"> Among the unsuccessful projects, the sample shows a quad-modal count of </w:t>
      </w:r>
      <w:r w:rsidR="00C51B01">
        <w:rPr>
          <w:rFonts w:ascii="Arial" w:hAnsi="Arial" w:cs="Arial"/>
          <w:sz w:val="24"/>
          <w:szCs w:val="24"/>
        </w:rPr>
        <w:t xml:space="preserve">greatest </w:t>
      </w:r>
      <w:r w:rsidR="009D1B06" w:rsidRPr="00F7244B">
        <w:rPr>
          <w:rFonts w:ascii="Arial" w:hAnsi="Arial" w:cs="Arial"/>
          <w:sz w:val="24"/>
          <w:szCs w:val="24"/>
        </w:rPr>
        <w:t xml:space="preserve">failure recurring in the months of January, June, July, and October. Finally, the relationship of KickStarter project </w:t>
      </w:r>
      <w:r w:rsidR="00693C5A" w:rsidRPr="00F7244B">
        <w:rPr>
          <w:rFonts w:ascii="Arial" w:hAnsi="Arial" w:cs="Arial"/>
          <w:sz w:val="24"/>
          <w:szCs w:val="24"/>
        </w:rPr>
        <w:t xml:space="preserve">monthly </w:t>
      </w:r>
      <w:r w:rsidR="009D1B06" w:rsidRPr="00F7244B">
        <w:rPr>
          <w:rFonts w:ascii="Arial" w:hAnsi="Arial" w:cs="Arial"/>
          <w:sz w:val="24"/>
          <w:szCs w:val="24"/>
        </w:rPr>
        <w:t xml:space="preserve">starts that were </w:t>
      </w:r>
      <w:r w:rsidR="00693C5A" w:rsidRPr="00F7244B">
        <w:rPr>
          <w:rFonts w:ascii="Arial" w:hAnsi="Arial" w:cs="Arial"/>
          <w:sz w:val="24"/>
          <w:szCs w:val="24"/>
        </w:rPr>
        <w:t>inevitably cancelled is unremarkable.</w:t>
      </w:r>
    </w:p>
    <w:p w14:paraId="249C00A5" w14:textId="77777777" w:rsidR="002A072E" w:rsidRPr="00F7244B" w:rsidRDefault="002A072E">
      <w:pPr>
        <w:rPr>
          <w:rFonts w:ascii="Arial" w:hAnsi="Arial" w:cs="Arial"/>
          <w:sz w:val="24"/>
          <w:szCs w:val="24"/>
        </w:rPr>
      </w:pPr>
    </w:p>
    <w:p w14:paraId="73FFE9C5" w14:textId="77777777" w:rsidR="002A072E" w:rsidRPr="00F7244B" w:rsidRDefault="002A072E">
      <w:pPr>
        <w:rPr>
          <w:rFonts w:ascii="Arial" w:hAnsi="Arial" w:cs="Arial"/>
          <w:sz w:val="24"/>
          <w:szCs w:val="24"/>
        </w:rPr>
      </w:pPr>
    </w:p>
    <w:p w14:paraId="08DDB4FE" w14:textId="18DB61E9" w:rsidR="002A072E" w:rsidRDefault="002A072E">
      <w:pPr>
        <w:rPr>
          <w:rFonts w:ascii="Arial" w:hAnsi="Arial" w:cs="Arial"/>
          <w:sz w:val="24"/>
          <w:szCs w:val="24"/>
        </w:rPr>
      </w:pPr>
      <w:r w:rsidRPr="00F7244B">
        <w:rPr>
          <w:rFonts w:ascii="Arial" w:hAnsi="Arial" w:cs="Arial"/>
          <w:noProof/>
          <w:sz w:val="24"/>
          <w:szCs w:val="24"/>
        </w:rPr>
        <w:drawing>
          <wp:inline distT="0" distB="0" distL="0" distR="0" wp14:anchorId="0125C903" wp14:editId="0D52762D">
            <wp:extent cx="8463700" cy="3615157"/>
            <wp:effectExtent l="0" t="0" r="0" b="4445"/>
            <wp:docPr id="4" name="Picture 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work_Unit_1_Chart_3_Bonus.jpg"/>
                    <pic:cNvPicPr/>
                  </pic:nvPicPr>
                  <pic:blipFill>
                    <a:blip r:embed="rId9">
                      <a:extLst>
                        <a:ext uri="{28A0092B-C50C-407E-A947-70E740481C1C}">
                          <a14:useLocalDpi xmlns:a14="http://schemas.microsoft.com/office/drawing/2010/main" val="0"/>
                        </a:ext>
                      </a:extLst>
                    </a:blip>
                    <a:stretch>
                      <a:fillRect/>
                    </a:stretch>
                  </pic:blipFill>
                  <pic:spPr>
                    <a:xfrm>
                      <a:off x="0" y="0"/>
                      <a:ext cx="8515122" cy="3637121"/>
                    </a:xfrm>
                    <a:prstGeom prst="rect">
                      <a:avLst/>
                    </a:prstGeom>
                  </pic:spPr>
                </pic:pic>
              </a:graphicData>
            </a:graphic>
          </wp:inline>
        </w:drawing>
      </w:r>
      <w:r w:rsidR="00D34A42">
        <w:rPr>
          <w:rFonts w:ascii="Arial" w:hAnsi="Arial" w:cs="Arial"/>
          <w:sz w:val="24"/>
          <w:szCs w:val="24"/>
        </w:rPr>
        <w:t>Initial inspection of the data reveals expected outcomes relative to projects requesting a smaller funded cost to greater success. Diving deeper though, success and failure rates for larger fund requests are approximately 40 to 50 percent for projects demanding 5,000 to 44,999 dollars.</w:t>
      </w:r>
      <w:r w:rsidR="00F74DFD">
        <w:rPr>
          <w:rFonts w:ascii="Arial" w:hAnsi="Arial" w:cs="Arial"/>
          <w:sz w:val="24"/>
          <w:szCs w:val="24"/>
        </w:rPr>
        <w:t xml:space="preserve"> Finally, no surprises: projects requiring the largest funding also have the highest rate of failure.</w:t>
      </w:r>
    </w:p>
    <w:p w14:paraId="2626E734" w14:textId="77777777" w:rsidR="005D28DB" w:rsidRPr="00F21ADC" w:rsidRDefault="005D28DB">
      <w:pPr>
        <w:rPr>
          <w:rFonts w:ascii="Arial" w:hAnsi="Arial" w:cs="Arial"/>
          <w:b/>
          <w:bCs/>
          <w:sz w:val="36"/>
          <w:szCs w:val="36"/>
        </w:rPr>
      </w:pPr>
      <w:r w:rsidRPr="00F21ADC">
        <w:rPr>
          <w:rFonts w:ascii="Arial" w:hAnsi="Arial" w:cs="Arial"/>
          <w:b/>
          <w:bCs/>
          <w:sz w:val="36"/>
          <w:szCs w:val="36"/>
        </w:rPr>
        <w:lastRenderedPageBreak/>
        <w:t>Concluding Remarks</w:t>
      </w:r>
    </w:p>
    <w:p w14:paraId="3347DE58" w14:textId="719DF300" w:rsidR="005D28DB" w:rsidRPr="00F21ADC" w:rsidRDefault="00F21ADC">
      <w:pPr>
        <w:rPr>
          <w:rFonts w:ascii="Arial" w:hAnsi="Arial" w:cs="Arial"/>
          <w:sz w:val="36"/>
          <w:szCs w:val="36"/>
        </w:rPr>
      </w:pPr>
      <w:r w:rsidRPr="00F21ADC">
        <w:rPr>
          <w:rFonts w:ascii="Arial" w:hAnsi="Arial" w:cs="Arial"/>
          <w:b/>
          <w:bCs/>
          <w:sz w:val="36"/>
          <w:szCs w:val="36"/>
        </w:rPr>
        <w:t>and</w:t>
      </w:r>
      <w:r w:rsidR="005D28DB" w:rsidRPr="00F21ADC">
        <w:rPr>
          <w:rFonts w:ascii="Arial" w:hAnsi="Arial" w:cs="Arial"/>
          <w:b/>
          <w:bCs/>
          <w:sz w:val="36"/>
          <w:szCs w:val="36"/>
        </w:rPr>
        <w:t xml:space="preserve"> recommendations</w:t>
      </w:r>
      <w:r w:rsidR="005D28DB" w:rsidRPr="00F21ADC">
        <w:rPr>
          <w:rFonts w:ascii="Arial" w:hAnsi="Arial" w:cs="Arial"/>
          <w:sz w:val="36"/>
          <w:szCs w:val="36"/>
        </w:rPr>
        <w:t>:</w:t>
      </w:r>
    </w:p>
    <w:p w14:paraId="5B5C58CC" w14:textId="00C75F9B" w:rsidR="005D28DB" w:rsidRDefault="005D28DB">
      <w:pPr>
        <w:rPr>
          <w:rFonts w:ascii="Arial" w:hAnsi="Arial" w:cs="Arial"/>
          <w:sz w:val="24"/>
          <w:szCs w:val="24"/>
        </w:rPr>
      </w:pPr>
    </w:p>
    <w:p w14:paraId="7BAB7A72" w14:textId="30049DF2" w:rsidR="005D28DB" w:rsidRPr="00F7244B" w:rsidRDefault="00851E82">
      <w:pPr>
        <w:rPr>
          <w:rFonts w:ascii="Arial" w:hAnsi="Arial" w:cs="Arial"/>
          <w:sz w:val="24"/>
          <w:szCs w:val="24"/>
        </w:rPr>
      </w:pPr>
      <w:r w:rsidRPr="00851E82">
        <w:rPr>
          <w:rFonts w:ascii="Arial" w:hAnsi="Arial" w:cs="Arial"/>
          <w:sz w:val="24"/>
          <w:szCs w:val="24"/>
        </w:rPr>
        <w:t xml:space="preserve">Given the data, careful consideration should be given to the type of projects and </w:t>
      </w:r>
      <w:r>
        <w:rPr>
          <w:rFonts w:ascii="Arial" w:hAnsi="Arial" w:cs="Arial"/>
          <w:sz w:val="24"/>
          <w:szCs w:val="24"/>
        </w:rPr>
        <w:t>investment</w:t>
      </w:r>
      <w:r w:rsidRPr="00851E82">
        <w:rPr>
          <w:rFonts w:ascii="Arial" w:hAnsi="Arial" w:cs="Arial"/>
          <w:sz w:val="24"/>
          <w:szCs w:val="24"/>
        </w:rPr>
        <w:t xml:space="preserve"> </w:t>
      </w:r>
      <w:r>
        <w:rPr>
          <w:rFonts w:ascii="Arial" w:hAnsi="Arial" w:cs="Arial"/>
          <w:sz w:val="24"/>
          <w:szCs w:val="24"/>
        </w:rPr>
        <w:t xml:space="preserve">amount </w:t>
      </w:r>
      <w:r w:rsidRPr="00851E82">
        <w:rPr>
          <w:rFonts w:ascii="Arial" w:hAnsi="Arial" w:cs="Arial"/>
          <w:sz w:val="24"/>
          <w:szCs w:val="24"/>
        </w:rPr>
        <w:t>required in order to ensure a successful funding outcome. Limited dataset sample size supports a cautious approach</w:t>
      </w:r>
      <w:r>
        <w:rPr>
          <w:rFonts w:ascii="Arial" w:hAnsi="Arial" w:cs="Arial"/>
          <w:sz w:val="24"/>
          <w:szCs w:val="24"/>
        </w:rPr>
        <w:t>, especially for ventures needed larger outlays from funding sources</w:t>
      </w:r>
      <w:r w:rsidRPr="00851E82">
        <w:rPr>
          <w:rFonts w:ascii="Arial" w:hAnsi="Arial" w:cs="Arial"/>
          <w:sz w:val="24"/>
          <w:szCs w:val="24"/>
        </w:rPr>
        <w:t>. Projects requiring more capital at start up should leverage funding through an alternative source. Consideration should be given to reaching</w:t>
      </w:r>
      <w:r>
        <w:rPr>
          <w:rFonts w:ascii="Arial" w:hAnsi="Arial" w:cs="Arial"/>
          <w:sz w:val="24"/>
          <w:szCs w:val="24"/>
        </w:rPr>
        <w:t xml:space="preserve"> a</w:t>
      </w:r>
      <w:r w:rsidRPr="00851E82">
        <w:rPr>
          <w:rFonts w:ascii="Arial" w:hAnsi="Arial" w:cs="Arial"/>
          <w:sz w:val="24"/>
          <w:szCs w:val="24"/>
        </w:rPr>
        <w:t xml:space="preserve"> carefully selected audience of investors. Venture capital, limited partnerships, or targeted institutional investors should be sourced for these larger projects to be successful</w:t>
      </w:r>
      <w:r>
        <w:rPr>
          <w:rFonts w:ascii="Arial" w:hAnsi="Arial" w:cs="Arial"/>
          <w:sz w:val="24"/>
          <w:szCs w:val="24"/>
        </w:rPr>
        <w:t>ly</w:t>
      </w:r>
      <w:r w:rsidRPr="00851E82">
        <w:rPr>
          <w:rFonts w:ascii="Arial" w:hAnsi="Arial" w:cs="Arial"/>
          <w:sz w:val="24"/>
          <w:szCs w:val="24"/>
        </w:rPr>
        <w:t xml:space="preserve"> funded. While KickStarter offers crowdsourcing through a grassroots investment approach, there are </w:t>
      </w:r>
      <w:r>
        <w:rPr>
          <w:rFonts w:ascii="Arial" w:hAnsi="Arial" w:cs="Arial"/>
          <w:sz w:val="24"/>
          <w:szCs w:val="24"/>
        </w:rPr>
        <w:t xml:space="preserve">many </w:t>
      </w:r>
      <w:r w:rsidRPr="00851E82">
        <w:rPr>
          <w:rFonts w:ascii="Arial" w:hAnsi="Arial" w:cs="Arial"/>
          <w:sz w:val="24"/>
          <w:szCs w:val="24"/>
        </w:rPr>
        <w:t xml:space="preserve">other ways to research </w:t>
      </w:r>
      <w:r>
        <w:rPr>
          <w:rFonts w:ascii="Arial" w:hAnsi="Arial" w:cs="Arial"/>
          <w:sz w:val="24"/>
          <w:szCs w:val="24"/>
        </w:rPr>
        <w:t xml:space="preserve">any given </w:t>
      </w:r>
      <w:r w:rsidRPr="00851E82">
        <w:rPr>
          <w:rFonts w:ascii="Arial" w:hAnsi="Arial" w:cs="Arial"/>
          <w:sz w:val="24"/>
          <w:szCs w:val="24"/>
        </w:rPr>
        <w:t>projects appeal to both investment and consumer markets.</w:t>
      </w:r>
    </w:p>
    <w:sectPr w:rsidR="005D28DB" w:rsidRPr="00F7244B" w:rsidSect="002A072E">
      <w:foot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9709A" w14:textId="77777777" w:rsidR="00885256" w:rsidRDefault="00885256" w:rsidP="003B3FB5">
      <w:pPr>
        <w:spacing w:after="0" w:line="240" w:lineRule="auto"/>
      </w:pPr>
      <w:r>
        <w:separator/>
      </w:r>
    </w:p>
  </w:endnote>
  <w:endnote w:type="continuationSeparator" w:id="0">
    <w:p w14:paraId="2A3C7B3F" w14:textId="77777777" w:rsidR="00885256" w:rsidRDefault="00885256" w:rsidP="003B3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EB794" w14:textId="77777777" w:rsidR="003B3FB5" w:rsidRDefault="003B3FB5" w:rsidP="003B3FB5">
    <w:pPr>
      <w:pStyle w:val="Footer"/>
      <w:jc w:val="right"/>
      <w:rPr>
        <w:rFonts w:ascii="Arial" w:hAnsi="Arial" w:cs="Arial"/>
      </w:rPr>
    </w:pPr>
  </w:p>
  <w:p w14:paraId="7CF23791" w14:textId="77777777" w:rsidR="003B3FB5" w:rsidRDefault="003B3FB5" w:rsidP="003B3FB5">
    <w:pPr>
      <w:pStyle w:val="Footer"/>
      <w:jc w:val="right"/>
      <w:rPr>
        <w:rFonts w:ascii="Arial" w:hAnsi="Arial" w:cs="Arial"/>
      </w:rPr>
    </w:pPr>
  </w:p>
  <w:p w14:paraId="7190AF76" w14:textId="6E458AFE" w:rsidR="003B3FB5" w:rsidRDefault="003B3FB5" w:rsidP="003B3FB5">
    <w:pPr>
      <w:pStyle w:val="Footer"/>
      <w:jc w:val="right"/>
      <w:rPr>
        <w:rFonts w:ascii="Arial" w:hAnsi="Arial" w:cs="Arial"/>
      </w:rPr>
    </w:pPr>
    <w:r>
      <w:rPr>
        <w:rFonts w:ascii="Arial" w:hAnsi="Arial" w:cs="Arial"/>
      </w:rPr>
      <w:t>Stegman</w:t>
    </w:r>
  </w:p>
  <w:p w14:paraId="75942A26" w14:textId="7C376648" w:rsidR="003B3FB5" w:rsidRDefault="003B3FB5" w:rsidP="003B3FB5">
    <w:pPr>
      <w:pStyle w:val="Footer"/>
      <w:jc w:val="right"/>
      <w:rPr>
        <w:rFonts w:ascii="Arial" w:hAnsi="Arial" w:cs="Arial"/>
      </w:rPr>
    </w:pPr>
    <w:r>
      <w:rPr>
        <w:rFonts w:ascii="Arial" w:hAnsi="Arial" w:cs="Arial"/>
      </w:rPr>
      <w:t>August 24, 2019</w:t>
    </w:r>
  </w:p>
  <w:p w14:paraId="745BD0CA" w14:textId="65627273" w:rsidR="00C51B01" w:rsidRDefault="00C51B01" w:rsidP="003B3FB5">
    <w:pPr>
      <w:pStyle w:val="Footer"/>
      <w:jc w:val="right"/>
      <w:rPr>
        <w:rFonts w:ascii="Arial" w:hAnsi="Arial" w:cs="Arial"/>
      </w:rPr>
    </w:pPr>
    <w:r>
      <w:rPr>
        <w:rFonts w:ascii="Arial" w:hAnsi="Arial" w:cs="Arial"/>
      </w:rPr>
      <w:t>Executive Summary</w:t>
    </w:r>
  </w:p>
  <w:p w14:paraId="14FF412D" w14:textId="213FD07E" w:rsidR="003B3FB5" w:rsidRPr="003B3FB5" w:rsidRDefault="003B3FB5" w:rsidP="003B3FB5">
    <w:pPr>
      <w:pStyle w:val="Footer"/>
      <w:jc w:val="right"/>
      <w:rPr>
        <w:rFonts w:ascii="Arial" w:hAnsi="Arial" w:cs="Arial"/>
      </w:rPr>
    </w:pPr>
    <w:r>
      <w:rPr>
        <w:noProof/>
      </w:rPr>
      <w:drawing>
        <wp:inline distT="0" distB="0" distL="0" distR="0" wp14:anchorId="282E31D7" wp14:editId="508F652F">
          <wp:extent cx="2092970" cy="466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32337" cy="475504"/>
                  </a:xfrm>
                  <a:prstGeom prst="rect">
                    <a:avLst/>
                  </a:prstGeom>
                </pic:spPr>
              </pic:pic>
            </a:graphicData>
          </a:graphic>
        </wp:inline>
      </w:drawing>
    </w:r>
  </w:p>
  <w:p w14:paraId="28D07D87" w14:textId="77777777" w:rsidR="003B3FB5" w:rsidRDefault="003B3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23325" w14:textId="77777777" w:rsidR="00885256" w:rsidRDefault="00885256" w:rsidP="003B3FB5">
      <w:pPr>
        <w:spacing w:after="0" w:line="240" w:lineRule="auto"/>
      </w:pPr>
      <w:r>
        <w:separator/>
      </w:r>
    </w:p>
  </w:footnote>
  <w:footnote w:type="continuationSeparator" w:id="0">
    <w:p w14:paraId="044F1FF7" w14:textId="77777777" w:rsidR="00885256" w:rsidRDefault="00885256" w:rsidP="003B3F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88"/>
    <w:rsid w:val="0029420B"/>
    <w:rsid w:val="002A072E"/>
    <w:rsid w:val="003B3FB5"/>
    <w:rsid w:val="005D28DB"/>
    <w:rsid w:val="005E3945"/>
    <w:rsid w:val="00693C5A"/>
    <w:rsid w:val="00851E82"/>
    <w:rsid w:val="00885256"/>
    <w:rsid w:val="008D6347"/>
    <w:rsid w:val="008F7B80"/>
    <w:rsid w:val="009D1B06"/>
    <w:rsid w:val="009F1AB3"/>
    <w:rsid w:val="00AE0A09"/>
    <w:rsid w:val="00C51B01"/>
    <w:rsid w:val="00C81488"/>
    <w:rsid w:val="00D34A42"/>
    <w:rsid w:val="00E11649"/>
    <w:rsid w:val="00E373D3"/>
    <w:rsid w:val="00F21ADC"/>
    <w:rsid w:val="00F7244B"/>
    <w:rsid w:val="00F74DFD"/>
    <w:rsid w:val="00F81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281F"/>
  <w15:chartTrackingRefBased/>
  <w15:docId w15:val="{87B6E7AE-F820-4DFC-B33C-B3727FDC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FB5"/>
  </w:style>
  <w:style w:type="paragraph" w:styleId="Footer">
    <w:name w:val="footer"/>
    <w:basedOn w:val="Normal"/>
    <w:link w:val="FooterChar"/>
    <w:uiPriority w:val="99"/>
    <w:unhideWhenUsed/>
    <w:rsid w:val="003B3F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373</Words>
  <Characters>2177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Lanius</dc:creator>
  <cp:keywords/>
  <dc:description/>
  <cp:lastModifiedBy>Tammy Lanius</cp:lastModifiedBy>
  <cp:revision>10</cp:revision>
  <dcterms:created xsi:type="dcterms:W3CDTF">2019-08-25T03:15:00Z</dcterms:created>
  <dcterms:modified xsi:type="dcterms:W3CDTF">2019-08-25T05:22:00Z</dcterms:modified>
</cp:coreProperties>
</file>