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DAECD" w14:textId="77777777" w:rsidR="009F2690" w:rsidRPr="00272F4E" w:rsidRDefault="004B053B" w:rsidP="00933A86">
      <w:pPr>
        <w:autoSpaceDE w:val="0"/>
        <w:autoSpaceDN w:val="0"/>
        <w:adjustRightInd w:val="0"/>
        <w:spacing w:beforeLines="50" w:before="156" w:afterLines="50" w:after="156" w:line="360" w:lineRule="auto"/>
        <w:jc w:val="center"/>
        <w:outlineLvl w:val="0"/>
        <w:rPr>
          <w:rFonts w:asciiTheme="minorEastAsia" w:eastAsiaTheme="minorEastAsia" w:hAnsiTheme="minorEastAsia"/>
          <w:b/>
          <w:spacing w:val="20"/>
          <w:kern w:val="0"/>
          <w:sz w:val="30"/>
          <w:szCs w:val="30"/>
        </w:rPr>
      </w:pPr>
      <w:r w:rsidRPr="00272F4E">
        <w:rPr>
          <w:rFonts w:asciiTheme="minorEastAsia" w:eastAsiaTheme="minorEastAsia" w:hAnsiTheme="minorEastAsia" w:hint="eastAsia"/>
          <w:b/>
          <w:spacing w:val="20"/>
          <w:kern w:val="0"/>
          <w:sz w:val="30"/>
          <w:szCs w:val="30"/>
        </w:rPr>
        <w:t>嘉合</w:t>
      </w:r>
      <w:proofErr w:type="gramStart"/>
      <w:r w:rsidRPr="00272F4E">
        <w:rPr>
          <w:rFonts w:asciiTheme="minorEastAsia" w:eastAsiaTheme="minorEastAsia" w:hAnsiTheme="minorEastAsia"/>
          <w:b/>
          <w:spacing w:val="20"/>
          <w:kern w:val="0"/>
          <w:sz w:val="30"/>
          <w:szCs w:val="30"/>
        </w:rPr>
        <w:t>鑫</w:t>
      </w:r>
      <w:proofErr w:type="gramEnd"/>
      <w:r w:rsidRPr="00272F4E">
        <w:rPr>
          <w:rFonts w:asciiTheme="minorEastAsia" w:eastAsiaTheme="minorEastAsia" w:hAnsiTheme="minorEastAsia"/>
          <w:b/>
          <w:spacing w:val="20"/>
          <w:kern w:val="0"/>
          <w:sz w:val="30"/>
          <w:szCs w:val="30"/>
        </w:rPr>
        <w:t>源量化对冲一号资产管理</w:t>
      </w:r>
      <w:r w:rsidRPr="00272F4E">
        <w:rPr>
          <w:rFonts w:asciiTheme="minorEastAsia" w:eastAsiaTheme="minorEastAsia" w:hAnsiTheme="minorEastAsia" w:hint="eastAsia"/>
          <w:b/>
          <w:spacing w:val="20"/>
          <w:kern w:val="0"/>
          <w:sz w:val="30"/>
          <w:szCs w:val="30"/>
        </w:rPr>
        <w:t>计划</w:t>
      </w:r>
      <w:r w:rsidR="009F2690" w:rsidRPr="00272F4E">
        <w:rPr>
          <w:rFonts w:asciiTheme="minorEastAsia" w:eastAsiaTheme="minorEastAsia" w:hAnsiTheme="minorEastAsia"/>
          <w:b/>
          <w:spacing w:val="20"/>
          <w:kern w:val="0"/>
          <w:sz w:val="30"/>
          <w:szCs w:val="30"/>
        </w:rPr>
        <w:t>要素表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417"/>
        <w:gridCol w:w="7513"/>
      </w:tblGrid>
      <w:tr w:rsidR="009F2690" w:rsidRPr="003D2E2D" w14:paraId="2E24A3AD" w14:textId="77777777" w:rsidTr="006A2C98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A87CC6F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产品名称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8F9F" w14:textId="77777777" w:rsidR="009F2690" w:rsidRPr="003D2E2D" w:rsidRDefault="009F1EE6" w:rsidP="009F1EE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9F1EE6">
              <w:rPr>
                <w:rFonts w:hint="eastAsia"/>
                <w:szCs w:val="21"/>
              </w:rPr>
              <w:t>嘉合</w:t>
            </w:r>
            <w:proofErr w:type="gramStart"/>
            <w:r w:rsidRPr="009F1EE6">
              <w:rPr>
                <w:szCs w:val="21"/>
              </w:rPr>
              <w:t>鑫</w:t>
            </w:r>
            <w:proofErr w:type="gramEnd"/>
            <w:r w:rsidRPr="009F1EE6">
              <w:rPr>
                <w:szCs w:val="21"/>
              </w:rPr>
              <w:t>源量化对冲一号资产管理</w:t>
            </w:r>
            <w:r w:rsidRPr="009F1EE6">
              <w:rPr>
                <w:rFonts w:hint="eastAsia"/>
                <w:szCs w:val="21"/>
              </w:rPr>
              <w:t>计划</w:t>
            </w:r>
          </w:p>
        </w:tc>
      </w:tr>
      <w:tr w:rsidR="009F2690" w:rsidRPr="003D2E2D" w14:paraId="788386EB" w14:textId="77777777" w:rsidTr="006A2C98">
        <w:trPr>
          <w:trHeight w:val="220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EA7E050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产品类型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4D4F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基金管理公司特定客户资产管理计划</w:t>
            </w:r>
          </w:p>
        </w:tc>
      </w:tr>
      <w:tr w:rsidR="009F2690" w:rsidRPr="003D2E2D" w14:paraId="4E389D9E" w14:textId="77777777" w:rsidTr="006A2C98">
        <w:trPr>
          <w:trHeight w:val="232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8DBE08D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管理人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72BD" w14:textId="77777777" w:rsidR="009F2690" w:rsidRPr="003D2E2D" w:rsidRDefault="009F1EE6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嘉合基金</w:t>
            </w:r>
            <w:proofErr w:type="gramEnd"/>
            <w:r>
              <w:rPr>
                <w:szCs w:val="21"/>
              </w:rPr>
              <w:t>管理有限公司</w:t>
            </w:r>
          </w:p>
        </w:tc>
      </w:tr>
      <w:tr w:rsidR="009F2690" w:rsidRPr="003D2E2D" w14:paraId="57ADEF5D" w14:textId="77777777" w:rsidTr="006A2C98">
        <w:trPr>
          <w:trHeight w:val="264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D0391E2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托管人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82FD" w14:textId="77777777" w:rsidR="009F2690" w:rsidRPr="003D2E2D" w:rsidRDefault="009F1EE6" w:rsidP="004C011B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招商</w:t>
            </w:r>
            <w:r>
              <w:rPr>
                <w:szCs w:val="21"/>
              </w:rPr>
              <w:t>银行</w:t>
            </w:r>
            <w:r w:rsidR="009F2690" w:rsidRPr="003D2E2D">
              <w:rPr>
                <w:rFonts w:hint="eastAsia"/>
                <w:szCs w:val="21"/>
              </w:rPr>
              <w:t>股份有限公司</w:t>
            </w:r>
            <w:r w:rsidR="004C011B">
              <w:rPr>
                <w:rFonts w:hint="eastAsia"/>
                <w:szCs w:val="21"/>
              </w:rPr>
              <w:t>XX</w:t>
            </w:r>
            <w:r w:rsidR="009854FA">
              <w:rPr>
                <w:szCs w:val="21"/>
              </w:rPr>
              <w:t>分行</w:t>
            </w:r>
          </w:p>
        </w:tc>
      </w:tr>
      <w:tr w:rsidR="009F2690" w:rsidRPr="003D2E2D" w14:paraId="55D7319A" w14:textId="77777777" w:rsidTr="006A2C98">
        <w:trPr>
          <w:trHeight w:val="267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6C49941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推广机构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1D9D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优先级份额：</w:t>
            </w:r>
            <w:r w:rsidR="009F1EE6">
              <w:rPr>
                <w:szCs w:val="21"/>
              </w:rPr>
              <w:t>公司直销</w:t>
            </w:r>
            <w:r w:rsidR="009F1EE6">
              <w:rPr>
                <w:rFonts w:hint="eastAsia"/>
                <w:szCs w:val="21"/>
              </w:rPr>
              <w:t>、</w:t>
            </w:r>
            <w:r w:rsidRPr="003D2E2D">
              <w:rPr>
                <w:rFonts w:hint="eastAsia"/>
                <w:szCs w:val="21"/>
              </w:rPr>
              <w:t>招商银行股份有限公司</w:t>
            </w:r>
            <w:r w:rsidRPr="003D2E2D">
              <w:rPr>
                <w:szCs w:val="21"/>
              </w:rPr>
              <w:t>代销</w:t>
            </w:r>
          </w:p>
          <w:p w14:paraId="26D5096C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进取级份额：</w:t>
            </w:r>
            <w:r w:rsidR="009F1EE6">
              <w:rPr>
                <w:szCs w:val="21"/>
              </w:rPr>
              <w:t>公司直销</w:t>
            </w:r>
          </w:p>
        </w:tc>
      </w:tr>
      <w:tr w:rsidR="009F2690" w:rsidRPr="003D2E2D" w14:paraId="10C28CEC" w14:textId="77777777" w:rsidTr="006A2C98">
        <w:trPr>
          <w:trHeight w:val="466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3B96B1B8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投资目标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B258" w14:textId="77777777" w:rsidR="009F2690" w:rsidRPr="003D2E2D" w:rsidRDefault="006A46D1" w:rsidP="006A46D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控制市场风险暴露的前提下，运用</w:t>
            </w:r>
            <w:r>
              <w:rPr>
                <w:rFonts w:hint="eastAsia"/>
                <w:szCs w:val="21"/>
              </w:rPr>
              <w:t>股指期货</w:t>
            </w:r>
            <w:r>
              <w:rPr>
                <w:szCs w:val="21"/>
              </w:rPr>
              <w:t>等</w:t>
            </w:r>
            <w:r>
              <w:rPr>
                <w:rFonts w:hint="eastAsia"/>
                <w:szCs w:val="21"/>
              </w:rPr>
              <w:t>各种</w:t>
            </w:r>
            <w:r>
              <w:rPr>
                <w:szCs w:val="21"/>
              </w:rPr>
              <w:t>金融工具</w:t>
            </w:r>
            <w:r>
              <w:rPr>
                <w:rFonts w:hint="eastAsia"/>
                <w:szCs w:val="21"/>
              </w:rPr>
              <w:t>力争为</w:t>
            </w:r>
            <w:r>
              <w:rPr>
                <w:szCs w:val="21"/>
              </w:rPr>
              <w:t>投资人</w:t>
            </w:r>
            <w:r>
              <w:rPr>
                <w:rFonts w:hint="eastAsia"/>
                <w:szCs w:val="21"/>
              </w:rPr>
              <w:t>创造</w:t>
            </w:r>
            <w:r>
              <w:rPr>
                <w:szCs w:val="21"/>
              </w:rPr>
              <w:t>较高的收益。</w:t>
            </w:r>
          </w:p>
        </w:tc>
      </w:tr>
      <w:tr w:rsidR="009F2690" w:rsidRPr="003D2E2D" w14:paraId="7E5ADD67" w14:textId="77777777" w:rsidTr="006A2C98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2A500FF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投资策略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E025" w14:textId="77777777" w:rsidR="009F2690" w:rsidRPr="003D2E2D" w:rsidRDefault="009F2690" w:rsidP="0049417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proofErr w:type="gramStart"/>
            <w:r w:rsidRPr="003D2E2D">
              <w:rPr>
                <w:szCs w:val="21"/>
              </w:rPr>
              <w:t>本资产</w:t>
            </w:r>
            <w:proofErr w:type="gramEnd"/>
            <w:r w:rsidRPr="003D2E2D">
              <w:rPr>
                <w:szCs w:val="21"/>
              </w:rPr>
              <w:t>管理计划的投资策略包括股指期现对冲策略、股指期货</w:t>
            </w:r>
            <w:r w:rsidR="00494175">
              <w:rPr>
                <w:rFonts w:hint="eastAsia"/>
                <w:szCs w:val="21"/>
              </w:rPr>
              <w:t>投资</w:t>
            </w:r>
            <w:r w:rsidRPr="003D2E2D">
              <w:rPr>
                <w:szCs w:val="21"/>
              </w:rPr>
              <w:t>策略、</w:t>
            </w:r>
            <w:r w:rsidR="000416D6">
              <w:rPr>
                <w:rFonts w:hint="eastAsia"/>
                <w:szCs w:val="21"/>
              </w:rPr>
              <w:t>股票</w:t>
            </w:r>
            <w:r w:rsidR="000416D6">
              <w:rPr>
                <w:szCs w:val="21"/>
              </w:rPr>
              <w:t>投资策略、</w:t>
            </w:r>
            <w:r w:rsidRPr="003D2E2D">
              <w:rPr>
                <w:szCs w:val="21"/>
              </w:rPr>
              <w:t>固定收益证券投资策略等。</w:t>
            </w:r>
          </w:p>
        </w:tc>
      </w:tr>
      <w:tr w:rsidR="009F2690" w:rsidRPr="003D2E2D" w14:paraId="5868375F" w14:textId="77777777" w:rsidTr="006A2C98">
        <w:trPr>
          <w:trHeight w:val="542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EECC32F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投资范围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CB32" w14:textId="77777777" w:rsidR="009F2690" w:rsidRPr="003B3C21" w:rsidRDefault="003B3C21" w:rsidP="003B3C2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B3C21">
              <w:rPr>
                <w:rFonts w:hint="eastAsia"/>
                <w:szCs w:val="21"/>
              </w:rPr>
              <w:t>股票（包括在创业板上市的股票及上市公司非公开发行股票）、</w:t>
            </w:r>
            <w:r w:rsidR="00AE2600">
              <w:rPr>
                <w:rFonts w:hint="eastAsia"/>
                <w:szCs w:val="21"/>
              </w:rPr>
              <w:t>股指</w:t>
            </w:r>
            <w:r w:rsidR="00AE2600">
              <w:rPr>
                <w:szCs w:val="21"/>
              </w:rPr>
              <w:t>期货、权证、</w:t>
            </w:r>
            <w:r w:rsidRPr="003B3C21">
              <w:rPr>
                <w:rFonts w:hint="eastAsia"/>
                <w:szCs w:val="21"/>
              </w:rPr>
              <w:t>证券投资基金、</w:t>
            </w:r>
            <w:r w:rsidR="00AE2600">
              <w:rPr>
                <w:rFonts w:hint="eastAsia"/>
                <w:szCs w:val="21"/>
              </w:rPr>
              <w:t>集合</w:t>
            </w:r>
            <w:r w:rsidR="00AE2600">
              <w:rPr>
                <w:szCs w:val="21"/>
              </w:rPr>
              <w:t>资产管理计划、</w:t>
            </w:r>
            <w:r w:rsidRPr="003B3C21">
              <w:rPr>
                <w:rFonts w:hint="eastAsia"/>
                <w:szCs w:val="21"/>
              </w:rPr>
              <w:t>固定收益品种（包括债券逆回购、货币市场基金、银行存款等）、现金。</w:t>
            </w:r>
          </w:p>
        </w:tc>
      </w:tr>
      <w:tr w:rsidR="009F2690" w:rsidRPr="003D2E2D" w14:paraId="36DCE497" w14:textId="77777777" w:rsidTr="006A2C98">
        <w:trPr>
          <w:trHeight w:val="1043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31211B2B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资产配置比例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0A6D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（</w:t>
            </w:r>
            <w:r w:rsidRPr="003D2E2D">
              <w:rPr>
                <w:szCs w:val="21"/>
              </w:rPr>
              <w:t>1</w:t>
            </w:r>
            <w:r w:rsidRPr="003D2E2D">
              <w:rPr>
                <w:szCs w:val="21"/>
              </w:rPr>
              <w:t>）</w:t>
            </w:r>
            <w:r w:rsidRPr="003D2E2D">
              <w:rPr>
                <w:szCs w:val="21"/>
              </w:rPr>
              <w:t xml:space="preserve"> </w:t>
            </w:r>
            <w:r w:rsidR="00253755">
              <w:rPr>
                <w:rFonts w:hint="eastAsia"/>
                <w:szCs w:val="21"/>
              </w:rPr>
              <w:t>股指</w:t>
            </w:r>
            <w:r w:rsidR="00253755">
              <w:rPr>
                <w:szCs w:val="21"/>
              </w:rPr>
              <w:t>期货、</w:t>
            </w:r>
            <w:r w:rsidR="00253755">
              <w:rPr>
                <w:rFonts w:hint="eastAsia"/>
                <w:szCs w:val="21"/>
              </w:rPr>
              <w:t>权证</w:t>
            </w:r>
            <w:r w:rsidRPr="003D2E2D">
              <w:rPr>
                <w:szCs w:val="21"/>
              </w:rPr>
              <w:t>及其他金融衍生品：</w:t>
            </w:r>
            <w:r w:rsidRPr="003D2E2D">
              <w:rPr>
                <w:szCs w:val="21"/>
              </w:rPr>
              <w:t>0%</w:t>
            </w:r>
            <w:r w:rsidRPr="003D2E2D">
              <w:rPr>
                <w:szCs w:val="21"/>
              </w:rPr>
              <w:t>～</w:t>
            </w:r>
            <w:r w:rsidRPr="003D2E2D">
              <w:rPr>
                <w:szCs w:val="21"/>
              </w:rPr>
              <w:t>90%</w:t>
            </w:r>
            <w:r w:rsidRPr="003D2E2D">
              <w:rPr>
                <w:szCs w:val="21"/>
              </w:rPr>
              <w:t>；</w:t>
            </w:r>
            <w:r w:rsidRPr="003D2E2D">
              <w:rPr>
                <w:szCs w:val="21"/>
              </w:rPr>
              <w:t xml:space="preserve"> </w:t>
            </w:r>
          </w:p>
          <w:p w14:paraId="74C8CE36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（</w:t>
            </w:r>
            <w:r w:rsidRPr="003D2E2D">
              <w:rPr>
                <w:szCs w:val="21"/>
              </w:rPr>
              <w:t>2</w:t>
            </w:r>
            <w:r w:rsidRPr="003D2E2D">
              <w:rPr>
                <w:szCs w:val="21"/>
              </w:rPr>
              <w:t>）</w:t>
            </w:r>
            <w:r w:rsidRPr="003D2E2D">
              <w:rPr>
                <w:szCs w:val="21"/>
              </w:rPr>
              <w:t xml:space="preserve"> </w:t>
            </w:r>
            <w:r w:rsidRPr="003D2E2D">
              <w:rPr>
                <w:szCs w:val="21"/>
              </w:rPr>
              <w:t>股票、证券投资基金、</w:t>
            </w:r>
            <w:r w:rsidR="00BF7142">
              <w:rPr>
                <w:rFonts w:hint="eastAsia"/>
                <w:szCs w:val="21"/>
              </w:rPr>
              <w:t>固定收益</w:t>
            </w:r>
            <w:r w:rsidR="00BF7142">
              <w:rPr>
                <w:szCs w:val="21"/>
              </w:rPr>
              <w:t>品种</w:t>
            </w:r>
            <w:r w:rsidRPr="003D2E2D">
              <w:rPr>
                <w:szCs w:val="21"/>
              </w:rPr>
              <w:t>：</w:t>
            </w:r>
            <w:r w:rsidRPr="003D2E2D">
              <w:rPr>
                <w:szCs w:val="21"/>
              </w:rPr>
              <w:t>0%</w:t>
            </w:r>
            <w:r w:rsidRPr="003D2E2D">
              <w:rPr>
                <w:szCs w:val="21"/>
              </w:rPr>
              <w:t>～</w:t>
            </w:r>
            <w:r w:rsidRPr="003D2E2D">
              <w:rPr>
                <w:szCs w:val="21"/>
              </w:rPr>
              <w:t>90%</w:t>
            </w:r>
            <w:r w:rsidRPr="003D2E2D">
              <w:rPr>
                <w:szCs w:val="21"/>
              </w:rPr>
              <w:t>；</w:t>
            </w:r>
          </w:p>
          <w:p w14:paraId="569BECEB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（</w:t>
            </w:r>
            <w:r w:rsidRPr="003D2E2D">
              <w:rPr>
                <w:szCs w:val="21"/>
              </w:rPr>
              <w:t>3</w:t>
            </w:r>
            <w:r w:rsidRPr="003D2E2D">
              <w:rPr>
                <w:szCs w:val="21"/>
              </w:rPr>
              <w:t>）</w:t>
            </w:r>
            <w:r w:rsidRPr="003D2E2D">
              <w:rPr>
                <w:szCs w:val="21"/>
              </w:rPr>
              <w:t xml:space="preserve"> </w:t>
            </w:r>
            <w:r w:rsidRPr="003D2E2D">
              <w:rPr>
                <w:szCs w:val="21"/>
              </w:rPr>
              <w:t>现金、银行存款：</w:t>
            </w:r>
            <w:r w:rsidRPr="003D2E2D">
              <w:rPr>
                <w:szCs w:val="21"/>
              </w:rPr>
              <w:t>0%</w:t>
            </w:r>
            <w:r w:rsidRPr="003D2E2D">
              <w:rPr>
                <w:szCs w:val="21"/>
              </w:rPr>
              <w:t>～</w:t>
            </w:r>
            <w:r w:rsidRPr="003D2E2D">
              <w:rPr>
                <w:szCs w:val="21"/>
              </w:rPr>
              <w:t>100%</w:t>
            </w:r>
            <w:r w:rsidRPr="003D2E2D">
              <w:rPr>
                <w:szCs w:val="21"/>
              </w:rPr>
              <w:t>。</w:t>
            </w:r>
          </w:p>
        </w:tc>
      </w:tr>
      <w:tr w:rsidR="009F2690" w:rsidRPr="003D2E2D" w14:paraId="137C93F7" w14:textId="77777777" w:rsidTr="006A2C98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33A39F0" w14:textId="77777777" w:rsidR="00700C39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产品分级</w:t>
            </w:r>
          </w:p>
          <w:p w14:paraId="7BCD9828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及收益分配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2CEC" w14:textId="3F6F7677" w:rsidR="00814355" w:rsidRDefault="009F2690" w:rsidP="0081435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proofErr w:type="gramStart"/>
            <w:r w:rsidRPr="003D2E2D">
              <w:rPr>
                <w:szCs w:val="21"/>
              </w:rPr>
              <w:t>本资产</w:t>
            </w:r>
            <w:proofErr w:type="gramEnd"/>
            <w:r w:rsidRPr="003D2E2D">
              <w:rPr>
                <w:szCs w:val="21"/>
              </w:rPr>
              <w:t>管理计划优先级份额和进取级份额之比不超过</w:t>
            </w:r>
            <w:r w:rsidR="00E9758D">
              <w:rPr>
                <w:rFonts w:hint="eastAsia"/>
                <w:szCs w:val="21"/>
              </w:rPr>
              <w:t>4</w:t>
            </w:r>
            <w:r w:rsidRPr="003D2E2D">
              <w:rPr>
                <w:szCs w:val="21"/>
              </w:rPr>
              <w:t>:1</w:t>
            </w:r>
            <w:r w:rsidRPr="003D2E2D">
              <w:rPr>
                <w:szCs w:val="21"/>
              </w:rPr>
              <w:t>。本计划中进取级份额以其</w:t>
            </w:r>
            <w:r w:rsidR="005761A3">
              <w:rPr>
                <w:rFonts w:hint="eastAsia"/>
                <w:szCs w:val="21"/>
              </w:rPr>
              <w:t>所持的份额资产</w:t>
            </w:r>
            <w:r w:rsidRPr="003D2E2D">
              <w:rPr>
                <w:szCs w:val="21"/>
              </w:rPr>
              <w:t>为限</w:t>
            </w:r>
            <w:r w:rsidR="005761A3">
              <w:rPr>
                <w:rFonts w:hint="eastAsia"/>
                <w:szCs w:val="21"/>
              </w:rPr>
              <w:t>承担亏损</w:t>
            </w:r>
            <w:r w:rsidRPr="003D2E2D">
              <w:rPr>
                <w:szCs w:val="21"/>
              </w:rPr>
              <w:t>。</w:t>
            </w:r>
          </w:p>
          <w:p w14:paraId="26EF0CEA" w14:textId="77777777" w:rsidR="00A507D1" w:rsidRDefault="00B758FA" w:rsidP="00A507D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 w:rsidR="00A507D1">
              <w:rPr>
                <w:rFonts w:hint="eastAsia"/>
                <w:szCs w:val="21"/>
              </w:rPr>
              <w:t>约定</w:t>
            </w:r>
            <w:r w:rsidR="00A507D1">
              <w:rPr>
                <w:szCs w:val="21"/>
              </w:rPr>
              <w:t>收益为</w:t>
            </w:r>
            <w:r w:rsidR="0055191B">
              <w:rPr>
                <w:rFonts w:hint="eastAsia"/>
                <w:szCs w:val="21"/>
              </w:rPr>
              <w:t>6.5</w:t>
            </w:r>
            <w:r w:rsidR="00A507D1">
              <w:rPr>
                <w:szCs w:val="21"/>
              </w:rPr>
              <w:t>%</w:t>
            </w:r>
            <w:r w:rsidR="00A507D1">
              <w:rPr>
                <w:szCs w:val="21"/>
              </w:rPr>
              <w:t>。</w:t>
            </w:r>
          </w:p>
          <w:p w14:paraId="3BCF22CF" w14:textId="77777777" w:rsidR="00544BB4" w:rsidRDefault="009F2690" w:rsidP="00544BB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优先级份额与进取级份额收益分配占比如下：</w:t>
            </w:r>
          </w:p>
          <w:p w14:paraId="147722B6" w14:textId="77777777" w:rsidR="00CE3EF5" w:rsidRDefault="009F2690" w:rsidP="00CE3EF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假设本计划</w:t>
            </w:r>
            <w:proofErr w:type="gramStart"/>
            <w:r w:rsidRPr="003D2E2D">
              <w:rPr>
                <w:szCs w:val="21"/>
              </w:rPr>
              <w:t>自运作</w:t>
            </w:r>
            <w:proofErr w:type="gramEnd"/>
            <w:r w:rsidRPr="003D2E2D">
              <w:rPr>
                <w:szCs w:val="21"/>
              </w:rPr>
              <w:t>起始日满</w:t>
            </w:r>
            <w:r w:rsidRPr="003D2E2D">
              <w:rPr>
                <w:szCs w:val="21"/>
              </w:rPr>
              <w:t>1</w:t>
            </w:r>
            <w:r w:rsidRPr="003D2E2D">
              <w:rPr>
                <w:szCs w:val="21"/>
              </w:rPr>
              <w:t>年时，扣除业绩报酬（如有）后的收益率为</w:t>
            </w:r>
            <w:r w:rsidRPr="003D2E2D">
              <w:rPr>
                <w:szCs w:val="21"/>
              </w:rPr>
              <w:t>X</w:t>
            </w:r>
            <w:r w:rsidRPr="003D2E2D">
              <w:rPr>
                <w:szCs w:val="21"/>
              </w:rPr>
              <w:t>，那么</w:t>
            </w:r>
          </w:p>
          <w:p w14:paraId="397B6CD8" w14:textId="77777777" w:rsidR="00CE3EF5" w:rsidRDefault="004D6DB1" w:rsidP="00CE3EF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0%&lt;X≤</w:t>
            </w:r>
            <w:r w:rsidR="0055191B">
              <w:rPr>
                <w:rFonts w:hint="eastAsia"/>
                <w:szCs w:val="21"/>
              </w:rPr>
              <w:t>6.5</w:t>
            </w:r>
            <w:r w:rsidR="009F2690" w:rsidRPr="003D2E2D">
              <w:rPr>
                <w:szCs w:val="21"/>
              </w:rPr>
              <w:t>%</w:t>
            </w:r>
            <w:r w:rsidR="009F2690" w:rsidRPr="003D2E2D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份额收益为</w:t>
            </w:r>
            <w:r w:rsidR="0055191B">
              <w:rPr>
                <w:rFonts w:hint="eastAsia"/>
                <w:szCs w:val="21"/>
              </w:rPr>
              <w:t>6.5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进取级份额</w:t>
            </w:r>
            <w:r>
              <w:rPr>
                <w:szCs w:val="21"/>
              </w:rPr>
              <w:t>承担补偿责任</w:t>
            </w:r>
            <w:r w:rsidR="009F2690" w:rsidRPr="003D2E2D">
              <w:rPr>
                <w:szCs w:val="21"/>
              </w:rPr>
              <w:t>；</w:t>
            </w:r>
          </w:p>
          <w:p w14:paraId="4F0B744F" w14:textId="77777777" w:rsidR="00B31044" w:rsidRDefault="0055191B" w:rsidP="00B3104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6.5</w:t>
            </w:r>
            <w:r w:rsidR="009F2690" w:rsidRPr="003D2E2D">
              <w:rPr>
                <w:szCs w:val="21"/>
              </w:rPr>
              <w:t>%&lt;X</w:t>
            </w:r>
            <w:r w:rsidR="009F2690" w:rsidRPr="003D2E2D">
              <w:rPr>
                <w:szCs w:val="21"/>
              </w:rPr>
              <w:t>，</w:t>
            </w:r>
            <w:r w:rsidR="004D6DB1">
              <w:rPr>
                <w:rFonts w:hint="eastAsia"/>
                <w:szCs w:val="21"/>
              </w:rPr>
              <w:t>优先级</w:t>
            </w:r>
            <w:r w:rsidR="004D6DB1">
              <w:rPr>
                <w:szCs w:val="21"/>
              </w:rPr>
              <w:t>份额收益为</w:t>
            </w:r>
            <w:r>
              <w:rPr>
                <w:rFonts w:hint="eastAsia"/>
                <w:szCs w:val="21"/>
              </w:rPr>
              <w:t>6.5</w:t>
            </w:r>
            <w:r w:rsidR="004D6DB1">
              <w:rPr>
                <w:szCs w:val="21"/>
              </w:rPr>
              <w:t>%</w:t>
            </w:r>
            <w:r w:rsidR="004D6DB1">
              <w:rPr>
                <w:szCs w:val="21"/>
              </w:rPr>
              <w:t>，</w:t>
            </w:r>
            <w:r w:rsidR="004D6DB1">
              <w:rPr>
                <w:rFonts w:hint="eastAsia"/>
                <w:szCs w:val="21"/>
              </w:rPr>
              <w:t>进取级份额享受</w:t>
            </w:r>
            <w:r w:rsidR="004D6DB1">
              <w:rPr>
                <w:szCs w:val="21"/>
              </w:rPr>
              <w:t>超</w:t>
            </w:r>
            <w:r w:rsidR="004D6DB1">
              <w:rPr>
                <w:rFonts w:hint="eastAsia"/>
                <w:szCs w:val="21"/>
              </w:rPr>
              <w:t>过</w:t>
            </w:r>
            <w:r w:rsidR="00466CBB">
              <w:rPr>
                <w:rFonts w:hint="eastAsia"/>
                <w:szCs w:val="21"/>
              </w:rPr>
              <w:t>6.5</w:t>
            </w:r>
            <w:r w:rsidR="004D6DB1">
              <w:rPr>
                <w:szCs w:val="21"/>
              </w:rPr>
              <w:t>%</w:t>
            </w:r>
            <w:r w:rsidR="004D6DB1">
              <w:rPr>
                <w:szCs w:val="21"/>
              </w:rPr>
              <w:t>的收益</w:t>
            </w:r>
            <w:r w:rsidR="009F2690" w:rsidRPr="003D2E2D">
              <w:rPr>
                <w:szCs w:val="21"/>
              </w:rPr>
              <w:t>；</w:t>
            </w:r>
          </w:p>
          <w:p w14:paraId="0579CC60" w14:textId="77777777" w:rsidR="00457779" w:rsidRDefault="009F2690" w:rsidP="00B3104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如</w:t>
            </w:r>
          </w:p>
          <w:p w14:paraId="2CA231E7" w14:textId="77777777" w:rsidR="00B31044" w:rsidRDefault="009F2690" w:rsidP="00B3104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X=</w:t>
            </w:r>
            <w:r w:rsidR="00B31044">
              <w:rPr>
                <w:szCs w:val="21"/>
              </w:rPr>
              <w:t>0</w:t>
            </w:r>
            <w:r w:rsidRPr="003D2E2D">
              <w:rPr>
                <w:szCs w:val="21"/>
              </w:rPr>
              <w:t>%</w:t>
            </w:r>
            <w:r w:rsidRPr="003D2E2D">
              <w:rPr>
                <w:szCs w:val="21"/>
              </w:rPr>
              <w:t>时，优先级份额收益率为</w:t>
            </w:r>
            <w:r w:rsidR="0055191B">
              <w:rPr>
                <w:rFonts w:hint="eastAsia"/>
                <w:szCs w:val="21"/>
              </w:rPr>
              <w:t>6.5</w:t>
            </w:r>
            <w:r w:rsidRPr="003D2E2D">
              <w:rPr>
                <w:szCs w:val="21"/>
              </w:rPr>
              <w:t>%</w:t>
            </w:r>
            <w:r w:rsidRPr="003D2E2D">
              <w:rPr>
                <w:szCs w:val="21"/>
              </w:rPr>
              <w:t>，</w:t>
            </w:r>
            <w:r w:rsidR="00B31044">
              <w:rPr>
                <w:rFonts w:hint="eastAsia"/>
                <w:szCs w:val="21"/>
              </w:rPr>
              <w:t>进取级</w:t>
            </w:r>
            <w:r w:rsidR="00B31044">
              <w:rPr>
                <w:szCs w:val="21"/>
              </w:rPr>
              <w:t>份额收益率为</w:t>
            </w:r>
            <w:r w:rsidR="00457779">
              <w:rPr>
                <w:rFonts w:hint="eastAsia"/>
                <w:szCs w:val="21"/>
              </w:rPr>
              <w:t>-</w:t>
            </w:r>
            <w:r w:rsidR="00457779">
              <w:rPr>
                <w:szCs w:val="21"/>
              </w:rPr>
              <w:t>2</w:t>
            </w:r>
            <w:r w:rsidR="0055191B">
              <w:rPr>
                <w:rFonts w:hint="eastAsia"/>
                <w:szCs w:val="21"/>
              </w:rPr>
              <w:t>6</w:t>
            </w:r>
            <w:r w:rsidR="00457779">
              <w:rPr>
                <w:szCs w:val="21"/>
              </w:rPr>
              <w:t>%</w:t>
            </w:r>
          </w:p>
          <w:p w14:paraId="65613924" w14:textId="77777777" w:rsidR="00B31044" w:rsidRDefault="00457779" w:rsidP="00B3104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X=5</w:t>
            </w:r>
            <w:r w:rsidR="009F2690" w:rsidRPr="003D2E2D">
              <w:rPr>
                <w:szCs w:val="21"/>
              </w:rPr>
              <w:t>%</w:t>
            </w:r>
            <w:r w:rsidR="009F2690" w:rsidRPr="003D2E2D">
              <w:rPr>
                <w:szCs w:val="21"/>
              </w:rPr>
              <w:t>时，优先级份额收益率为</w:t>
            </w:r>
            <w:r w:rsidR="0055191B">
              <w:rPr>
                <w:rFonts w:hint="eastAsia"/>
                <w:szCs w:val="21"/>
              </w:rPr>
              <w:t>6.5</w:t>
            </w:r>
            <w:r w:rsidR="009F2690" w:rsidRPr="003D2E2D">
              <w:rPr>
                <w:szCs w:val="21"/>
              </w:rPr>
              <w:t>%</w:t>
            </w:r>
            <w:r w:rsidR="009F2690" w:rsidRPr="003D2E2D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进取级</w:t>
            </w:r>
            <w:r>
              <w:rPr>
                <w:szCs w:val="21"/>
              </w:rPr>
              <w:t>份额收益率为</w:t>
            </w:r>
            <w:r>
              <w:rPr>
                <w:rFonts w:hint="eastAsia"/>
                <w:szCs w:val="21"/>
              </w:rPr>
              <w:t>-</w:t>
            </w:r>
            <w:r w:rsidR="0055191B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%</w:t>
            </w:r>
          </w:p>
          <w:p w14:paraId="5DDA0C31" w14:textId="77777777" w:rsidR="00457779" w:rsidRDefault="00457779" w:rsidP="00B3104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X=</w:t>
            </w:r>
            <w:r w:rsidR="0055191B">
              <w:rPr>
                <w:rFonts w:hint="eastAsia"/>
                <w:szCs w:val="21"/>
              </w:rPr>
              <w:t>6.5</w:t>
            </w:r>
            <w:r w:rsidR="009F2690" w:rsidRPr="003D2E2D"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时</w:t>
            </w:r>
            <w:r w:rsidR="009F2690" w:rsidRPr="003D2E2D">
              <w:rPr>
                <w:szCs w:val="21"/>
              </w:rPr>
              <w:t>，优先级份额收益率为</w:t>
            </w:r>
            <w:r w:rsidR="0055191B">
              <w:rPr>
                <w:rFonts w:hint="eastAsia"/>
                <w:szCs w:val="21"/>
              </w:rPr>
              <w:t>6.5</w:t>
            </w:r>
            <w:r w:rsidR="009F2690" w:rsidRPr="003D2E2D">
              <w:rPr>
                <w:szCs w:val="21"/>
              </w:rPr>
              <w:t>%</w:t>
            </w:r>
            <w:r w:rsidR="009F2690" w:rsidRPr="003D2E2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进取级</w:t>
            </w:r>
            <w:r>
              <w:rPr>
                <w:szCs w:val="21"/>
              </w:rPr>
              <w:t>份额</w:t>
            </w:r>
            <w:r>
              <w:rPr>
                <w:rFonts w:hint="eastAsia"/>
                <w:szCs w:val="21"/>
              </w:rPr>
              <w:t>收益率</w:t>
            </w:r>
            <w:r>
              <w:rPr>
                <w:szCs w:val="21"/>
              </w:rPr>
              <w:t>为</w:t>
            </w:r>
            <w:r w:rsidR="0055191B">
              <w:rPr>
                <w:rFonts w:hint="eastAsia"/>
                <w:szCs w:val="21"/>
              </w:rPr>
              <w:t>6.5</w:t>
            </w:r>
            <w:r>
              <w:rPr>
                <w:szCs w:val="21"/>
              </w:rPr>
              <w:t>%</w:t>
            </w:r>
          </w:p>
          <w:p w14:paraId="1112A625" w14:textId="77777777" w:rsidR="009F2690" w:rsidRPr="003D2E2D" w:rsidRDefault="00457779" w:rsidP="00457779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X=10</w:t>
            </w:r>
            <w:r w:rsidR="009F2690" w:rsidRPr="003D2E2D"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时</w:t>
            </w:r>
            <w:r w:rsidR="009F2690" w:rsidRPr="003D2E2D">
              <w:rPr>
                <w:rFonts w:hint="eastAsia"/>
                <w:szCs w:val="21"/>
              </w:rPr>
              <w:t>，优先级份额收益率为</w:t>
            </w:r>
            <w:r w:rsidR="0055191B">
              <w:rPr>
                <w:rFonts w:hint="eastAsia"/>
                <w:szCs w:val="21"/>
              </w:rPr>
              <w:t>6.5</w:t>
            </w:r>
            <w:r w:rsidR="009F2690" w:rsidRPr="003D2E2D"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，进取级</w:t>
            </w:r>
            <w:r>
              <w:rPr>
                <w:szCs w:val="21"/>
              </w:rPr>
              <w:t>份额</w:t>
            </w:r>
            <w:r>
              <w:rPr>
                <w:rFonts w:hint="eastAsia"/>
                <w:szCs w:val="21"/>
              </w:rPr>
              <w:t>收益率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2</w:t>
            </w:r>
            <w:r w:rsidR="0055191B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%</w:t>
            </w:r>
            <w:r w:rsidR="009F2690" w:rsidRPr="003D2E2D">
              <w:rPr>
                <w:szCs w:val="21"/>
              </w:rPr>
              <w:t>。</w:t>
            </w:r>
          </w:p>
        </w:tc>
      </w:tr>
      <w:tr w:rsidR="009F2690" w:rsidRPr="003D2E2D" w14:paraId="0AE5C075" w14:textId="77777777" w:rsidTr="006A2C98">
        <w:trPr>
          <w:trHeight w:val="279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D4518E3" w14:textId="77777777" w:rsidR="00700C39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产品风险</w:t>
            </w:r>
          </w:p>
          <w:p w14:paraId="4ED8921B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控制措施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0740" w14:textId="77777777" w:rsidR="00806E0D" w:rsidRDefault="009F2690" w:rsidP="00806E0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预警线：单位净值</w:t>
            </w:r>
            <w:r w:rsidR="007F14FA">
              <w:rPr>
                <w:szCs w:val="21"/>
              </w:rPr>
              <w:t>=0.8</w:t>
            </w:r>
            <w:r w:rsidR="0055191B">
              <w:rPr>
                <w:rFonts w:hint="eastAsia"/>
                <w:szCs w:val="21"/>
              </w:rPr>
              <w:t>7</w:t>
            </w:r>
            <w:r w:rsidRPr="003D2E2D">
              <w:rPr>
                <w:szCs w:val="21"/>
              </w:rPr>
              <w:t>元。</w:t>
            </w:r>
          </w:p>
          <w:p w14:paraId="2FA4FC3D" w14:textId="322080DB" w:rsidR="00CD0918" w:rsidRDefault="009F2690" w:rsidP="00CD0918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如计划单位净值于</w:t>
            </w:r>
            <w:r w:rsidRPr="003D2E2D">
              <w:rPr>
                <w:szCs w:val="21"/>
              </w:rPr>
              <w:t>T</w:t>
            </w:r>
            <w:r w:rsidRPr="003D2E2D">
              <w:rPr>
                <w:szCs w:val="21"/>
              </w:rPr>
              <w:t>日收盘后跌破预警线</w:t>
            </w:r>
            <w:r w:rsidR="00806E0D">
              <w:rPr>
                <w:szCs w:val="21"/>
              </w:rPr>
              <w:t>0.8</w:t>
            </w:r>
            <w:r w:rsidR="0055191B">
              <w:rPr>
                <w:rFonts w:hint="eastAsia"/>
                <w:szCs w:val="21"/>
              </w:rPr>
              <w:t>7</w:t>
            </w:r>
            <w:r w:rsidRPr="003D2E2D">
              <w:rPr>
                <w:szCs w:val="21"/>
              </w:rPr>
              <w:t>元，</w:t>
            </w:r>
            <w:r w:rsidR="00E3464A">
              <w:rPr>
                <w:rFonts w:hint="eastAsia"/>
                <w:szCs w:val="21"/>
              </w:rPr>
              <w:t>本</w:t>
            </w:r>
            <w:r w:rsidRPr="003D2E2D">
              <w:rPr>
                <w:szCs w:val="21"/>
              </w:rPr>
              <w:t>计划立即开始变现所</w:t>
            </w:r>
            <w:r w:rsidRPr="003D2E2D">
              <w:rPr>
                <w:szCs w:val="21"/>
              </w:rPr>
              <w:lastRenderedPageBreak/>
              <w:t>持有的非现金资产，使所持有的非现金资产比例不高于本计划</w:t>
            </w:r>
            <w:r w:rsidR="005761A3">
              <w:rPr>
                <w:rFonts w:hint="eastAsia"/>
                <w:szCs w:val="21"/>
              </w:rPr>
              <w:t>资产</w:t>
            </w:r>
            <w:bookmarkStart w:id="0" w:name="_GoBack"/>
            <w:bookmarkEnd w:id="0"/>
            <w:r w:rsidRPr="003D2E2D">
              <w:rPr>
                <w:szCs w:val="21"/>
              </w:rPr>
              <w:t>总值的</w:t>
            </w:r>
            <w:r w:rsidRPr="003D2E2D">
              <w:rPr>
                <w:szCs w:val="21"/>
              </w:rPr>
              <w:t>50%</w:t>
            </w:r>
            <w:r w:rsidRPr="003D2E2D">
              <w:rPr>
                <w:szCs w:val="21"/>
              </w:rPr>
              <w:t>，直至计划单位净值恢复至不低于</w:t>
            </w:r>
            <w:r w:rsidR="00806E0D">
              <w:rPr>
                <w:szCs w:val="21"/>
              </w:rPr>
              <w:t>0.8</w:t>
            </w:r>
            <w:r w:rsidR="0055191B">
              <w:rPr>
                <w:rFonts w:hint="eastAsia"/>
                <w:szCs w:val="21"/>
              </w:rPr>
              <w:t>7</w:t>
            </w:r>
            <w:r w:rsidRPr="003D2E2D">
              <w:rPr>
                <w:szCs w:val="21"/>
              </w:rPr>
              <w:t>元为止。</w:t>
            </w:r>
          </w:p>
          <w:p w14:paraId="676D8FC4" w14:textId="77777777" w:rsidR="00CD0918" w:rsidRDefault="009F2690" w:rsidP="00CD0918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止损平仓线：单位净值</w:t>
            </w:r>
            <w:r w:rsidRPr="003D2E2D">
              <w:rPr>
                <w:szCs w:val="21"/>
              </w:rPr>
              <w:t>=0.</w:t>
            </w:r>
            <w:r w:rsidR="002A00E7">
              <w:rPr>
                <w:szCs w:val="21"/>
              </w:rPr>
              <w:t>8</w:t>
            </w:r>
            <w:r w:rsidR="0055191B">
              <w:rPr>
                <w:rFonts w:hint="eastAsia"/>
                <w:szCs w:val="21"/>
              </w:rPr>
              <w:t>5</w:t>
            </w:r>
            <w:r w:rsidRPr="003D2E2D">
              <w:rPr>
                <w:szCs w:val="21"/>
              </w:rPr>
              <w:t>元。</w:t>
            </w:r>
          </w:p>
          <w:p w14:paraId="713149B6" w14:textId="77777777" w:rsidR="009F2690" w:rsidRPr="003D2E2D" w:rsidRDefault="009F2690" w:rsidP="00CD0918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3D2E2D">
              <w:rPr>
                <w:szCs w:val="21"/>
              </w:rPr>
              <w:t>如计划单位净值于</w:t>
            </w:r>
            <w:r w:rsidRPr="003D2E2D">
              <w:rPr>
                <w:szCs w:val="21"/>
              </w:rPr>
              <w:t>T</w:t>
            </w:r>
            <w:r w:rsidRPr="003D2E2D">
              <w:rPr>
                <w:szCs w:val="21"/>
              </w:rPr>
              <w:t>日收盘后跌破止损线，即低于（含）</w:t>
            </w:r>
            <w:r w:rsidRPr="003D2E2D">
              <w:rPr>
                <w:szCs w:val="21"/>
              </w:rPr>
              <w:t>0.</w:t>
            </w:r>
            <w:r w:rsidR="00CD0918">
              <w:rPr>
                <w:szCs w:val="21"/>
              </w:rPr>
              <w:t>8</w:t>
            </w:r>
            <w:r w:rsidR="0055191B">
              <w:rPr>
                <w:rFonts w:hint="eastAsia"/>
                <w:szCs w:val="21"/>
              </w:rPr>
              <w:t>5</w:t>
            </w:r>
            <w:r w:rsidRPr="003D2E2D">
              <w:rPr>
                <w:szCs w:val="21"/>
              </w:rPr>
              <w:t>元时，</w:t>
            </w:r>
            <w:r w:rsidR="00CD0918">
              <w:rPr>
                <w:rFonts w:hint="eastAsia"/>
                <w:szCs w:val="21"/>
              </w:rPr>
              <w:t>本</w:t>
            </w:r>
            <w:r w:rsidRPr="003D2E2D">
              <w:rPr>
                <w:szCs w:val="21"/>
              </w:rPr>
              <w:t>计划持有的全部风险资产按市价变现，直至计划单位净值恢复至不低于</w:t>
            </w:r>
            <w:r w:rsidRPr="003D2E2D">
              <w:rPr>
                <w:szCs w:val="21"/>
              </w:rPr>
              <w:t>0.</w:t>
            </w:r>
            <w:r w:rsidR="00CD0918">
              <w:rPr>
                <w:szCs w:val="21"/>
              </w:rPr>
              <w:t>8</w:t>
            </w:r>
            <w:r w:rsidR="0055191B">
              <w:rPr>
                <w:rFonts w:hint="eastAsia"/>
                <w:szCs w:val="21"/>
              </w:rPr>
              <w:t>5</w:t>
            </w:r>
            <w:r w:rsidRPr="003D2E2D">
              <w:rPr>
                <w:szCs w:val="21"/>
              </w:rPr>
              <w:t>元为止。</w:t>
            </w:r>
          </w:p>
        </w:tc>
      </w:tr>
      <w:tr w:rsidR="009F2690" w:rsidRPr="003D2E2D" w14:paraId="7E6BAA94" w14:textId="77777777" w:rsidTr="006A2C98">
        <w:trPr>
          <w:trHeight w:val="279"/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B150D5D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lastRenderedPageBreak/>
              <w:t>最低参与金额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7FDA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100</w:t>
            </w:r>
            <w:r w:rsidRPr="003D2E2D">
              <w:rPr>
                <w:szCs w:val="21"/>
              </w:rPr>
              <w:t>万元起</w:t>
            </w:r>
          </w:p>
        </w:tc>
      </w:tr>
      <w:tr w:rsidR="009F2690" w:rsidRPr="003D2E2D" w14:paraId="451C32AC" w14:textId="77777777" w:rsidTr="006A2C98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37BEE8C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产品规模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3139" w14:textId="77777777" w:rsidR="009F2690" w:rsidRPr="003D2E2D" w:rsidRDefault="00F94C26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  <w:r>
              <w:rPr>
                <w:rFonts w:hint="eastAsia"/>
                <w:szCs w:val="21"/>
              </w:rPr>
              <w:t>亿</w:t>
            </w:r>
          </w:p>
        </w:tc>
      </w:tr>
      <w:tr w:rsidR="009F2690" w:rsidRPr="003D2E2D" w14:paraId="4E4C4660" w14:textId="77777777" w:rsidTr="006A2C98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5D0B797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产品期限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0429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rFonts w:hint="eastAsia"/>
                <w:szCs w:val="21"/>
              </w:rPr>
              <w:t>本计划存续期为</w:t>
            </w:r>
            <w:r w:rsidRPr="003D2E2D">
              <w:rPr>
                <w:rFonts w:hint="eastAsia"/>
                <w:szCs w:val="21"/>
              </w:rPr>
              <w:t>1</w:t>
            </w:r>
            <w:r w:rsidRPr="003D2E2D">
              <w:rPr>
                <w:rFonts w:hint="eastAsia"/>
                <w:szCs w:val="21"/>
              </w:rPr>
              <w:t>年。</w:t>
            </w:r>
          </w:p>
        </w:tc>
      </w:tr>
      <w:tr w:rsidR="009F2690" w:rsidRPr="003D2E2D" w14:paraId="57C8E13C" w14:textId="77777777" w:rsidTr="006A2C98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F34B487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封闭期</w:t>
            </w:r>
            <w:r w:rsidRPr="003D2E2D">
              <w:rPr>
                <w:rFonts w:hint="eastAsia"/>
                <w:b/>
                <w:szCs w:val="21"/>
              </w:rPr>
              <w:t>与开放期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8F37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rFonts w:ascii="宋体" w:hAnsi="宋体" w:hint="eastAsia"/>
                <w:szCs w:val="21"/>
              </w:rPr>
              <w:t>全程封闭，不接受期间参与退出及违约退出</w:t>
            </w:r>
          </w:p>
        </w:tc>
      </w:tr>
      <w:tr w:rsidR="009F2690" w:rsidRPr="003D2E2D" w14:paraId="67C8FA75" w14:textId="77777777" w:rsidTr="006A2C98">
        <w:trPr>
          <w:trHeight w:val="16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07593BC" w14:textId="77777777" w:rsidR="00002421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</w:t>
            </w:r>
          </w:p>
          <w:p w14:paraId="49B18470" w14:textId="77777777" w:rsidR="00002421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品</w:t>
            </w:r>
          </w:p>
          <w:p w14:paraId="3A32A12B" w14:textId="77777777" w:rsidR="00002421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费</w:t>
            </w:r>
          </w:p>
          <w:p w14:paraId="435DB85A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D762457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rFonts w:hint="eastAsia"/>
                <w:b/>
                <w:szCs w:val="21"/>
              </w:rPr>
              <w:t>销售服务费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D2108" w14:textId="77777777" w:rsidR="009F2690" w:rsidRPr="003D2E2D" w:rsidRDefault="009F2690" w:rsidP="003D2E2D">
            <w:pPr>
              <w:tabs>
                <w:tab w:val="left" w:pos="1670"/>
              </w:tabs>
              <w:spacing w:line="360" w:lineRule="auto"/>
              <w:rPr>
                <w:szCs w:val="21"/>
              </w:rPr>
            </w:pPr>
            <w:r w:rsidRPr="003D2E2D">
              <w:rPr>
                <w:rFonts w:hint="eastAsia"/>
                <w:szCs w:val="21"/>
              </w:rPr>
              <w:t>优先级份额</w:t>
            </w:r>
            <w:r w:rsidRPr="003D2E2D">
              <w:rPr>
                <w:rFonts w:hint="eastAsia"/>
                <w:szCs w:val="21"/>
              </w:rPr>
              <w:t>0.4%</w:t>
            </w:r>
            <w:r w:rsidRPr="003D2E2D">
              <w:rPr>
                <w:szCs w:val="21"/>
              </w:rPr>
              <w:t xml:space="preserve"> /</w:t>
            </w:r>
            <w:r w:rsidRPr="003D2E2D">
              <w:rPr>
                <w:szCs w:val="21"/>
              </w:rPr>
              <w:t>年</w:t>
            </w:r>
            <w:r w:rsidR="002D7470">
              <w:rPr>
                <w:rFonts w:hint="eastAsia"/>
                <w:szCs w:val="21"/>
              </w:rPr>
              <w:t>，</w:t>
            </w:r>
            <w:r w:rsidR="002D7470">
              <w:rPr>
                <w:szCs w:val="21"/>
              </w:rPr>
              <w:t>直销客户不收取销售服务费</w:t>
            </w:r>
            <w:r w:rsidRPr="003D2E2D">
              <w:rPr>
                <w:rFonts w:hint="eastAsia"/>
                <w:szCs w:val="21"/>
              </w:rPr>
              <w:t>（待定）</w:t>
            </w:r>
          </w:p>
        </w:tc>
      </w:tr>
      <w:tr w:rsidR="009F2690" w:rsidRPr="003D2E2D" w14:paraId="75957D5A" w14:textId="77777777" w:rsidTr="006A2C98">
        <w:trPr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D5071" w14:textId="77777777" w:rsidR="009F2690" w:rsidRPr="003D2E2D" w:rsidRDefault="009F2690" w:rsidP="003D2E2D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F43D524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管理费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BAF7" w14:textId="77777777" w:rsidR="009F2690" w:rsidRPr="003D2E2D" w:rsidRDefault="00A507D1" w:rsidP="00A507D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1.00</w:t>
            </w:r>
            <w:r w:rsidR="009F2690" w:rsidRPr="003D2E2D">
              <w:rPr>
                <w:szCs w:val="21"/>
              </w:rPr>
              <w:t>% /</w:t>
            </w:r>
            <w:r w:rsidR="009F2690" w:rsidRPr="003D2E2D">
              <w:rPr>
                <w:szCs w:val="21"/>
              </w:rPr>
              <w:t>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按日计提，按季支付</w:t>
            </w:r>
            <w:r>
              <w:rPr>
                <w:rFonts w:hint="eastAsia"/>
                <w:szCs w:val="21"/>
              </w:rPr>
              <w:t>。</w:t>
            </w:r>
            <w:r w:rsidR="002D7470">
              <w:rPr>
                <w:rFonts w:hint="eastAsia"/>
                <w:szCs w:val="21"/>
              </w:rPr>
              <w:t>（待定</w:t>
            </w:r>
            <w:r w:rsidR="002D7470">
              <w:rPr>
                <w:szCs w:val="21"/>
              </w:rPr>
              <w:t>）</w:t>
            </w:r>
          </w:p>
        </w:tc>
      </w:tr>
      <w:tr w:rsidR="009F2690" w:rsidRPr="003D2E2D" w14:paraId="4A9FD993" w14:textId="77777777" w:rsidTr="006A2C98">
        <w:trPr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EDEB" w14:textId="77777777" w:rsidR="009F2690" w:rsidRPr="003D2E2D" w:rsidRDefault="009F2690" w:rsidP="003D2E2D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6120C8A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托管费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DE82" w14:textId="77777777" w:rsidR="009F2690" w:rsidRPr="003D2E2D" w:rsidRDefault="009F2690" w:rsidP="00A507D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szCs w:val="21"/>
              </w:rPr>
              <w:t>0.</w:t>
            </w:r>
            <w:r w:rsidRPr="003D2E2D">
              <w:rPr>
                <w:rFonts w:hint="eastAsia"/>
                <w:szCs w:val="21"/>
              </w:rPr>
              <w:t>15</w:t>
            </w:r>
            <w:r w:rsidRPr="003D2E2D">
              <w:rPr>
                <w:szCs w:val="21"/>
              </w:rPr>
              <w:t>% /</w:t>
            </w:r>
            <w:r w:rsidRPr="003D2E2D">
              <w:rPr>
                <w:szCs w:val="21"/>
              </w:rPr>
              <w:t>年</w:t>
            </w:r>
            <w:r w:rsidR="00A507D1">
              <w:rPr>
                <w:rFonts w:hint="eastAsia"/>
                <w:szCs w:val="21"/>
              </w:rPr>
              <w:t>，</w:t>
            </w:r>
            <w:r w:rsidR="00A507D1">
              <w:rPr>
                <w:szCs w:val="21"/>
              </w:rPr>
              <w:t>按日计提，按季支付</w:t>
            </w:r>
            <w:r w:rsidR="00A507D1">
              <w:rPr>
                <w:rFonts w:hint="eastAsia"/>
                <w:szCs w:val="21"/>
              </w:rPr>
              <w:t>。（待定</w:t>
            </w:r>
            <w:r w:rsidR="00A507D1">
              <w:rPr>
                <w:szCs w:val="21"/>
              </w:rPr>
              <w:t>）</w:t>
            </w:r>
          </w:p>
        </w:tc>
      </w:tr>
      <w:tr w:rsidR="009F2690" w:rsidRPr="003D2E2D" w14:paraId="5AC1D060" w14:textId="77777777" w:rsidTr="006A2C98">
        <w:trPr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A6A7" w14:textId="77777777" w:rsidR="009F2690" w:rsidRPr="003D2E2D" w:rsidRDefault="009F2690" w:rsidP="003D2E2D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3885519" w14:textId="77777777" w:rsidR="009F2690" w:rsidRPr="003D2E2D" w:rsidRDefault="009F2690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业绩提成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6072" w14:textId="77777777" w:rsidR="009F2690" w:rsidRPr="003D2E2D" w:rsidRDefault="00A507D1" w:rsidP="00A507D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 w:rsidR="009F2690" w:rsidRPr="003D2E2D">
              <w:rPr>
                <w:szCs w:val="21"/>
              </w:rPr>
              <w:t>超出</w:t>
            </w:r>
            <w:r w:rsidR="009F2690" w:rsidRPr="003D2E2D">
              <w:rPr>
                <w:szCs w:val="21"/>
              </w:rPr>
              <w:t>8%</w:t>
            </w:r>
            <w:r>
              <w:rPr>
                <w:rFonts w:hint="eastAsia"/>
                <w:szCs w:val="21"/>
              </w:rPr>
              <w:t>的</w:t>
            </w:r>
            <w:r w:rsidR="009F2690" w:rsidRPr="003D2E2D">
              <w:rPr>
                <w:szCs w:val="21"/>
              </w:rPr>
              <w:t>部分收取</w:t>
            </w:r>
            <w:r w:rsidR="009F2690" w:rsidRPr="003D2E2D">
              <w:rPr>
                <w:szCs w:val="21"/>
              </w:rPr>
              <w:t>20</w:t>
            </w:r>
            <w:r w:rsidR="009F2690" w:rsidRPr="003D2E2D">
              <w:rPr>
                <w:szCs w:val="21"/>
              </w:rPr>
              <w:t>％的业绩报酬</w:t>
            </w:r>
            <w:r>
              <w:rPr>
                <w:rFonts w:hint="eastAsia"/>
                <w:szCs w:val="21"/>
              </w:rPr>
              <w:t>（待定</w:t>
            </w:r>
            <w:r>
              <w:rPr>
                <w:szCs w:val="21"/>
              </w:rPr>
              <w:t>）</w:t>
            </w:r>
          </w:p>
        </w:tc>
      </w:tr>
      <w:tr w:rsidR="00285F02" w:rsidRPr="003D2E2D" w14:paraId="302157E9" w14:textId="77777777" w:rsidTr="006A2C98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3E058" w14:textId="77777777" w:rsidR="00285F02" w:rsidRPr="003D2E2D" w:rsidRDefault="00285F02" w:rsidP="003D2E2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b/>
                <w:szCs w:val="21"/>
              </w:rPr>
            </w:pPr>
            <w:r w:rsidRPr="003D2E2D">
              <w:rPr>
                <w:b/>
                <w:szCs w:val="21"/>
              </w:rPr>
              <w:t>产品特点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7846" w14:textId="77777777" w:rsidR="00285F02" w:rsidRPr="003D2E2D" w:rsidRDefault="00285F02" w:rsidP="00285F02">
            <w:pPr>
              <w:numPr>
                <w:ilvl w:val="0"/>
                <w:numId w:val="1"/>
              </w:numPr>
              <w:tabs>
                <w:tab w:val="center" w:pos="341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b/>
                <w:szCs w:val="21"/>
              </w:rPr>
              <w:t>有效对冲</w:t>
            </w:r>
            <w:r w:rsidR="000A2B0D" w:rsidRPr="003D2E2D">
              <w:rPr>
                <w:b/>
                <w:szCs w:val="21"/>
              </w:rPr>
              <w:t>风险</w:t>
            </w:r>
            <w:r w:rsidRPr="003D2E2D">
              <w:rPr>
                <w:b/>
                <w:szCs w:val="21"/>
              </w:rPr>
              <w:t>，获取绝对收益：</w:t>
            </w:r>
            <w:r w:rsidRPr="003D2E2D">
              <w:rPr>
                <w:szCs w:val="21"/>
              </w:rPr>
              <w:t>产品应用量化</w:t>
            </w:r>
            <w:r w:rsidR="000A2B0D" w:rsidRPr="003D2E2D">
              <w:rPr>
                <w:szCs w:val="21"/>
              </w:rPr>
              <w:t>策略</w:t>
            </w:r>
            <w:r w:rsidR="000A2B0D">
              <w:rPr>
                <w:rFonts w:hint="eastAsia"/>
                <w:szCs w:val="21"/>
              </w:rPr>
              <w:t>进行对冲</w:t>
            </w:r>
            <w:r w:rsidRPr="003D2E2D">
              <w:rPr>
                <w:szCs w:val="21"/>
              </w:rPr>
              <w:t>投资，通过金融衍生品</w:t>
            </w:r>
            <w:r w:rsidR="000A2B0D">
              <w:rPr>
                <w:rFonts w:hint="eastAsia"/>
                <w:szCs w:val="21"/>
              </w:rPr>
              <w:t>管理</w:t>
            </w:r>
            <w:r w:rsidRPr="003D2E2D">
              <w:rPr>
                <w:szCs w:val="21"/>
              </w:rPr>
              <w:t>风险敞口，获取稳定的绝对收益。</w:t>
            </w:r>
          </w:p>
          <w:p w14:paraId="15ECC2EA" w14:textId="77777777" w:rsidR="00285F02" w:rsidRPr="003D2E2D" w:rsidRDefault="00285F02" w:rsidP="00285F02">
            <w:pPr>
              <w:numPr>
                <w:ilvl w:val="0"/>
                <w:numId w:val="1"/>
              </w:numPr>
              <w:tabs>
                <w:tab w:val="center" w:pos="341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b/>
                <w:szCs w:val="21"/>
              </w:rPr>
              <w:t>程序化投资管理，恪守投资纪律性：</w:t>
            </w:r>
            <w:r w:rsidRPr="003D2E2D">
              <w:rPr>
                <w:szCs w:val="21"/>
              </w:rPr>
              <w:t>投资计划、风险预算方案、资产配置方案及组合调整规则，完全通过计算机程序模型驱动，确保投资计划严格执行，有效排除人为判断偏差的影响。</w:t>
            </w:r>
          </w:p>
          <w:p w14:paraId="36FE484D" w14:textId="77777777" w:rsidR="00285F02" w:rsidRDefault="00285F02" w:rsidP="00285F02">
            <w:pPr>
              <w:numPr>
                <w:ilvl w:val="0"/>
                <w:numId w:val="1"/>
              </w:numPr>
              <w:tabs>
                <w:tab w:val="center" w:pos="341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b/>
                <w:szCs w:val="21"/>
              </w:rPr>
              <w:t>策略科学合理，得到长期验证：</w:t>
            </w:r>
            <w:r w:rsidRPr="003D2E2D">
              <w:rPr>
                <w:szCs w:val="21"/>
              </w:rPr>
              <w:t>产品应用的投资策略均采用科学金融工程理论构造，并得到长时间的实盘考验，策略过往业绩稳健，获得客户广泛认可。</w:t>
            </w:r>
          </w:p>
          <w:p w14:paraId="54287BC7" w14:textId="77777777" w:rsidR="00285F02" w:rsidRPr="003D2E2D" w:rsidRDefault="00285F02" w:rsidP="00285F02">
            <w:pPr>
              <w:numPr>
                <w:ilvl w:val="0"/>
                <w:numId w:val="1"/>
              </w:numPr>
              <w:tabs>
                <w:tab w:val="center" w:pos="341"/>
                <w:tab w:val="right" w:pos="8306"/>
              </w:tabs>
              <w:snapToGrid w:val="0"/>
              <w:spacing w:line="360" w:lineRule="auto"/>
              <w:rPr>
                <w:szCs w:val="21"/>
              </w:rPr>
            </w:pPr>
            <w:r w:rsidRPr="003D2E2D">
              <w:rPr>
                <w:b/>
                <w:szCs w:val="21"/>
              </w:rPr>
              <w:t>结构分级，实现风险收益配置：</w:t>
            </w:r>
            <w:r w:rsidRPr="003D2E2D">
              <w:rPr>
                <w:szCs w:val="21"/>
              </w:rPr>
              <w:t>计划优先级份额安全边际高，本金及预期收益有保障，适合低风险偏好投资者配置；</w:t>
            </w:r>
            <w:proofErr w:type="gramStart"/>
            <w:r w:rsidRPr="003D2E2D">
              <w:rPr>
                <w:szCs w:val="21"/>
              </w:rPr>
              <w:t>计划进取</w:t>
            </w:r>
            <w:proofErr w:type="gramEnd"/>
            <w:r w:rsidRPr="003D2E2D">
              <w:rPr>
                <w:szCs w:val="21"/>
              </w:rPr>
              <w:t>级份额分享杠杆投资收益，获得一定风险水平</w:t>
            </w:r>
            <w:proofErr w:type="gramStart"/>
            <w:r w:rsidRPr="003D2E2D">
              <w:rPr>
                <w:szCs w:val="21"/>
              </w:rPr>
              <w:t>下较高</w:t>
            </w:r>
            <w:proofErr w:type="gramEnd"/>
            <w:r w:rsidRPr="003D2E2D">
              <w:rPr>
                <w:szCs w:val="21"/>
              </w:rPr>
              <w:t>投资回报。</w:t>
            </w:r>
          </w:p>
        </w:tc>
      </w:tr>
    </w:tbl>
    <w:p w14:paraId="0A365E97" w14:textId="77777777" w:rsidR="009F2690" w:rsidRPr="003B5519" w:rsidRDefault="009F2690" w:rsidP="009F2690">
      <w:pPr>
        <w:autoSpaceDE w:val="0"/>
        <w:autoSpaceDN w:val="0"/>
        <w:adjustRightInd w:val="0"/>
        <w:spacing w:beforeLines="50" w:before="156" w:line="300" w:lineRule="exact"/>
        <w:ind w:leftChars="-405" w:left="-850" w:rightChars="-364" w:right="-764"/>
        <w:jc w:val="left"/>
        <w:outlineLvl w:val="0"/>
        <w:rPr>
          <w:sz w:val="16"/>
        </w:rPr>
      </w:pPr>
      <w:r w:rsidRPr="003B5519">
        <w:rPr>
          <w:sz w:val="16"/>
        </w:rPr>
        <w:t>注：具体条款以合同为准。</w:t>
      </w:r>
    </w:p>
    <w:sectPr w:rsidR="009F2690" w:rsidRPr="003B5519" w:rsidSect="00395E8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6E63D" w14:textId="77777777" w:rsidR="003747C2" w:rsidRDefault="003747C2" w:rsidP="009F2690">
      <w:r>
        <w:separator/>
      </w:r>
    </w:p>
  </w:endnote>
  <w:endnote w:type="continuationSeparator" w:id="0">
    <w:p w14:paraId="67117ADC" w14:textId="77777777" w:rsidR="003747C2" w:rsidRDefault="003747C2" w:rsidP="009F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9336B" w14:textId="77777777" w:rsidR="003747C2" w:rsidRDefault="003747C2" w:rsidP="009F2690">
      <w:r>
        <w:separator/>
      </w:r>
    </w:p>
  </w:footnote>
  <w:footnote w:type="continuationSeparator" w:id="0">
    <w:p w14:paraId="0618B4FA" w14:textId="77777777" w:rsidR="003747C2" w:rsidRDefault="003747C2" w:rsidP="009F2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167DD" w14:textId="77777777" w:rsidR="000571C1" w:rsidRPr="000571C1" w:rsidRDefault="000571C1" w:rsidP="000571C1">
    <w:pPr>
      <w:pStyle w:val="a3"/>
      <w:jc w:val="both"/>
    </w:pPr>
    <w:r w:rsidRPr="000571C1">
      <w:rPr>
        <w:rFonts w:asciiTheme="minorEastAsia" w:eastAsiaTheme="minorEastAsia" w:hAnsiTheme="minorEastAsia" w:hint="eastAsia"/>
        <w:b/>
        <w:spacing w:val="20"/>
        <w:kern w:val="0"/>
      </w:rPr>
      <w:t>嘉合</w:t>
    </w:r>
    <w:proofErr w:type="gramStart"/>
    <w:r w:rsidRPr="000571C1">
      <w:rPr>
        <w:rFonts w:asciiTheme="minorEastAsia" w:eastAsiaTheme="minorEastAsia" w:hAnsiTheme="minorEastAsia"/>
        <w:b/>
        <w:spacing w:val="20"/>
        <w:kern w:val="0"/>
      </w:rPr>
      <w:t>鑫</w:t>
    </w:r>
    <w:proofErr w:type="gramEnd"/>
    <w:r w:rsidRPr="000571C1">
      <w:rPr>
        <w:rFonts w:asciiTheme="minorEastAsia" w:eastAsiaTheme="minorEastAsia" w:hAnsiTheme="minorEastAsia"/>
        <w:b/>
        <w:spacing w:val="20"/>
        <w:kern w:val="0"/>
      </w:rPr>
      <w:t>源量化对冲一号资产管理</w:t>
    </w:r>
    <w:r w:rsidRPr="000571C1">
      <w:rPr>
        <w:rFonts w:asciiTheme="minorEastAsia" w:eastAsiaTheme="minorEastAsia" w:hAnsiTheme="minorEastAsia" w:hint="eastAsia"/>
        <w:b/>
        <w:spacing w:val="20"/>
        <w:kern w:val="0"/>
      </w:rPr>
      <w:t>计划</w:t>
    </w:r>
    <w:r>
      <w:rPr>
        <w:rFonts w:asciiTheme="minorEastAsia" w:eastAsiaTheme="minorEastAsia" w:hAnsiTheme="minorEastAsia" w:hint="eastAsia"/>
        <w:b/>
        <w:spacing w:val="20"/>
        <w:kern w:val="0"/>
      </w:rPr>
      <w:t xml:space="preserve">                               </w:t>
    </w:r>
    <w:r w:rsidRPr="000571C1">
      <w:rPr>
        <w:rFonts w:asciiTheme="minorEastAsia" w:eastAsiaTheme="minorEastAsia" w:hAnsiTheme="minorEastAsia"/>
        <w:b/>
        <w:spacing w:val="20"/>
        <w:kern w:val="0"/>
      </w:rPr>
      <w:t>要素表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556F5"/>
    <w:multiLevelType w:val="hybridMultilevel"/>
    <w:tmpl w:val="B5C60BEA"/>
    <w:lvl w:ilvl="0" w:tplc="041020C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72"/>
    <w:rsid w:val="00002421"/>
    <w:rsid w:val="000416D6"/>
    <w:rsid w:val="000571C1"/>
    <w:rsid w:val="000A2B0D"/>
    <w:rsid w:val="00253755"/>
    <w:rsid w:val="002721AD"/>
    <w:rsid w:val="00272F4E"/>
    <w:rsid w:val="00285F02"/>
    <w:rsid w:val="002A00E7"/>
    <w:rsid w:val="002C3EBB"/>
    <w:rsid w:val="002D7470"/>
    <w:rsid w:val="0030770F"/>
    <w:rsid w:val="003747C2"/>
    <w:rsid w:val="003B3C21"/>
    <w:rsid w:val="003C7B84"/>
    <w:rsid w:val="003D2E2D"/>
    <w:rsid w:val="00457779"/>
    <w:rsid w:val="00466CBB"/>
    <w:rsid w:val="00477174"/>
    <w:rsid w:val="00481862"/>
    <w:rsid w:val="00494175"/>
    <w:rsid w:val="004B053B"/>
    <w:rsid w:val="004C011B"/>
    <w:rsid w:val="004D6DB1"/>
    <w:rsid w:val="00544BB4"/>
    <w:rsid w:val="0055191B"/>
    <w:rsid w:val="005761A3"/>
    <w:rsid w:val="005D4044"/>
    <w:rsid w:val="005E5237"/>
    <w:rsid w:val="006A2C98"/>
    <w:rsid w:val="006A46D1"/>
    <w:rsid w:val="006A7C57"/>
    <w:rsid w:val="00700C39"/>
    <w:rsid w:val="007F14FA"/>
    <w:rsid w:val="00806E0D"/>
    <w:rsid w:val="00814355"/>
    <w:rsid w:val="008D1D38"/>
    <w:rsid w:val="008D6255"/>
    <w:rsid w:val="0093185D"/>
    <w:rsid w:val="00933A86"/>
    <w:rsid w:val="009854FA"/>
    <w:rsid w:val="009F1EE6"/>
    <w:rsid w:val="009F2690"/>
    <w:rsid w:val="00A10506"/>
    <w:rsid w:val="00A16171"/>
    <w:rsid w:val="00A21BD0"/>
    <w:rsid w:val="00A507D1"/>
    <w:rsid w:val="00AC7772"/>
    <w:rsid w:val="00AE2600"/>
    <w:rsid w:val="00B07E19"/>
    <w:rsid w:val="00B31044"/>
    <w:rsid w:val="00B758FA"/>
    <w:rsid w:val="00BF7142"/>
    <w:rsid w:val="00C26C55"/>
    <w:rsid w:val="00CD0918"/>
    <w:rsid w:val="00CE3EF5"/>
    <w:rsid w:val="00D926E2"/>
    <w:rsid w:val="00DC6B10"/>
    <w:rsid w:val="00DF09A0"/>
    <w:rsid w:val="00DF536D"/>
    <w:rsid w:val="00E20CA6"/>
    <w:rsid w:val="00E3464A"/>
    <w:rsid w:val="00E358E6"/>
    <w:rsid w:val="00E37924"/>
    <w:rsid w:val="00E50720"/>
    <w:rsid w:val="00E9758D"/>
    <w:rsid w:val="00EB1A1E"/>
    <w:rsid w:val="00F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84602"/>
  <w15:chartTrackingRefBased/>
  <w15:docId w15:val="{6A8909EA-9A66-4D1E-A286-BB9C2F2F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6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6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6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61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61A3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D404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5D404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5D4044"/>
    <w:rPr>
      <w:rFonts w:ascii="Times New Roman" w:eastAsia="宋体" w:hAnsi="Times New Roman" w:cs="Times New Roman"/>
      <w:szCs w:val="20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5D404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5D4044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韩光华</dc:creator>
  <cp:keywords/>
  <dc:description/>
  <cp:lastModifiedBy>徐宁</cp:lastModifiedBy>
  <cp:revision>6</cp:revision>
  <dcterms:created xsi:type="dcterms:W3CDTF">2014-08-12T07:39:00Z</dcterms:created>
  <dcterms:modified xsi:type="dcterms:W3CDTF">2014-08-14T05:21:00Z</dcterms:modified>
</cp:coreProperties>
</file>