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A53" w:rsidRDefault="005E1A53" w:rsidP="005E1A53">
      <w:pPr>
        <w:numPr>
          <w:ilvl w:val="0"/>
          <w:numId w:val="1"/>
        </w:numPr>
        <w:autoSpaceDE w:val="0"/>
        <w:autoSpaceDN w:val="0"/>
        <w:adjustRightInd w:val="0"/>
        <w:ind w:left="420" w:hanging="420"/>
        <w:rPr>
          <w:rFonts w:ascii="Calibri" w:eastAsia="宋体" w:hAnsi="Calibri" w:cs="Calibri"/>
          <w:kern w:val="0"/>
          <w:szCs w:val="21"/>
        </w:rPr>
      </w:pPr>
      <w:r>
        <w:rPr>
          <w:rFonts w:ascii="宋体" w:eastAsia="宋体" w:cs="宋体" w:hint="eastAsia"/>
          <w:kern w:val="0"/>
          <w:szCs w:val="21"/>
          <w:lang w:val="zh-CN"/>
        </w:rPr>
        <w:t>量化投资简介</w:t>
      </w:r>
    </w:p>
    <w:p w:rsidR="005E1A53" w:rsidRDefault="005E1A53" w:rsidP="005E1A53">
      <w:pPr>
        <w:autoSpaceDE w:val="0"/>
        <w:autoSpaceDN w:val="0"/>
        <w:adjustRightInd w:val="0"/>
        <w:ind w:left="420"/>
        <w:rPr>
          <w:rFonts w:ascii="Calibri" w:eastAsia="宋体" w:hAnsi="Calibri" w:cs="Calibri"/>
          <w:kern w:val="0"/>
          <w:szCs w:val="21"/>
        </w:rPr>
      </w:pPr>
    </w:p>
    <w:p w:rsidR="005E1A53" w:rsidRDefault="005E1A53" w:rsidP="005E1A53">
      <w:pPr>
        <w:autoSpaceDE w:val="0"/>
        <w:autoSpaceDN w:val="0"/>
        <w:adjustRightInd w:val="0"/>
        <w:spacing w:line="360" w:lineRule="auto"/>
        <w:ind w:firstLine="480"/>
        <w:rPr>
          <w:rFonts w:ascii="Arial" w:eastAsia="宋体" w:hAnsi="Arial" w:cs="Arial"/>
          <w:color w:val="333333"/>
          <w:kern w:val="0"/>
          <w:szCs w:val="21"/>
          <w:highlight w:val="white"/>
        </w:rPr>
      </w:pPr>
      <w:r>
        <w:rPr>
          <w:rFonts w:ascii="宋体" w:eastAsia="宋体" w:hAnsi="Calibri" w:cs="宋体" w:hint="eastAsia"/>
          <w:color w:val="333333"/>
          <w:kern w:val="0"/>
          <w:szCs w:val="21"/>
          <w:highlight w:val="white"/>
          <w:lang w:val="zh-CN"/>
        </w:rPr>
        <w:t>量化投资就是利用数量化的方法，进行金融市场的分析、判断和交易的策略、算法的总称。量化投资在国内仍然处于萌芽起步状态，而在国外已经成为了相对比较成熟的一种投资模式。随着股指期货、融资融券等做空机制的相继推出，使国内证券市场创新发展对冲交易业务成为可能。</w:t>
      </w:r>
      <w:r>
        <w:rPr>
          <w:rFonts w:ascii="Arial" w:eastAsia="宋体" w:hAnsi="Arial" w:cs="Arial"/>
          <w:color w:val="333333"/>
          <w:kern w:val="0"/>
          <w:szCs w:val="21"/>
          <w:highlight w:val="white"/>
        </w:rPr>
        <w:t>2011</w:t>
      </w:r>
      <w:r>
        <w:rPr>
          <w:rFonts w:ascii="宋体" w:eastAsia="宋体" w:hAnsi="Arial" w:cs="宋体" w:hint="eastAsia"/>
          <w:color w:val="333333"/>
          <w:kern w:val="0"/>
          <w:szCs w:val="21"/>
          <w:highlight w:val="white"/>
          <w:lang w:val="zh-CN"/>
        </w:rPr>
        <w:t>年被市场誉为国内</w:t>
      </w:r>
      <w:r>
        <w:rPr>
          <w:rFonts w:ascii="宋体" w:eastAsia="宋体" w:hAnsi="Arial" w:cs="宋体"/>
          <w:color w:val="333333"/>
          <w:kern w:val="0"/>
          <w:szCs w:val="21"/>
          <w:highlight w:val="white"/>
          <w:lang w:val="zh-CN"/>
        </w:rPr>
        <w:t>“</w:t>
      </w:r>
      <w:r>
        <w:rPr>
          <w:rFonts w:ascii="宋体" w:eastAsia="宋体" w:hAnsi="Arial" w:cs="宋体" w:hint="eastAsia"/>
          <w:color w:val="333333"/>
          <w:kern w:val="0"/>
          <w:szCs w:val="21"/>
          <w:highlight w:val="white"/>
          <w:lang w:val="zh-CN"/>
        </w:rPr>
        <w:t>对冲时代元年</w:t>
      </w:r>
      <w:r>
        <w:rPr>
          <w:rFonts w:ascii="宋体" w:eastAsia="宋体" w:hAnsi="Arial" w:cs="宋体"/>
          <w:color w:val="333333"/>
          <w:kern w:val="0"/>
          <w:szCs w:val="21"/>
          <w:highlight w:val="white"/>
          <w:lang w:val="zh-CN"/>
        </w:rPr>
        <w:t>”</w:t>
      </w:r>
      <w:r>
        <w:rPr>
          <w:rFonts w:ascii="宋体" w:eastAsia="宋体" w:hAnsi="Arial" w:cs="宋体" w:hint="eastAsia"/>
          <w:color w:val="333333"/>
          <w:kern w:val="0"/>
          <w:szCs w:val="21"/>
          <w:highlight w:val="white"/>
          <w:lang w:val="zh-CN"/>
        </w:rPr>
        <w:t>，随着国内资本市场的逐步发展和逐步创新，量化投资增长潜力巨大。</w:t>
      </w:r>
    </w:p>
    <w:p w:rsidR="005E1A53" w:rsidRDefault="005E1A53" w:rsidP="005E1A53">
      <w:pPr>
        <w:autoSpaceDE w:val="0"/>
        <w:autoSpaceDN w:val="0"/>
        <w:adjustRightInd w:val="0"/>
        <w:spacing w:line="360" w:lineRule="auto"/>
        <w:ind w:firstLine="420"/>
        <w:rPr>
          <w:rFonts w:ascii="Arial" w:eastAsia="宋体" w:hAnsi="Arial" w:cs="Arial"/>
          <w:color w:val="333333"/>
          <w:kern w:val="0"/>
          <w:szCs w:val="21"/>
          <w:highlight w:val="white"/>
        </w:rPr>
      </w:pPr>
      <w:r>
        <w:rPr>
          <w:rFonts w:ascii="宋体" w:eastAsia="宋体" w:hAnsi="Arial" w:cs="宋体" w:hint="eastAsia"/>
          <w:color w:val="333333"/>
          <w:kern w:val="0"/>
          <w:szCs w:val="21"/>
          <w:highlight w:val="white"/>
          <w:lang w:val="zh-CN"/>
        </w:rPr>
        <w:t>嘉合基金量化投资团队成员均毕业于国内外知名高校，获硕士及以上学历，且拥有多年的量化投资实战经验。随着市场和金融工具的不断创新，量化投资策略也须与时俱进，不能仅局限于传统的期限套利、多因子选股等策略。因此，基于包括行为金融学在内的非传统金融学理论和大数据综合挖掘技术，嘉合量化团队业已开发出一系列具备确定投资窗口和稳定超额收益的事件性策略，如财报策略、分析师策略等等；同时，通过结合投资者情绪指标、技术分析和情境分析，嘉合量化团队也开发了一套行之有效的择时系统，用于把握系统性投资机会。</w:t>
      </w:r>
    </w:p>
    <w:p w:rsidR="005E1A53" w:rsidRDefault="005E1A53" w:rsidP="005E1A53">
      <w:pPr>
        <w:autoSpaceDE w:val="0"/>
        <w:autoSpaceDN w:val="0"/>
        <w:adjustRightInd w:val="0"/>
        <w:spacing w:line="360" w:lineRule="auto"/>
        <w:rPr>
          <w:rFonts w:ascii="Calibri" w:eastAsia="宋体" w:hAnsi="Calibri" w:cs="Calibri"/>
          <w:kern w:val="0"/>
          <w:sz w:val="24"/>
          <w:szCs w:val="24"/>
        </w:rPr>
      </w:pPr>
    </w:p>
    <w:p w:rsidR="005E1A53" w:rsidRDefault="005E1A53" w:rsidP="005E1A53">
      <w:pPr>
        <w:autoSpaceDE w:val="0"/>
        <w:autoSpaceDN w:val="0"/>
        <w:adjustRightInd w:val="0"/>
        <w:spacing w:line="360" w:lineRule="auto"/>
        <w:rPr>
          <w:rFonts w:ascii="Calibri" w:eastAsia="宋体" w:hAnsi="Calibri" w:cs="Calibri"/>
          <w:kern w:val="0"/>
          <w:sz w:val="24"/>
          <w:szCs w:val="24"/>
        </w:rPr>
      </w:pPr>
    </w:p>
    <w:p w:rsidR="005E1A53" w:rsidRDefault="005E1A53" w:rsidP="005E1A53">
      <w:pPr>
        <w:autoSpaceDE w:val="0"/>
        <w:autoSpaceDN w:val="0"/>
        <w:adjustRightInd w:val="0"/>
        <w:spacing w:line="360" w:lineRule="auto"/>
        <w:rPr>
          <w:rFonts w:ascii="Calibri" w:eastAsia="宋体" w:hAnsi="Calibri" w:cs="Calibri"/>
          <w:kern w:val="0"/>
          <w:sz w:val="24"/>
          <w:szCs w:val="24"/>
        </w:rPr>
      </w:pPr>
    </w:p>
    <w:p w:rsidR="005E1A53" w:rsidRDefault="005E1A53" w:rsidP="005E1A53">
      <w:pPr>
        <w:autoSpaceDE w:val="0"/>
        <w:autoSpaceDN w:val="0"/>
        <w:adjustRightInd w:val="0"/>
        <w:spacing w:line="360" w:lineRule="auto"/>
        <w:rPr>
          <w:rFonts w:ascii="Calibri" w:eastAsia="宋体" w:hAnsi="Calibri" w:cs="Calibri"/>
          <w:kern w:val="0"/>
          <w:sz w:val="24"/>
          <w:szCs w:val="24"/>
        </w:rPr>
      </w:pPr>
      <w:r>
        <w:rPr>
          <w:rFonts w:ascii="宋体" w:eastAsia="宋体" w:hAnsi="Calibri" w:cs="宋体" w:hint="eastAsia"/>
          <w:kern w:val="0"/>
          <w:sz w:val="24"/>
          <w:szCs w:val="24"/>
          <w:lang w:val="zh-CN"/>
        </w:rPr>
        <w:t>在国外，量化投资技术在对冲基金业已经得到了广泛应用。经过几十年的演变，世界领先的对冲基金，如西蒙斯文艺复兴的大奖章基金、索罗斯量子基金、保尔森基金和千禧管理公司等，都己建立了以计算机平台为基础，以各类衍生品为投资工具，大量运用数量化模型，在不同风险等级下追求绝对收益的投资模式。可以说，量化投资技术及模式已经成为对冲基金赖以生存及发展的基础与动力。</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随着股指期货、融资融券等做空机制的相继推出，使国内证券市场创新发展对冲交易业务成为可能。</w:t>
      </w:r>
      <w:r>
        <w:rPr>
          <w:rFonts w:ascii="Calibri" w:eastAsia="宋体" w:hAnsi="Calibri" w:cs="Calibri"/>
          <w:kern w:val="0"/>
          <w:sz w:val="24"/>
          <w:szCs w:val="24"/>
        </w:rPr>
        <w:t>2011</w:t>
      </w:r>
      <w:r>
        <w:rPr>
          <w:rFonts w:ascii="宋体" w:eastAsia="宋体" w:hAnsi="Calibri" w:cs="宋体" w:hint="eastAsia"/>
          <w:kern w:val="0"/>
          <w:sz w:val="24"/>
          <w:szCs w:val="24"/>
          <w:lang w:val="zh-CN"/>
        </w:rPr>
        <w:t>年被市场誉为国内</w:t>
      </w:r>
      <w:r>
        <w:rPr>
          <w:rFonts w:ascii="宋体" w:eastAsia="宋体" w:hAnsi="Calibri" w:cs="宋体"/>
          <w:kern w:val="0"/>
          <w:sz w:val="24"/>
          <w:szCs w:val="24"/>
          <w:lang w:val="zh-CN"/>
        </w:rPr>
        <w:t>“</w:t>
      </w:r>
      <w:r>
        <w:rPr>
          <w:rFonts w:ascii="宋体" w:eastAsia="宋体" w:hAnsi="Calibri" w:cs="宋体" w:hint="eastAsia"/>
          <w:kern w:val="0"/>
          <w:sz w:val="24"/>
          <w:szCs w:val="24"/>
          <w:lang w:val="zh-CN"/>
        </w:rPr>
        <w:t>对冲时代元年</w:t>
      </w:r>
      <w:r>
        <w:rPr>
          <w:rFonts w:ascii="宋体" w:eastAsia="宋体" w:hAnsi="Calibri" w:cs="宋体"/>
          <w:kern w:val="0"/>
          <w:sz w:val="24"/>
          <w:szCs w:val="24"/>
          <w:lang w:val="zh-CN"/>
        </w:rPr>
        <w:t>”</w:t>
      </w:r>
      <w:r>
        <w:rPr>
          <w:rFonts w:ascii="宋体" w:eastAsia="宋体" w:hAnsi="Calibri" w:cs="宋体" w:hint="eastAsia"/>
          <w:kern w:val="0"/>
          <w:sz w:val="24"/>
          <w:szCs w:val="24"/>
          <w:lang w:val="zh-CN"/>
        </w:rPr>
        <w:t>，无论是券商资管、基金专户还是私募基金都相继推出了一些以股指期货作为对冲工具来追求绝对收益的产品，例如国泰君安发行了</w:t>
      </w:r>
      <w:r>
        <w:rPr>
          <w:rFonts w:ascii="Calibri" w:eastAsia="宋体" w:hAnsi="Calibri" w:cs="Calibri"/>
          <w:kern w:val="0"/>
          <w:sz w:val="24"/>
          <w:szCs w:val="24"/>
        </w:rPr>
        <w:t>7</w:t>
      </w:r>
      <w:r>
        <w:rPr>
          <w:rFonts w:ascii="宋体" w:eastAsia="宋体" w:hAnsi="Calibri" w:cs="宋体" w:hint="eastAsia"/>
          <w:kern w:val="0"/>
          <w:sz w:val="24"/>
          <w:szCs w:val="24"/>
          <w:lang w:val="zh-CN"/>
        </w:rPr>
        <w:t>只对冲产品，易方达基金有</w:t>
      </w:r>
      <w:r>
        <w:rPr>
          <w:rFonts w:ascii="Calibri" w:eastAsia="宋体" w:hAnsi="Calibri" w:cs="Calibri"/>
          <w:kern w:val="0"/>
          <w:sz w:val="24"/>
          <w:szCs w:val="24"/>
        </w:rPr>
        <w:t>6</w:t>
      </w:r>
      <w:r>
        <w:rPr>
          <w:rFonts w:ascii="宋体" w:eastAsia="宋体" w:hAnsi="Calibri" w:cs="宋体" w:hint="eastAsia"/>
          <w:kern w:val="0"/>
          <w:sz w:val="24"/>
          <w:szCs w:val="24"/>
          <w:lang w:val="zh-CN"/>
        </w:rPr>
        <w:t>个对冲基金专户，阳光私募民森和朱雀等</w:t>
      </w:r>
      <w:hyperlink r:id="rId7" w:history="1">
        <w:r>
          <w:rPr>
            <w:rFonts w:ascii="Calibri" w:eastAsia="宋体" w:hAnsi="Calibri" w:cs="Calibri" w:hint="eastAsia"/>
            <w:color w:val="0000FF"/>
            <w:kern w:val="0"/>
            <w:sz w:val="24"/>
            <w:szCs w:val="24"/>
            <w:u w:val="single"/>
            <w:lang w:val="zh-CN"/>
          </w:rPr>
          <w:t>私募基金</w:t>
        </w:r>
      </w:hyperlink>
      <w:r>
        <w:rPr>
          <w:rFonts w:ascii="宋体" w:eastAsia="宋体" w:hAnsi="Calibri" w:cs="宋体" w:hint="eastAsia"/>
          <w:kern w:val="0"/>
          <w:sz w:val="24"/>
          <w:szCs w:val="24"/>
          <w:lang w:val="zh-CN"/>
        </w:rPr>
        <w:t>推出市场中性策略基金，从此打开了国内</w:t>
      </w:r>
      <w:r>
        <w:rPr>
          <w:rFonts w:ascii="宋体" w:eastAsia="宋体" w:hAnsi="Calibri" w:cs="宋体"/>
          <w:kern w:val="0"/>
          <w:sz w:val="24"/>
          <w:szCs w:val="24"/>
          <w:lang w:val="zh-CN"/>
        </w:rPr>
        <w:t>“</w:t>
      </w:r>
      <w:r>
        <w:rPr>
          <w:rFonts w:ascii="宋体" w:eastAsia="宋体" w:hAnsi="Calibri" w:cs="宋体" w:hint="eastAsia"/>
          <w:kern w:val="0"/>
          <w:sz w:val="24"/>
          <w:szCs w:val="24"/>
          <w:lang w:val="zh-CN"/>
        </w:rPr>
        <w:t>绝对收益</w:t>
      </w:r>
      <w:r>
        <w:rPr>
          <w:rFonts w:ascii="宋体" w:eastAsia="宋体" w:hAnsi="Calibri" w:cs="宋体"/>
          <w:kern w:val="0"/>
          <w:sz w:val="24"/>
          <w:szCs w:val="24"/>
          <w:lang w:val="zh-CN"/>
        </w:rPr>
        <w:t>”</w:t>
      </w:r>
      <w:r>
        <w:rPr>
          <w:rFonts w:ascii="宋体" w:eastAsia="宋体" w:hAnsi="Calibri" w:cs="宋体" w:hint="eastAsia"/>
          <w:kern w:val="0"/>
          <w:sz w:val="24"/>
          <w:szCs w:val="24"/>
          <w:lang w:val="zh-CN"/>
        </w:rPr>
        <w:t>之门。随着国内资本市场的逐步发展和逐步创新，量化投资增长潜力巨大。</w:t>
      </w:r>
    </w:p>
    <w:p w:rsidR="005E1A53" w:rsidRDefault="005E1A53" w:rsidP="005E1A53">
      <w:pPr>
        <w:autoSpaceDE w:val="0"/>
        <w:autoSpaceDN w:val="0"/>
        <w:adjustRightInd w:val="0"/>
        <w:spacing w:line="360" w:lineRule="auto"/>
        <w:ind w:firstLine="480"/>
        <w:rPr>
          <w:rFonts w:ascii="Calibri" w:eastAsia="宋体" w:hAnsi="Calibri" w:cs="Calibri"/>
          <w:b/>
          <w:bCs/>
          <w:kern w:val="0"/>
          <w:sz w:val="24"/>
          <w:szCs w:val="24"/>
        </w:rPr>
      </w:pPr>
      <w:r>
        <w:rPr>
          <w:rFonts w:ascii="宋体" w:eastAsia="宋体" w:hAnsi="Calibri" w:cs="宋体" w:hint="eastAsia"/>
          <w:kern w:val="0"/>
          <w:sz w:val="24"/>
          <w:szCs w:val="24"/>
          <w:lang w:val="zh-CN"/>
        </w:rPr>
        <w:t>量化投资的宗旨是在控制风险的前提下，追求可观的绝对回报。交易策略上主要有三方面特点：灵活操作各种金融工具，可以投资所有的有价证券；可以做空，但并不是一定要做空；可以利用一定程度的杠杆。</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lastRenderedPageBreak/>
        <w:t>和传统的主动型投资相比，量化投资更加强调纪律性和系统性。传统的主动型投资比较依赖于投资经理的个人经验和判断，而量化投资的决策都是依靠模型做出的，特别是有数据支持的。这可以克服人性的弱点，如贪婪、恐惧、侥幸心理，也可以克服认知偏差，同时有助于事后对于投资结果进行跟踪，以便对于模型进行改进。</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从目前市场环境看，</w:t>
      </w:r>
      <w:r>
        <w:rPr>
          <w:rFonts w:ascii="Calibri" w:eastAsia="宋体" w:hAnsi="Calibri" w:cs="Calibri"/>
          <w:kern w:val="0"/>
          <w:sz w:val="24"/>
          <w:szCs w:val="24"/>
        </w:rPr>
        <w:t>A</w:t>
      </w:r>
      <w:r>
        <w:rPr>
          <w:rFonts w:ascii="宋体" w:eastAsia="宋体" w:hAnsi="Calibri" w:cs="宋体" w:hint="eastAsia"/>
          <w:kern w:val="0"/>
          <w:sz w:val="24"/>
          <w:szCs w:val="24"/>
          <w:lang w:val="zh-CN"/>
        </w:rPr>
        <w:t>股市场有效性比成熟市场低，非理性程度高，量化投资更有用武之地。未来量化投资也会与在成熟市场一样，成为中国资产管理市场的主流方法之一，为机构投资者及高净值人群提供一个有效的资产配置工具。同时量化投资的发展，也会提高市场的有效性。</w:t>
      </w:r>
    </w:p>
    <w:p w:rsidR="005E1A53" w:rsidRDefault="005E1A53" w:rsidP="005E1A53">
      <w:pPr>
        <w:autoSpaceDE w:val="0"/>
        <w:autoSpaceDN w:val="0"/>
        <w:adjustRightInd w:val="0"/>
        <w:rPr>
          <w:rFonts w:ascii="Calibri" w:eastAsia="宋体" w:hAnsi="Calibri" w:cs="Calibri"/>
          <w:kern w:val="0"/>
          <w:sz w:val="24"/>
          <w:szCs w:val="24"/>
        </w:rPr>
      </w:pPr>
    </w:p>
    <w:p w:rsidR="005E1A53" w:rsidRDefault="005E1A53" w:rsidP="005E1A53">
      <w:pPr>
        <w:autoSpaceDE w:val="0"/>
        <w:autoSpaceDN w:val="0"/>
        <w:adjustRightInd w:val="0"/>
        <w:rPr>
          <w:rFonts w:ascii="Calibri" w:eastAsia="宋体" w:hAnsi="Calibri" w:cs="Calibri"/>
          <w:kern w:val="0"/>
          <w:sz w:val="24"/>
          <w:szCs w:val="24"/>
        </w:rPr>
      </w:pPr>
    </w:p>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numPr>
          <w:ilvl w:val="0"/>
          <w:numId w:val="1"/>
        </w:numPr>
        <w:autoSpaceDE w:val="0"/>
        <w:autoSpaceDN w:val="0"/>
        <w:adjustRightInd w:val="0"/>
        <w:ind w:left="420" w:hanging="420"/>
        <w:rPr>
          <w:rFonts w:ascii="Calibri" w:eastAsia="宋体" w:hAnsi="Calibri" w:cs="Calibri"/>
          <w:kern w:val="0"/>
          <w:szCs w:val="21"/>
        </w:rPr>
      </w:pPr>
      <w:r>
        <w:rPr>
          <w:rFonts w:ascii="宋体" w:eastAsia="宋体" w:hAnsi="Calibri" w:cs="宋体" w:hint="eastAsia"/>
          <w:kern w:val="0"/>
          <w:szCs w:val="21"/>
          <w:lang w:val="zh-CN"/>
        </w:rPr>
        <w:t>量化投资策略举例</w:t>
      </w:r>
    </w:p>
    <w:p w:rsidR="005E1A53" w:rsidRDefault="005E1A53" w:rsidP="005E1A53">
      <w:pPr>
        <w:autoSpaceDE w:val="0"/>
        <w:autoSpaceDN w:val="0"/>
        <w:adjustRightInd w:val="0"/>
        <w:ind w:left="420"/>
        <w:rPr>
          <w:rFonts w:ascii="Calibri" w:eastAsia="宋体" w:hAnsi="Calibri" w:cs="Calibri"/>
          <w:kern w:val="0"/>
          <w:szCs w:val="21"/>
        </w:rPr>
      </w:pPr>
      <w:r>
        <w:rPr>
          <w:rFonts w:ascii="宋体" w:eastAsia="宋体" w:hAnsi="Calibri" w:cs="宋体" w:hint="eastAsia"/>
          <w:kern w:val="0"/>
          <w:szCs w:val="21"/>
          <w:lang w:val="zh-CN"/>
        </w:rPr>
        <w:t>这里简单列举一些量化投资可能用到的策略。</w:t>
      </w:r>
    </w:p>
    <w:p w:rsidR="005E1A53" w:rsidRDefault="005E1A53" w:rsidP="005E1A53">
      <w:pPr>
        <w:autoSpaceDE w:val="0"/>
        <w:autoSpaceDN w:val="0"/>
        <w:adjustRightInd w:val="0"/>
        <w:ind w:left="420"/>
        <w:rPr>
          <w:rFonts w:ascii="Calibri" w:eastAsia="宋体" w:hAnsi="Calibri" w:cs="Calibri"/>
          <w:kern w:val="0"/>
          <w:szCs w:val="21"/>
        </w:rPr>
      </w:pPr>
    </w:p>
    <w:p w:rsidR="005E1A53" w:rsidRDefault="005E1A53" w:rsidP="005E1A53">
      <w:pPr>
        <w:numPr>
          <w:ilvl w:val="0"/>
          <w:numId w:val="1"/>
        </w:numPr>
        <w:autoSpaceDE w:val="0"/>
        <w:autoSpaceDN w:val="0"/>
        <w:adjustRightInd w:val="0"/>
        <w:ind w:left="360" w:hanging="360"/>
        <w:rPr>
          <w:rFonts w:ascii="Calibri" w:eastAsia="宋体" w:hAnsi="Calibri" w:cs="Calibri"/>
          <w:kern w:val="0"/>
          <w:szCs w:val="21"/>
        </w:rPr>
      </w:pPr>
      <w:r>
        <w:rPr>
          <w:rFonts w:ascii="宋体" w:eastAsia="宋体" w:hAnsi="Calibri" w:cs="宋体" w:hint="eastAsia"/>
          <w:kern w:val="0"/>
          <w:szCs w:val="21"/>
          <w:lang w:val="zh-CN"/>
        </w:rPr>
        <w:t>期现套利</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期现套利主要是利用股指期货合约与其对应的现货指数之间暂时的不合理价差，通过买入相对低估资产，卖出相对高估资产，并在未来某个时间同时平仓，以获得收益的投资业务。</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具体方式为当期价高估时，买进现货，同时卖出期货，通常将这种操作称为正向期现套利交易；当期价低估时，卖出现货，同时买进期货，这种操作称为反向期现套利交易。由于股指期货是以现货指数为标的，根据交易所的结算规则期货合约价格到期一定会收敛于现货指数，所以该业务的投资目的是获取理论上的无风险收益。</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我们首先确立</w:t>
      </w:r>
      <w:r>
        <w:rPr>
          <w:rFonts w:ascii="宋体" w:eastAsia="宋体" w:hAnsi="Calibri" w:cs="宋体"/>
          <w:kern w:val="0"/>
          <w:sz w:val="24"/>
          <w:szCs w:val="24"/>
          <w:lang w:val="zh-CN"/>
        </w:rPr>
        <w:t>“</w:t>
      </w:r>
      <w:r>
        <w:rPr>
          <w:rFonts w:ascii="宋体" w:eastAsia="宋体" w:hAnsi="Calibri" w:cs="宋体" w:hint="eastAsia"/>
          <w:kern w:val="0"/>
          <w:sz w:val="24"/>
          <w:szCs w:val="24"/>
          <w:lang w:val="zh-CN"/>
        </w:rPr>
        <w:t>无期现套利交易区间</w:t>
      </w:r>
      <w:r>
        <w:rPr>
          <w:rFonts w:ascii="宋体" w:eastAsia="宋体" w:hAnsi="Calibri" w:cs="宋体"/>
          <w:kern w:val="0"/>
          <w:sz w:val="24"/>
          <w:szCs w:val="24"/>
          <w:lang w:val="zh-CN"/>
        </w:rPr>
        <w:t>”</w:t>
      </w:r>
      <w:r>
        <w:rPr>
          <w:rFonts w:ascii="宋体" w:eastAsia="宋体" w:hAnsi="Calibri" w:cs="宋体" w:hint="eastAsia"/>
          <w:kern w:val="0"/>
          <w:sz w:val="24"/>
          <w:szCs w:val="24"/>
          <w:lang w:val="zh-CN"/>
        </w:rPr>
        <w:t>，它可以归纳为，</w:t>
      </w:r>
    </w:p>
    <w:p w:rsidR="005E1A53" w:rsidRDefault="005E1A53" w:rsidP="005E1A53">
      <w:pPr>
        <w:autoSpaceDE w:val="0"/>
        <w:autoSpaceDN w:val="0"/>
        <w:adjustRightInd w:val="0"/>
        <w:spacing w:line="360" w:lineRule="auto"/>
        <w:ind w:firstLine="480"/>
        <w:jc w:val="center"/>
        <w:rPr>
          <w:rFonts w:ascii="Calibri" w:eastAsia="宋体" w:hAnsi="Calibri" w:cs="Calibri"/>
          <w:kern w:val="0"/>
          <w:sz w:val="24"/>
          <w:szCs w:val="24"/>
        </w:rPr>
      </w:pPr>
      <w:r>
        <w:rPr>
          <w:rFonts w:ascii="宋体" w:eastAsia="宋体" w:hAnsi="Calibri" w:cs="宋体" w:hint="eastAsia"/>
          <w:kern w:val="0"/>
          <w:sz w:val="24"/>
          <w:szCs w:val="24"/>
          <w:lang w:val="zh-CN"/>
        </w:rPr>
        <w:t>无期现套利交易区间上限</w:t>
      </w:r>
      <w:r>
        <w:rPr>
          <w:rFonts w:ascii="Calibri" w:eastAsia="宋体" w:hAnsi="Calibri" w:cs="Calibri"/>
          <w:kern w:val="0"/>
          <w:sz w:val="24"/>
          <w:szCs w:val="24"/>
        </w:rPr>
        <w:t xml:space="preserve">= </w:t>
      </w:r>
      <w:r>
        <w:rPr>
          <w:rFonts w:ascii="宋体" w:eastAsia="宋体" w:hAnsi="Calibri" w:cs="宋体" w:hint="eastAsia"/>
          <w:kern w:val="0"/>
          <w:sz w:val="24"/>
          <w:szCs w:val="24"/>
          <w:lang w:val="zh-CN"/>
        </w:rPr>
        <w:t>现货指数价格</w:t>
      </w:r>
      <w:r>
        <w:rPr>
          <w:rFonts w:ascii="Calibri" w:eastAsia="宋体" w:hAnsi="Calibri" w:cs="Calibri"/>
          <w:kern w:val="0"/>
          <w:sz w:val="24"/>
          <w:szCs w:val="24"/>
        </w:rPr>
        <w:t>+</w:t>
      </w:r>
      <w:r>
        <w:rPr>
          <w:rFonts w:ascii="宋体" w:eastAsia="宋体" w:hAnsi="Calibri" w:cs="宋体" w:hint="eastAsia"/>
          <w:kern w:val="0"/>
          <w:sz w:val="24"/>
          <w:szCs w:val="24"/>
          <w:lang w:val="zh-CN"/>
        </w:rPr>
        <w:t>固定成本</w:t>
      </w:r>
      <w:r>
        <w:rPr>
          <w:rFonts w:ascii="Calibri" w:eastAsia="宋体" w:hAnsi="Calibri" w:cs="Calibri"/>
          <w:kern w:val="0"/>
          <w:sz w:val="24"/>
          <w:szCs w:val="24"/>
        </w:rPr>
        <w:t>+</w:t>
      </w:r>
      <w:r>
        <w:rPr>
          <w:rFonts w:ascii="宋体" w:eastAsia="宋体" w:hAnsi="Calibri" w:cs="宋体" w:hint="eastAsia"/>
          <w:kern w:val="0"/>
          <w:sz w:val="24"/>
          <w:szCs w:val="24"/>
          <w:lang w:val="zh-CN"/>
        </w:rPr>
        <w:t>可变成本</w:t>
      </w:r>
    </w:p>
    <w:p w:rsidR="005E1A53" w:rsidRDefault="005E1A53" w:rsidP="005E1A53">
      <w:pPr>
        <w:autoSpaceDE w:val="0"/>
        <w:autoSpaceDN w:val="0"/>
        <w:adjustRightInd w:val="0"/>
        <w:spacing w:line="360" w:lineRule="auto"/>
        <w:ind w:firstLine="1200"/>
        <w:rPr>
          <w:rFonts w:ascii="Calibri" w:eastAsia="宋体" w:hAnsi="Calibri" w:cs="Calibri"/>
          <w:kern w:val="0"/>
          <w:sz w:val="24"/>
          <w:szCs w:val="24"/>
        </w:rPr>
      </w:pPr>
      <w:r>
        <w:rPr>
          <w:rFonts w:ascii="宋体" w:eastAsia="宋体" w:hAnsi="Calibri" w:cs="宋体" w:hint="eastAsia"/>
          <w:kern w:val="0"/>
          <w:sz w:val="24"/>
          <w:szCs w:val="24"/>
          <w:lang w:val="zh-CN"/>
        </w:rPr>
        <w:t>无期现套利交易区间下限</w:t>
      </w:r>
      <w:r>
        <w:rPr>
          <w:rFonts w:ascii="Calibri" w:eastAsia="宋体" w:hAnsi="Calibri" w:cs="Calibri"/>
          <w:kern w:val="0"/>
          <w:sz w:val="24"/>
          <w:szCs w:val="24"/>
        </w:rPr>
        <w:t xml:space="preserve">= </w:t>
      </w:r>
      <w:r>
        <w:rPr>
          <w:rFonts w:ascii="宋体" w:eastAsia="宋体" w:hAnsi="Calibri" w:cs="宋体" w:hint="eastAsia"/>
          <w:kern w:val="0"/>
          <w:sz w:val="24"/>
          <w:szCs w:val="24"/>
          <w:lang w:val="zh-CN"/>
        </w:rPr>
        <w:t>现货指数价格</w:t>
      </w:r>
      <w:r>
        <w:rPr>
          <w:rFonts w:ascii="Calibri" w:eastAsia="宋体" w:hAnsi="Calibri" w:cs="Calibri"/>
          <w:kern w:val="0"/>
          <w:sz w:val="24"/>
          <w:szCs w:val="24"/>
        </w:rPr>
        <w:t>-</w:t>
      </w:r>
      <w:r>
        <w:rPr>
          <w:rFonts w:ascii="宋体" w:eastAsia="宋体" w:hAnsi="Calibri" w:cs="宋体" w:hint="eastAsia"/>
          <w:kern w:val="0"/>
          <w:sz w:val="24"/>
          <w:szCs w:val="24"/>
          <w:lang w:val="zh-CN"/>
        </w:rPr>
        <w:t>固定成本</w:t>
      </w:r>
      <w:r>
        <w:rPr>
          <w:rFonts w:ascii="Calibri" w:eastAsia="宋体" w:hAnsi="Calibri" w:cs="Calibri"/>
          <w:kern w:val="0"/>
          <w:sz w:val="24"/>
          <w:szCs w:val="24"/>
        </w:rPr>
        <w:t>-</w:t>
      </w:r>
      <w:r>
        <w:rPr>
          <w:rFonts w:ascii="宋体" w:eastAsia="宋体" w:hAnsi="Calibri" w:cs="宋体" w:hint="eastAsia"/>
          <w:kern w:val="0"/>
          <w:sz w:val="24"/>
          <w:szCs w:val="24"/>
          <w:lang w:val="zh-CN"/>
        </w:rPr>
        <w:t>可变成本</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其中：</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固定成本包括资金成本、交易费用（现货、期货）、现货组合跟踪误差。</w:t>
      </w:r>
      <w:r>
        <w:rPr>
          <w:rFonts w:ascii="Calibri" w:eastAsia="宋体" w:hAnsi="Calibri" w:cs="Calibri"/>
          <w:kern w:val="0"/>
          <w:sz w:val="24"/>
          <w:szCs w:val="24"/>
        </w:rPr>
        <w:t xml:space="preserve"> </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t>可变成本包括现货冲击成本、期货冲击成本。</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r>
        <w:rPr>
          <w:rFonts w:ascii="宋体" w:eastAsia="宋体" w:hAnsi="Calibri" w:cs="宋体" w:hint="eastAsia"/>
          <w:kern w:val="0"/>
          <w:sz w:val="24"/>
          <w:szCs w:val="24"/>
          <w:lang w:val="zh-CN"/>
        </w:rPr>
        <w:lastRenderedPageBreak/>
        <w:t>如图</w:t>
      </w:r>
      <w:r>
        <w:rPr>
          <w:rFonts w:ascii="Calibri" w:eastAsia="宋体" w:hAnsi="Calibri" w:cs="Calibri"/>
          <w:kern w:val="0"/>
          <w:sz w:val="24"/>
          <w:szCs w:val="24"/>
        </w:rPr>
        <w:t>1</w:t>
      </w:r>
      <w:r>
        <w:rPr>
          <w:rFonts w:ascii="宋体" w:eastAsia="宋体" w:hAnsi="Calibri" w:cs="宋体" w:hint="eastAsia"/>
          <w:kern w:val="0"/>
          <w:sz w:val="24"/>
          <w:szCs w:val="24"/>
          <w:lang w:val="zh-CN"/>
        </w:rPr>
        <w:t>所示：当股指期货交易价格高于区间上限时，出现正向期现套利交易机会；反之当股指期货交易价格低于区间下限时，出现反向期现套利交易机会；</w:t>
      </w:r>
    </w:p>
    <w:p w:rsidR="005E1A53" w:rsidRDefault="005E1A53" w:rsidP="005E1A53">
      <w:pPr>
        <w:autoSpaceDE w:val="0"/>
        <w:autoSpaceDN w:val="0"/>
        <w:adjustRightInd w:val="0"/>
        <w:spacing w:line="360" w:lineRule="auto"/>
        <w:ind w:firstLine="480"/>
        <w:rPr>
          <w:rFonts w:ascii="Calibri" w:eastAsia="宋体" w:hAnsi="Calibri" w:cs="Calibri"/>
          <w:kern w:val="0"/>
          <w:sz w:val="24"/>
          <w:szCs w:val="24"/>
        </w:rPr>
      </w:pPr>
    </w:p>
    <w:p w:rsidR="005E1A53" w:rsidRDefault="005E1A53" w:rsidP="005E1A53">
      <w:pPr>
        <w:autoSpaceDE w:val="0"/>
        <w:autoSpaceDN w:val="0"/>
        <w:adjustRightInd w:val="0"/>
        <w:spacing w:line="360" w:lineRule="auto"/>
        <w:ind w:firstLine="482"/>
        <w:rPr>
          <w:rFonts w:ascii="Calibri" w:eastAsia="宋体" w:hAnsi="Calibri" w:cs="Calibri"/>
          <w:b/>
          <w:bCs/>
          <w:kern w:val="0"/>
          <w:sz w:val="24"/>
          <w:szCs w:val="24"/>
        </w:rPr>
      </w:pPr>
      <w:r>
        <w:rPr>
          <w:rFonts w:ascii="宋体" w:eastAsia="宋体" w:hAnsi="Calibri" w:cs="宋体" w:hint="eastAsia"/>
          <w:b/>
          <w:bCs/>
          <w:kern w:val="0"/>
          <w:sz w:val="24"/>
          <w:szCs w:val="24"/>
          <w:lang w:val="zh-CN"/>
        </w:rPr>
        <w:t>图</w:t>
      </w:r>
      <w:r>
        <w:rPr>
          <w:rFonts w:ascii="Calibri" w:eastAsia="宋体" w:hAnsi="Calibri" w:cs="Calibri"/>
          <w:b/>
          <w:bCs/>
          <w:kern w:val="0"/>
          <w:sz w:val="24"/>
          <w:szCs w:val="24"/>
        </w:rPr>
        <w:t>1</w:t>
      </w:r>
      <w:r>
        <w:rPr>
          <w:rFonts w:ascii="宋体" w:eastAsia="宋体" w:hAnsi="Calibri" w:cs="宋体" w:hint="eastAsia"/>
          <w:b/>
          <w:bCs/>
          <w:kern w:val="0"/>
          <w:sz w:val="24"/>
          <w:szCs w:val="24"/>
          <w:lang w:val="zh-CN"/>
        </w:rPr>
        <w:t>：期现套利交易机会图</w:t>
      </w:r>
    </w:p>
    <w:p w:rsidR="005E1A53" w:rsidRDefault="005E1A53" w:rsidP="005E1A53">
      <w:pPr>
        <w:autoSpaceDE w:val="0"/>
        <w:autoSpaceDN w:val="0"/>
        <w:adjustRightInd w:val="0"/>
        <w:spacing w:line="360" w:lineRule="auto"/>
        <w:ind w:firstLine="560"/>
        <w:rPr>
          <w:rFonts w:ascii="Calibri" w:eastAsia="宋体" w:hAnsi="Calibri" w:cs="Calibri"/>
          <w:kern w:val="0"/>
          <w:sz w:val="24"/>
          <w:szCs w:val="24"/>
        </w:rPr>
      </w:pPr>
    </w:p>
    <w:p w:rsidR="005E1A53" w:rsidRDefault="005E1A53" w:rsidP="005E1A53">
      <w:pPr>
        <w:autoSpaceDE w:val="0"/>
        <w:autoSpaceDN w:val="0"/>
        <w:adjustRightInd w:val="0"/>
        <w:ind w:left="360"/>
        <w:rPr>
          <w:rFonts w:ascii="Calibri" w:eastAsia="宋体" w:hAnsi="Calibri" w:cs="Calibri"/>
          <w:kern w:val="0"/>
          <w:szCs w:val="21"/>
        </w:rPr>
      </w:pPr>
    </w:p>
    <w:p w:rsidR="005E1A53" w:rsidRDefault="005E1A53" w:rsidP="005E1A53">
      <w:pPr>
        <w:numPr>
          <w:ilvl w:val="0"/>
          <w:numId w:val="1"/>
        </w:numPr>
        <w:autoSpaceDE w:val="0"/>
        <w:autoSpaceDN w:val="0"/>
        <w:adjustRightInd w:val="0"/>
        <w:ind w:left="360" w:hanging="360"/>
        <w:rPr>
          <w:rFonts w:ascii="Calibri" w:eastAsia="宋体" w:hAnsi="Calibri" w:cs="Calibri"/>
          <w:kern w:val="0"/>
          <w:szCs w:val="21"/>
        </w:rPr>
      </w:pPr>
      <w:r>
        <w:rPr>
          <w:rFonts w:ascii="宋体" w:eastAsia="宋体" w:hAnsi="Calibri" w:cs="宋体" w:hint="eastAsia"/>
          <w:kern w:val="0"/>
          <w:szCs w:val="21"/>
          <w:lang w:val="zh-CN"/>
        </w:rPr>
        <w:t>多因子</w:t>
      </w:r>
      <w:r>
        <w:rPr>
          <w:rFonts w:ascii="Calibri" w:eastAsia="宋体" w:hAnsi="Calibri" w:cs="Calibri"/>
          <w:kern w:val="0"/>
          <w:szCs w:val="21"/>
        </w:rPr>
        <w:t>Alpha</w:t>
      </w:r>
      <w:r>
        <w:rPr>
          <w:rFonts w:ascii="宋体" w:eastAsia="宋体" w:hAnsi="Calibri" w:cs="宋体" w:hint="eastAsia"/>
          <w:kern w:val="0"/>
          <w:szCs w:val="21"/>
          <w:lang w:val="zh-CN"/>
        </w:rPr>
        <w:t>策略</w:t>
      </w:r>
    </w:p>
    <w:p w:rsidR="005E1A53" w:rsidRDefault="005E1A53" w:rsidP="005E1A53">
      <w:pPr>
        <w:autoSpaceDE w:val="0"/>
        <w:autoSpaceDN w:val="0"/>
        <w:adjustRightInd w:val="0"/>
        <w:spacing w:line="360" w:lineRule="auto"/>
        <w:ind w:firstLine="480"/>
        <w:jc w:val="left"/>
        <w:rPr>
          <w:rFonts w:ascii="Calibri" w:eastAsia="宋体" w:hAnsi="Calibri" w:cs="Calibri"/>
          <w:kern w:val="0"/>
          <w:sz w:val="24"/>
          <w:szCs w:val="24"/>
        </w:rPr>
      </w:pPr>
      <w:r>
        <w:rPr>
          <w:rFonts w:ascii="宋体" w:eastAsia="宋体" w:hAnsi="Calibri" w:cs="宋体" w:hint="eastAsia"/>
          <w:kern w:val="0"/>
          <w:sz w:val="24"/>
          <w:szCs w:val="24"/>
          <w:lang w:val="zh-CN"/>
        </w:rPr>
        <w:t>多因子</w:t>
      </w:r>
      <w:r>
        <w:rPr>
          <w:rFonts w:ascii="Calibri" w:eastAsia="宋体" w:hAnsi="Calibri" w:cs="Calibri"/>
          <w:kern w:val="0"/>
          <w:sz w:val="24"/>
          <w:szCs w:val="24"/>
        </w:rPr>
        <w:t>Alpha</w:t>
      </w:r>
      <w:r>
        <w:rPr>
          <w:rFonts w:ascii="宋体" w:eastAsia="宋体" w:hAnsi="Calibri" w:cs="宋体" w:hint="eastAsia"/>
          <w:kern w:val="0"/>
          <w:sz w:val="24"/>
          <w:szCs w:val="24"/>
          <w:lang w:val="zh-CN"/>
        </w:rPr>
        <w:t>策略来源于市场中性的股票多空策略，它是基于经典的</w:t>
      </w:r>
      <w:r>
        <w:rPr>
          <w:rFonts w:ascii="Calibri" w:eastAsia="宋体" w:hAnsi="Calibri" w:cs="Calibri"/>
          <w:kern w:val="0"/>
          <w:sz w:val="24"/>
          <w:szCs w:val="24"/>
        </w:rPr>
        <w:t>CAPM</w:t>
      </w:r>
      <w:r>
        <w:rPr>
          <w:rFonts w:ascii="宋体" w:eastAsia="宋体" w:hAnsi="Calibri" w:cs="宋体" w:hint="eastAsia"/>
          <w:kern w:val="0"/>
          <w:sz w:val="24"/>
          <w:szCs w:val="24"/>
          <w:lang w:val="zh-CN"/>
        </w:rPr>
        <w:t>（</w:t>
      </w:r>
      <w:r>
        <w:rPr>
          <w:rFonts w:ascii="Calibri" w:eastAsia="宋体" w:hAnsi="Calibri" w:cs="Calibri"/>
          <w:kern w:val="0"/>
          <w:sz w:val="24"/>
          <w:szCs w:val="24"/>
        </w:rPr>
        <w:t xml:space="preserve">Capital assets pricing model </w:t>
      </w:r>
      <w:r>
        <w:rPr>
          <w:rFonts w:ascii="宋体" w:eastAsia="宋体" w:hAnsi="Calibri" w:cs="宋体" w:hint="eastAsia"/>
          <w:kern w:val="0"/>
          <w:sz w:val="24"/>
          <w:szCs w:val="24"/>
          <w:lang w:val="zh-CN"/>
        </w:rPr>
        <w:t>资本资产定价模型）理论，基本思想是通过卖空期货、期权等衍生品，将投资组合的超额收益从组合中分离出来，这样组合投资者就不用承担或者承担较少的系统性风险。</w:t>
      </w:r>
    </w:p>
    <w:p w:rsidR="005E1A53" w:rsidRDefault="005E1A53" w:rsidP="005E1A53">
      <w:pPr>
        <w:autoSpaceDE w:val="0"/>
        <w:autoSpaceDN w:val="0"/>
        <w:adjustRightInd w:val="0"/>
        <w:spacing w:line="360" w:lineRule="auto"/>
        <w:ind w:left="360" w:firstLine="1800"/>
        <w:jc w:val="left"/>
        <w:rPr>
          <w:rFonts w:ascii="Calibri" w:eastAsia="宋体" w:hAnsi="Calibri" w:cs="Calibri"/>
          <w:kern w:val="0"/>
          <w:sz w:val="24"/>
          <w:szCs w:val="24"/>
        </w:rPr>
      </w:pPr>
      <w:r>
        <w:rPr>
          <w:rFonts w:ascii="Calibri" w:eastAsia="宋体" w:hAnsi="Calibri" w:cs="Calibri"/>
          <w:kern w:val="0"/>
          <w:sz w:val="24"/>
          <w:szCs w:val="24"/>
        </w:rPr>
        <w:t>CAPM</w:t>
      </w:r>
      <w:r>
        <w:rPr>
          <w:rFonts w:ascii="宋体" w:eastAsia="宋体" w:hAnsi="Calibri" w:cs="宋体" w:hint="eastAsia"/>
          <w:kern w:val="0"/>
          <w:sz w:val="24"/>
          <w:szCs w:val="24"/>
          <w:lang w:val="zh-CN"/>
        </w:rPr>
        <w:t>表达式为</w:t>
      </w:r>
      <w:r>
        <w:rPr>
          <w:rFonts w:ascii="Calibri" w:eastAsia="宋体" w:hAnsi="Calibri" w:cs="Calibri"/>
          <w:kern w:val="0"/>
          <w:sz w:val="24"/>
          <w:szCs w:val="24"/>
        </w:rPr>
        <w:t xml:space="preserve"> </w:t>
      </w:r>
      <w:r>
        <w:rPr>
          <w:rFonts w:ascii="Calibri" w:eastAsia="宋体" w:hAnsi="Calibri" w:cs="Calibri"/>
          <w:noProof/>
          <w:kern w:val="0"/>
          <w:sz w:val="24"/>
          <w:szCs w:val="24"/>
        </w:rPr>
        <w:drawing>
          <wp:inline distT="0" distB="0" distL="0" distR="0">
            <wp:extent cx="16668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66875" cy="247650"/>
                    </a:xfrm>
                    <a:prstGeom prst="rect">
                      <a:avLst/>
                    </a:prstGeom>
                    <a:noFill/>
                    <a:ln w="9525">
                      <a:noFill/>
                      <a:miter lim="800000"/>
                      <a:headEnd/>
                      <a:tailEnd/>
                    </a:ln>
                  </pic:spPr>
                </pic:pic>
              </a:graphicData>
            </a:graphic>
          </wp:inline>
        </w:drawing>
      </w:r>
    </w:p>
    <w:p w:rsidR="005E1A53" w:rsidRDefault="005E1A53" w:rsidP="005E1A53">
      <w:pPr>
        <w:autoSpaceDE w:val="0"/>
        <w:autoSpaceDN w:val="0"/>
        <w:adjustRightInd w:val="0"/>
        <w:spacing w:line="360" w:lineRule="auto"/>
        <w:ind w:firstLine="420"/>
        <w:jc w:val="left"/>
        <w:rPr>
          <w:rFonts w:ascii="Calibri" w:eastAsia="宋体" w:hAnsi="Calibri" w:cs="Calibri"/>
          <w:kern w:val="0"/>
          <w:sz w:val="24"/>
          <w:szCs w:val="24"/>
        </w:rPr>
      </w:pPr>
      <w:r>
        <w:rPr>
          <w:rFonts w:ascii="宋体" w:eastAsia="宋体" w:hAnsi="Calibri" w:cs="宋体" w:hint="eastAsia"/>
          <w:kern w:val="0"/>
          <w:sz w:val="24"/>
          <w:szCs w:val="24"/>
          <w:lang w:val="zh-CN"/>
        </w:rPr>
        <w:t>其中</w:t>
      </w:r>
      <w:r>
        <w:rPr>
          <w:rFonts w:ascii="宋体" w:eastAsia="宋体" w:hAnsi="Calibri" w:cs="宋体" w:hint="eastAsia"/>
          <w:noProof/>
          <w:kern w:val="0"/>
          <w:sz w:val="24"/>
          <w:szCs w:val="24"/>
        </w:rPr>
        <w:drawing>
          <wp:inline distT="0" distB="0" distL="0" distR="0">
            <wp:extent cx="342900" cy="2286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42900" cy="22860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为股票</w:t>
      </w:r>
      <w:r>
        <w:rPr>
          <w:rFonts w:ascii="宋体" w:eastAsia="宋体" w:hAnsi="Calibri" w:cs="宋体" w:hint="eastAsia"/>
          <w:noProof/>
          <w:kern w:val="0"/>
          <w:sz w:val="24"/>
          <w:szCs w:val="24"/>
        </w:rPr>
        <w:drawing>
          <wp:inline distT="0" distB="0" distL="0" distR="0">
            <wp:extent cx="85725" cy="17145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的期望收益，</w:t>
      </w:r>
      <w:r>
        <w:rPr>
          <w:rFonts w:ascii="宋体" w:eastAsia="宋体" w:hAnsi="Calibri" w:cs="宋体" w:hint="eastAsia"/>
          <w:noProof/>
          <w:kern w:val="0"/>
          <w:sz w:val="24"/>
          <w:szCs w:val="24"/>
        </w:rPr>
        <w:drawing>
          <wp:inline distT="0" distB="0" distL="0" distR="0">
            <wp:extent cx="40005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0050" cy="22860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为市场指数的期望收益。</w:t>
      </w:r>
      <w:r>
        <w:rPr>
          <w:rFonts w:ascii="宋体" w:eastAsia="宋体" w:hAnsi="Calibri" w:cs="宋体" w:hint="eastAsia"/>
          <w:noProof/>
          <w:kern w:val="0"/>
          <w:sz w:val="24"/>
          <w:szCs w:val="24"/>
        </w:rPr>
        <w:drawing>
          <wp:inline distT="0" distB="0" distL="0" distR="0">
            <wp:extent cx="152400" cy="2476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52400" cy="2476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为无风险收益率，</w:t>
      </w:r>
      <w:r>
        <w:rPr>
          <w:rFonts w:ascii="宋体" w:eastAsia="宋体" w:hAnsi="Calibri" w:cs="宋体" w:hint="eastAsia"/>
          <w:noProof/>
          <w:kern w:val="0"/>
          <w:sz w:val="24"/>
          <w:szCs w:val="24"/>
        </w:rPr>
        <w:drawing>
          <wp:inline distT="0" distB="0" distL="0" distR="0">
            <wp:extent cx="171450" cy="2286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71450" cy="22860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是股票</w:t>
      </w:r>
      <w:r>
        <w:rPr>
          <w:rFonts w:ascii="宋体" w:eastAsia="宋体" w:hAnsi="Calibri" w:cs="宋体" w:hint="eastAsia"/>
          <w:noProof/>
          <w:kern w:val="0"/>
          <w:sz w:val="24"/>
          <w:szCs w:val="24"/>
        </w:rPr>
        <w:drawing>
          <wp:inline distT="0" distB="0" distL="0" distR="0">
            <wp:extent cx="85725" cy="1714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的</w:t>
      </w:r>
      <w:r>
        <w:rPr>
          <w:rFonts w:ascii="Calibri" w:eastAsia="宋体" w:hAnsi="Calibri" w:cs="Calibri"/>
          <w:kern w:val="0"/>
          <w:sz w:val="24"/>
          <w:szCs w:val="24"/>
        </w:rPr>
        <w:t>beta</w:t>
      </w:r>
      <w:r>
        <w:rPr>
          <w:rFonts w:ascii="宋体" w:eastAsia="宋体" w:hAnsi="Calibri" w:cs="宋体" w:hint="eastAsia"/>
          <w:kern w:val="0"/>
          <w:sz w:val="24"/>
          <w:szCs w:val="24"/>
          <w:lang w:val="zh-CN"/>
        </w:rPr>
        <w:t>值，代表证券</w:t>
      </w:r>
      <w:r>
        <w:rPr>
          <w:rFonts w:ascii="宋体" w:eastAsia="宋体" w:hAnsi="Calibri" w:cs="宋体" w:hint="eastAsia"/>
          <w:noProof/>
          <w:kern w:val="0"/>
          <w:sz w:val="24"/>
          <w:szCs w:val="24"/>
        </w:rPr>
        <w:drawing>
          <wp:inline distT="0" distB="0" distL="0" distR="0">
            <wp:extent cx="85725" cy="1714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的系统性风险，通常由下式得到：</w:t>
      </w:r>
    </w:p>
    <w:p w:rsidR="005E1A53" w:rsidRDefault="005E1A53" w:rsidP="005E1A53">
      <w:pPr>
        <w:autoSpaceDE w:val="0"/>
        <w:autoSpaceDN w:val="0"/>
        <w:adjustRightInd w:val="0"/>
        <w:spacing w:line="360" w:lineRule="auto"/>
        <w:ind w:firstLine="2415"/>
        <w:rPr>
          <w:rFonts w:ascii="Calibri" w:eastAsia="宋体" w:hAnsi="Calibri" w:cs="Calibri"/>
          <w:kern w:val="0"/>
          <w:sz w:val="24"/>
          <w:szCs w:val="24"/>
        </w:rPr>
      </w:pPr>
      <w:r>
        <w:rPr>
          <w:rFonts w:ascii="宋体" w:eastAsia="宋体" w:hAnsi="Calibri" w:cs="宋体" w:hint="eastAsia"/>
          <w:noProof/>
          <w:kern w:val="0"/>
          <w:sz w:val="22"/>
        </w:rPr>
        <w:drawing>
          <wp:inline distT="0" distB="0" distL="0" distR="0">
            <wp:extent cx="1590675" cy="4857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590675" cy="485775"/>
                    </a:xfrm>
                    <a:prstGeom prst="rect">
                      <a:avLst/>
                    </a:prstGeom>
                    <a:noFill/>
                    <a:ln w="9525">
                      <a:noFill/>
                      <a:miter lim="800000"/>
                      <a:headEnd/>
                      <a:tailEnd/>
                    </a:ln>
                  </pic:spPr>
                </pic:pic>
              </a:graphicData>
            </a:graphic>
          </wp:inline>
        </w:drawing>
      </w:r>
    </w:p>
    <w:p w:rsidR="005E1A53" w:rsidRDefault="005E1A53" w:rsidP="005E1A53">
      <w:pPr>
        <w:autoSpaceDE w:val="0"/>
        <w:autoSpaceDN w:val="0"/>
        <w:adjustRightInd w:val="0"/>
        <w:spacing w:line="360" w:lineRule="auto"/>
        <w:ind w:firstLine="420"/>
        <w:jc w:val="left"/>
        <w:rPr>
          <w:rFonts w:ascii="Calibri" w:eastAsia="宋体" w:hAnsi="Calibri" w:cs="Calibri"/>
          <w:kern w:val="0"/>
          <w:sz w:val="24"/>
          <w:szCs w:val="24"/>
        </w:rPr>
      </w:pPr>
      <w:r>
        <w:rPr>
          <w:rFonts w:ascii="宋体" w:eastAsia="宋体" w:hAnsi="Calibri" w:cs="宋体" w:hint="eastAsia"/>
          <w:noProof/>
          <w:kern w:val="0"/>
          <w:sz w:val="22"/>
        </w:rPr>
        <w:drawing>
          <wp:inline distT="0" distB="0" distL="0" distR="0">
            <wp:extent cx="180975" cy="2286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80975" cy="22860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和</w:t>
      </w:r>
      <w:r>
        <w:rPr>
          <w:rFonts w:ascii="宋体" w:eastAsia="宋体" w:hAnsi="Calibri" w:cs="宋体" w:hint="eastAsia"/>
          <w:noProof/>
          <w:kern w:val="0"/>
          <w:sz w:val="24"/>
          <w:szCs w:val="24"/>
        </w:rPr>
        <w:drawing>
          <wp:inline distT="0" distB="0" distL="0" distR="0">
            <wp:extent cx="219075" cy="22860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19075" cy="22860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分别是股票</w:t>
      </w:r>
      <w:r>
        <w:rPr>
          <w:rFonts w:ascii="宋体" w:eastAsia="宋体" w:hAnsi="Calibri" w:cs="宋体" w:hint="eastAsia"/>
          <w:noProof/>
          <w:kern w:val="0"/>
          <w:sz w:val="24"/>
          <w:szCs w:val="24"/>
        </w:rPr>
        <w:drawing>
          <wp:inline distT="0" distB="0" distL="0" distR="0">
            <wp:extent cx="85725" cy="1714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收益和市场指数收益的标准差，</w:t>
      </w:r>
      <w:r>
        <w:rPr>
          <w:rFonts w:ascii="宋体" w:eastAsia="宋体" w:hAnsi="Calibri" w:cs="宋体" w:hint="eastAsia"/>
          <w:noProof/>
          <w:kern w:val="0"/>
          <w:sz w:val="24"/>
          <w:szCs w:val="24"/>
        </w:rPr>
        <w:drawing>
          <wp:inline distT="0" distB="0" distL="0" distR="0">
            <wp:extent cx="266700" cy="2476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6700" cy="247650"/>
                    </a:xfrm>
                    <a:prstGeom prst="rect">
                      <a:avLst/>
                    </a:prstGeom>
                    <a:noFill/>
                    <a:ln w="9525">
                      <a:noFill/>
                      <a:miter lim="800000"/>
                      <a:headEnd/>
                      <a:tailEnd/>
                    </a:ln>
                  </pic:spPr>
                </pic:pic>
              </a:graphicData>
            </a:graphic>
          </wp:inline>
        </w:drawing>
      </w:r>
      <w:r>
        <w:rPr>
          <w:rFonts w:ascii="Calibri" w:eastAsia="宋体" w:hAnsi="Calibri" w:cs="Calibri"/>
          <w:kern w:val="0"/>
          <w:sz w:val="24"/>
          <w:szCs w:val="24"/>
        </w:rPr>
        <w:t xml:space="preserve"> </w:t>
      </w:r>
      <w:r>
        <w:rPr>
          <w:rFonts w:ascii="宋体" w:eastAsia="宋体" w:hAnsi="Calibri" w:cs="宋体" w:hint="eastAsia"/>
          <w:kern w:val="0"/>
          <w:sz w:val="24"/>
          <w:szCs w:val="24"/>
          <w:lang w:val="zh-CN"/>
        </w:rPr>
        <w:t>是股票</w:t>
      </w:r>
      <w:r>
        <w:rPr>
          <w:rFonts w:ascii="宋体" w:eastAsia="宋体" w:hAnsi="Calibri" w:cs="宋体" w:hint="eastAsia"/>
          <w:noProof/>
          <w:kern w:val="0"/>
          <w:sz w:val="24"/>
          <w:szCs w:val="24"/>
        </w:rPr>
        <w:drawing>
          <wp:inline distT="0" distB="0" distL="0" distR="0">
            <wp:extent cx="85725" cy="17145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收益和市场指数收益之间的相关系数，</w:t>
      </w:r>
      <w:r>
        <w:rPr>
          <w:rFonts w:ascii="宋体" w:eastAsia="宋体" w:hAnsi="Calibri" w:cs="宋体" w:hint="eastAsia"/>
          <w:noProof/>
          <w:kern w:val="0"/>
          <w:sz w:val="24"/>
          <w:szCs w:val="24"/>
        </w:rPr>
        <w:drawing>
          <wp:inline distT="0" distB="0" distL="0" distR="0">
            <wp:extent cx="409575" cy="24765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09575" cy="2476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是股票</w:t>
      </w:r>
      <w:r>
        <w:rPr>
          <w:rFonts w:ascii="宋体" w:eastAsia="宋体" w:hAnsi="Calibri" w:cs="宋体" w:hint="eastAsia"/>
          <w:noProof/>
          <w:kern w:val="0"/>
          <w:sz w:val="24"/>
          <w:szCs w:val="24"/>
        </w:rPr>
        <w:drawing>
          <wp:inline distT="0" distB="0" distL="0" distR="0">
            <wp:extent cx="85725" cy="1714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收益和市场指数收益之间的协方差。</w:t>
      </w:r>
    </w:p>
    <w:p w:rsidR="005E1A53" w:rsidRDefault="005E1A53" w:rsidP="005E1A53">
      <w:pPr>
        <w:autoSpaceDE w:val="0"/>
        <w:autoSpaceDN w:val="0"/>
        <w:adjustRightInd w:val="0"/>
        <w:spacing w:line="360" w:lineRule="auto"/>
        <w:ind w:firstLine="540"/>
        <w:jc w:val="left"/>
        <w:rPr>
          <w:rFonts w:ascii="Calibri" w:eastAsia="宋体" w:hAnsi="Calibri" w:cs="Calibri"/>
          <w:kern w:val="0"/>
          <w:sz w:val="24"/>
          <w:szCs w:val="24"/>
        </w:rPr>
      </w:pPr>
      <w:r>
        <w:rPr>
          <w:rFonts w:ascii="宋体" w:eastAsia="宋体" w:hAnsi="Calibri" w:cs="宋体" w:hint="eastAsia"/>
          <w:kern w:val="0"/>
          <w:sz w:val="24"/>
          <w:szCs w:val="24"/>
          <w:lang w:val="zh-CN"/>
        </w:rPr>
        <w:t>我们可以根据</w:t>
      </w:r>
      <w:r>
        <w:rPr>
          <w:rFonts w:ascii="Calibri" w:eastAsia="宋体" w:hAnsi="Calibri" w:cs="Calibri"/>
          <w:kern w:val="0"/>
          <w:sz w:val="24"/>
          <w:szCs w:val="24"/>
        </w:rPr>
        <w:t>CAPM</w:t>
      </w:r>
      <w:r>
        <w:rPr>
          <w:rFonts w:ascii="宋体" w:eastAsia="宋体" w:hAnsi="Calibri" w:cs="宋体" w:hint="eastAsia"/>
          <w:kern w:val="0"/>
          <w:sz w:val="24"/>
          <w:szCs w:val="24"/>
          <w:lang w:val="zh-CN"/>
        </w:rPr>
        <w:t>模型估计出股票投资的超额收益率，表达式为</w:t>
      </w:r>
      <w:r>
        <w:rPr>
          <w:rFonts w:ascii="宋体" w:eastAsia="宋体" w:hAnsi="Calibri" w:cs="宋体" w:hint="eastAsia"/>
          <w:noProof/>
          <w:kern w:val="0"/>
          <w:sz w:val="24"/>
          <w:szCs w:val="24"/>
        </w:rPr>
        <w:drawing>
          <wp:inline distT="0" distB="0" distL="0" distR="0">
            <wp:extent cx="1771650" cy="2476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1771650" cy="2476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w:t>
      </w:r>
      <w:r>
        <w:rPr>
          <w:rFonts w:ascii="宋体" w:eastAsia="宋体" w:hAnsi="Calibri" w:cs="宋体" w:hint="eastAsia"/>
          <w:noProof/>
          <w:kern w:val="0"/>
          <w:sz w:val="24"/>
          <w:szCs w:val="24"/>
        </w:rPr>
        <w:drawing>
          <wp:inline distT="0" distB="0" distL="0" distR="0">
            <wp:extent cx="171450" cy="2286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171450" cy="22860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代表股票</w:t>
      </w:r>
      <w:r>
        <w:rPr>
          <w:rFonts w:ascii="宋体" w:eastAsia="宋体" w:hAnsi="Calibri" w:cs="宋体" w:hint="eastAsia"/>
          <w:noProof/>
          <w:kern w:val="0"/>
          <w:sz w:val="24"/>
          <w:szCs w:val="24"/>
        </w:rPr>
        <w:drawing>
          <wp:inline distT="0" distB="0" distL="0" distR="0">
            <wp:extent cx="85725" cy="1714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的</w:t>
      </w:r>
      <w:r>
        <w:rPr>
          <w:rFonts w:ascii="Calibri" w:eastAsia="宋体" w:hAnsi="Calibri" w:cs="Calibri"/>
          <w:kern w:val="0"/>
          <w:sz w:val="24"/>
          <w:szCs w:val="24"/>
        </w:rPr>
        <w:t>Alpha</w:t>
      </w:r>
      <w:r>
        <w:rPr>
          <w:rFonts w:ascii="宋体" w:eastAsia="宋体" w:hAnsi="Calibri" w:cs="宋体" w:hint="eastAsia"/>
          <w:kern w:val="0"/>
          <w:sz w:val="24"/>
          <w:szCs w:val="24"/>
          <w:lang w:val="zh-CN"/>
        </w:rPr>
        <w:t>为超额收益率</w:t>
      </w:r>
      <w:r>
        <w:rPr>
          <w:rFonts w:ascii="Calibri" w:eastAsia="宋体" w:hAnsi="Calibri" w:cs="Calibri"/>
          <w:kern w:val="0"/>
          <w:sz w:val="24"/>
          <w:szCs w:val="24"/>
        </w:rPr>
        <w:t>,</w:t>
      </w:r>
      <w:r>
        <w:rPr>
          <w:rFonts w:ascii="宋体" w:eastAsia="宋体" w:hAnsi="Calibri" w:cs="宋体" w:hint="eastAsia"/>
          <w:kern w:val="0"/>
          <w:sz w:val="24"/>
          <w:szCs w:val="24"/>
          <w:lang w:val="zh-CN"/>
        </w:rPr>
        <w:t>也称为詹森阿尔法指标。又上式可知</w:t>
      </w:r>
      <w:r>
        <w:rPr>
          <w:rFonts w:ascii="宋体" w:eastAsia="宋体" w:hAnsi="Calibri" w:cs="宋体" w:hint="eastAsia"/>
          <w:noProof/>
          <w:kern w:val="0"/>
          <w:sz w:val="24"/>
          <w:szCs w:val="24"/>
        </w:rPr>
        <w:drawing>
          <wp:inline distT="0" distB="0" distL="0" distR="0">
            <wp:extent cx="2581275" cy="24765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2581275" cy="2476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，其具体含义就是股票</w:t>
      </w:r>
      <w:r>
        <w:rPr>
          <w:rFonts w:ascii="宋体" w:eastAsia="宋体" w:hAnsi="Calibri" w:cs="宋体" w:hint="eastAsia"/>
          <w:noProof/>
          <w:kern w:val="0"/>
          <w:sz w:val="24"/>
          <w:szCs w:val="24"/>
        </w:rPr>
        <w:drawing>
          <wp:inline distT="0" distB="0" distL="0" distR="0">
            <wp:extent cx="85725" cy="171450"/>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Pr>
          <w:rFonts w:ascii="宋体" w:eastAsia="宋体" w:hAnsi="Calibri" w:cs="宋体" w:hint="eastAsia"/>
          <w:kern w:val="0"/>
          <w:sz w:val="24"/>
          <w:szCs w:val="24"/>
          <w:lang w:val="zh-CN"/>
        </w:rPr>
        <w:t>的实际收益超过它市场风险对应的期望收益的部分，因此它是与投资者的选股能力直接相关的收益。</w:t>
      </w:r>
    </w:p>
    <w:p w:rsidR="005E1A53" w:rsidRDefault="005E1A53" w:rsidP="005E1A53">
      <w:pPr>
        <w:autoSpaceDE w:val="0"/>
        <w:autoSpaceDN w:val="0"/>
        <w:adjustRightInd w:val="0"/>
        <w:spacing w:line="360" w:lineRule="auto"/>
        <w:ind w:firstLine="480"/>
        <w:jc w:val="left"/>
        <w:rPr>
          <w:rFonts w:ascii="Calibri" w:eastAsia="宋体" w:hAnsi="Calibri" w:cs="Calibri"/>
          <w:kern w:val="0"/>
          <w:sz w:val="24"/>
          <w:szCs w:val="24"/>
        </w:rPr>
      </w:pPr>
      <w:r>
        <w:rPr>
          <w:rFonts w:ascii="宋体" w:eastAsia="宋体" w:hAnsi="Calibri" w:cs="宋体" w:hint="eastAsia"/>
          <w:kern w:val="0"/>
          <w:sz w:val="24"/>
          <w:szCs w:val="24"/>
          <w:lang w:val="zh-CN"/>
        </w:rPr>
        <w:t>根据以上模型，我们就可以将任意投资组合的收益分解为两个部分：市场收益和超额收益。那么我们就可以通过卖空股指期货来对冲市场收益的这部分系统风险，期货空头头寸就等于投资组合的</w:t>
      </w:r>
      <w:r>
        <w:rPr>
          <w:rFonts w:ascii="Calibri" w:eastAsia="宋体" w:hAnsi="Calibri" w:cs="Calibri"/>
          <w:kern w:val="0"/>
          <w:sz w:val="24"/>
          <w:szCs w:val="24"/>
        </w:rPr>
        <w:t>Beta</w:t>
      </w:r>
      <w:r>
        <w:rPr>
          <w:rFonts w:ascii="宋体" w:eastAsia="宋体" w:hAnsi="Calibri" w:cs="宋体" w:hint="eastAsia"/>
          <w:kern w:val="0"/>
          <w:sz w:val="24"/>
          <w:szCs w:val="24"/>
          <w:lang w:val="zh-CN"/>
        </w:rPr>
        <w:t>值。</w:t>
      </w:r>
    </w:p>
    <w:p w:rsidR="005E1A53" w:rsidRDefault="005E1A53" w:rsidP="005E1A53">
      <w:pPr>
        <w:autoSpaceDE w:val="0"/>
        <w:autoSpaceDN w:val="0"/>
        <w:adjustRightInd w:val="0"/>
        <w:spacing w:line="360" w:lineRule="auto"/>
        <w:ind w:left="360"/>
        <w:jc w:val="left"/>
        <w:rPr>
          <w:rFonts w:ascii="Calibri" w:eastAsia="宋体" w:hAnsi="Calibri" w:cs="Calibri"/>
          <w:kern w:val="0"/>
          <w:sz w:val="24"/>
          <w:szCs w:val="24"/>
        </w:rPr>
      </w:pPr>
      <w:r>
        <w:rPr>
          <w:rFonts w:ascii="宋体" w:eastAsia="宋体" w:hAnsi="Calibri" w:cs="宋体" w:hint="eastAsia"/>
          <w:kern w:val="0"/>
          <w:szCs w:val="21"/>
          <w:lang w:val="zh-CN"/>
        </w:rPr>
        <w:lastRenderedPageBreak/>
        <w:t>多因子</w:t>
      </w:r>
      <w:r>
        <w:rPr>
          <w:rFonts w:ascii="Calibri" w:eastAsia="宋体" w:hAnsi="Calibri" w:cs="Calibri"/>
          <w:kern w:val="0"/>
          <w:sz w:val="24"/>
          <w:szCs w:val="24"/>
        </w:rPr>
        <w:t>Alpha</w:t>
      </w:r>
      <w:r>
        <w:rPr>
          <w:rFonts w:ascii="宋体" w:eastAsia="宋体" w:hAnsi="Calibri" w:cs="宋体" w:hint="eastAsia"/>
          <w:kern w:val="0"/>
          <w:sz w:val="24"/>
          <w:szCs w:val="24"/>
          <w:lang w:val="zh-CN"/>
        </w:rPr>
        <w:t>策略的投资目的是无论未来市场上涨还是下跌，我们都希望能</w:t>
      </w:r>
    </w:p>
    <w:p w:rsidR="005E1A53" w:rsidRDefault="005E1A53" w:rsidP="005E1A53">
      <w:pPr>
        <w:autoSpaceDE w:val="0"/>
        <w:autoSpaceDN w:val="0"/>
        <w:adjustRightInd w:val="0"/>
        <w:spacing w:line="360" w:lineRule="auto"/>
        <w:jc w:val="left"/>
        <w:rPr>
          <w:rFonts w:ascii="Calibri" w:eastAsia="宋体" w:hAnsi="Calibri" w:cs="Calibri"/>
          <w:kern w:val="0"/>
          <w:sz w:val="24"/>
          <w:szCs w:val="24"/>
        </w:rPr>
      </w:pPr>
      <w:r>
        <w:rPr>
          <w:rFonts w:ascii="宋体" w:eastAsia="宋体" w:hAnsi="Calibri" w:cs="宋体" w:hint="eastAsia"/>
          <w:kern w:val="0"/>
          <w:sz w:val="24"/>
          <w:szCs w:val="24"/>
          <w:lang w:val="zh-CN"/>
        </w:rPr>
        <w:t>够获得正的收益，所以前提是要保证股票多头组合有长期稳定的正</w:t>
      </w:r>
      <w:r>
        <w:rPr>
          <w:rFonts w:ascii="Calibri" w:eastAsia="宋体" w:hAnsi="Calibri" w:cs="Calibri"/>
          <w:kern w:val="0"/>
          <w:sz w:val="24"/>
          <w:szCs w:val="24"/>
        </w:rPr>
        <w:t>Alpha</w:t>
      </w:r>
      <w:r>
        <w:rPr>
          <w:rFonts w:ascii="宋体" w:eastAsia="宋体" w:hAnsi="Calibri" w:cs="宋体" w:hint="eastAsia"/>
          <w:kern w:val="0"/>
          <w:sz w:val="24"/>
          <w:szCs w:val="24"/>
          <w:lang w:val="zh-CN"/>
        </w:rPr>
        <w:t>收益，这是</w:t>
      </w:r>
      <w:r>
        <w:rPr>
          <w:rFonts w:ascii="Calibri" w:eastAsia="宋体" w:hAnsi="Calibri" w:cs="Calibri"/>
          <w:kern w:val="0"/>
          <w:sz w:val="24"/>
          <w:szCs w:val="24"/>
        </w:rPr>
        <w:t>Alpha</w:t>
      </w:r>
      <w:r>
        <w:rPr>
          <w:rFonts w:ascii="宋体" w:eastAsia="宋体" w:hAnsi="Calibri" w:cs="宋体" w:hint="eastAsia"/>
          <w:kern w:val="0"/>
          <w:sz w:val="24"/>
          <w:szCs w:val="24"/>
          <w:lang w:val="zh-CN"/>
        </w:rPr>
        <w:t>策略的关键所在。</w:t>
      </w:r>
    </w:p>
    <w:p w:rsidR="005E1A53" w:rsidRDefault="005E1A53" w:rsidP="005E1A53">
      <w:pPr>
        <w:autoSpaceDE w:val="0"/>
        <w:autoSpaceDN w:val="0"/>
        <w:adjustRightInd w:val="0"/>
        <w:spacing w:line="360" w:lineRule="auto"/>
        <w:jc w:val="left"/>
        <w:rPr>
          <w:rFonts w:ascii="??_GB2312" w:eastAsia="宋体" w:hAnsi="??_GB2312" w:cs="??_GB2312"/>
          <w:b/>
          <w:bCs/>
          <w:kern w:val="0"/>
          <w:sz w:val="24"/>
          <w:szCs w:val="24"/>
        </w:rPr>
      </w:pPr>
    </w:p>
    <w:p w:rsidR="005E1A53" w:rsidRDefault="005E1A53" w:rsidP="005E1A53">
      <w:pPr>
        <w:autoSpaceDE w:val="0"/>
        <w:autoSpaceDN w:val="0"/>
        <w:adjustRightInd w:val="0"/>
        <w:spacing w:line="360" w:lineRule="auto"/>
        <w:jc w:val="left"/>
        <w:rPr>
          <w:rFonts w:ascii="??_GB2312" w:eastAsia="宋体" w:hAnsi="??_GB2312" w:cs="??_GB2312"/>
          <w:b/>
          <w:bCs/>
          <w:kern w:val="0"/>
          <w:sz w:val="24"/>
          <w:szCs w:val="24"/>
        </w:rPr>
      </w:pPr>
      <w:r>
        <w:rPr>
          <w:rFonts w:ascii="宋体" w:eastAsia="宋体" w:hAnsi="??_GB2312" w:cs="宋体" w:hint="eastAsia"/>
          <w:b/>
          <w:bCs/>
          <w:kern w:val="0"/>
          <w:sz w:val="24"/>
          <w:szCs w:val="24"/>
          <w:lang w:val="zh-CN"/>
        </w:rPr>
        <w:t>图</w:t>
      </w:r>
      <w:r>
        <w:rPr>
          <w:rFonts w:ascii="??_GB2312" w:eastAsia="宋体" w:hAnsi="??_GB2312" w:cs="??_GB2312"/>
          <w:b/>
          <w:bCs/>
          <w:kern w:val="0"/>
          <w:sz w:val="24"/>
          <w:szCs w:val="24"/>
        </w:rPr>
        <w:t>2</w:t>
      </w:r>
      <w:r>
        <w:rPr>
          <w:rFonts w:ascii="宋体" w:eastAsia="宋体" w:hAnsi="??_GB2312" w:cs="宋体" w:hint="eastAsia"/>
          <w:b/>
          <w:bCs/>
          <w:kern w:val="0"/>
          <w:sz w:val="24"/>
          <w:szCs w:val="24"/>
          <w:lang w:val="zh-CN"/>
        </w:rPr>
        <w:t>：</w:t>
      </w:r>
      <w:r>
        <w:rPr>
          <w:rFonts w:ascii="??_GB2312" w:eastAsia="宋体" w:hAnsi="??_GB2312" w:cs="??_GB2312"/>
          <w:b/>
          <w:bCs/>
          <w:kern w:val="0"/>
          <w:sz w:val="24"/>
          <w:szCs w:val="24"/>
        </w:rPr>
        <w:t>Alpha</w:t>
      </w:r>
      <w:r>
        <w:rPr>
          <w:rFonts w:ascii="宋体" w:eastAsia="宋体" w:hAnsi="??_GB2312" w:cs="宋体" w:hint="eastAsia"/>
          <w:b/>
          <w:bCs/>
          <w:kern w:val="0"/>
          <w:sz w:val="24"/>
          <w:szCs w:val="24"/>
          <w:lang w:val="zh-CN"/>
        </w:rPr>
        <w:t>策略图示</w:t>
      </w:r>
    </w:p>
    <w:p w:rsidR="005E1A53" w:rsidRDefault="005E1A53" w:rsidP="005E1A53">
      <w:pPr>
        <w:autoSpaceDE w:val="0"/>
        <w:autoSpaceDN w:val="0"/>
        <w:adjustRightInd w:val="0"/>
        <w:spacing w:line="360" w:lineRule="auto"/>
        <w:ind w:left="360"/>
        <w:jc w:val="left"/>
        <w:rPr>
          <w:rFonts w:ascii="Calibri" w:eastAsia="宋体" w:hAnsi="Calibri" w:cs="Calibri"/>
          <w:kern w:val="0"/>
          <w:sz w:val="24"/>
          <w:szCs w:val="24"/>
        </w:rPr>
      </w:pPr>
    </w:p>
    <w:p w:rsidR="005E1A53" w:rsidRDefault="005E1A53" w:rsidP="005E1A53">
      <w:pPr>
        <w:autoSpaceDE w:val="0"/>
        <w:autoSpaceDN w:val="0"/>
        <w:adjustRightInd w:val="0"/>
        <w:spacing w:line="360" w:lineRule="auto"/>
        <w:ind w:left="360"/>
        <w:jc w:val="left"/>
        <w:rPr>
          <w:rFonts w:ascii="Calibri" w:eastAsia="宋体" w:hAnsi="Calibri" w:cs="Calibri"/>
          <w:kern w:val="0"/>
          <w:sz w:val="24"/>
          <w:szCs w:val="24"/>
        </w:rPr>
      </w:pPr>
    </w:p>
    <w:p w:rsidR="005E1A53" w:rsidRDefault="005E1A53" w:rsidP="005E1A53">
      <w:pPr>
        <w:autoSpaceDE w:val="0"/>
        <w:autoSpaceDN w:val="0"/>
        <w:adjustRightInd w:val="0"/>
        <w:spacing w:line="360" w:lineRule="auto"/>
        <w:ind w:left="360"/>
        <w:jc w:val="left"/>
        <w:rPr>
          <w:rFonts w:ascii="Calibri" w:eastAsia="宋体" w:hAnsi="Calibri" w:cs="Calibri"/>
          <w:kern w:val="0"/>
          <w:sz w:val="24"/>
          <w:szCs w:val="24"/>
        </w:rPr>
      </w:pPr>
    </w:p>
    <w:p w:rsidR="005E1A53" w:rsidRDefault="005E1A53" w:rsidP="005E1A53">
      <w:pPr>
        <w:autoSpaceDE w:val="0"/>
        <w:autoSpaceDN w:val="0"/>
        <w:adjustRightInd w:val="0"/>
        <w:spacing w:line="360" w:lineRule="auto"/>
        <w:ind w:left="360"/>
        <w:jc w:val="left"/>
        <w:rPr>
          <w:rFonts w:ascii="Calibri" w:eastAsia="宋体" w:hAnsi="Calibri" w:cs="Calibri"/>
          <w:kern w:val="0"/>
          <w:sz w:val="24"/>
          <w:szCs w:val="24"/>
        </w:rPr>
      </w:pPr>
    </w:p>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autoSpaceDE w:val="0"/>
        <w:autoSpaceDN w:val="0"/>
        <w:adjustRightInd w:val="0"/>
        <w:spacing w:line="360" w:lineRule="auto"/>
        <w:ind w:firstLine="420"/>
        <w:rPr>
          <w:rFonts w:ascii="Calibri" w:eastAsia="宋体" w:hAnsi="Calibri" w:cs="Calibri"/>
          <w:kern w:val="0"/>
          <w:sz w:val="24"/>
          <w:szCs w:val="24"/>
        </w:rPr>
      </w:pPr>
      <w:r>
        <w:rPr>
          <w:rFonts w:ascii="Calibri" w:eastAsia="宋体" w:hAnsi="Calibri" w:cs="Calibri"/>
          <w:kern w:val="0"/>
          <w:szCs w:val="21"/>
        </w:rPr>
        <w:t xml:space="preserve"> </w:t>
      </w:r>
      <w:r>
        <w:rPr>
          <w:rFonts w:ascii="宋体" w:eastAsia="宋体" w:hAnsi="Calibri" w:cs="宋体" w:hint="eastAsia"/>
          <w:kern w:val="0"/>
          <w:szCs w:val="21"/>
          <w:lang w:val="zh-CN"/>
        </w:rPr>
        <w:t>这里构建股票多头组合的一种方法是多因子模型。多因子模型</w:t>
      </w:r>
      <w:r>
        <w:rPr>
          <w:rFonts w:ascii="宋体" w:eastAsia="宋体" w:hAnsi="Calibri" w:cs="宋体" w:hint="eastAsia"/>
          <w:kern w:val="0"/>
          <w:sz w:val="24"/>
          <w:szCs w:val="24"/>
          <w:lang w:val="zh-CN"/>
        </w:rPr>
        <w:t>是将选股的思想通过具体指标、参数设计体现到具体的模型中，让模型跟踪来市场，根据市场变化进行选股。第一步是投研人员根据自身对市场的理解，包括宏观基本面分析、技术面分析等形成一定的投资逻辑或投资理念，并将投资理念转化为一些量化指标因子和选股规则，形成量化选股策略，之后再去验证它的有效性。第二步是数据分析处理。当投资理念转化为量化指标因子后，我们会通过资讯数据提供商（万得、朝阳永续等）获得全市场所有个股相应指标因子的历史的基础数据，然后再对这些数据进行过滤清洗和分析计算。第三步是策略回溯。它的目的是验证投研人员的投资策略在历史上是否有效，能否获得正</w:t>
      </w:r>
      <w:r>
        <w:rPr>
          <w:rFonts w:ascii="Calibri" w:eastAsia="宋体" w:hAnsi="Calibri" w:cs="Calibri"/>
          <w:kern w:val="0"/>
          <w:sz w:val="24"/>
          <w:szCs w:val="24"/>
        </w:rPr>
        <w:t>Alpha</w:t>
      </w:r>
      <w:r>
        <w:rPr>
          <w:rFonts w:ascii="宋体" w:eastAsia="宋体" w:hAnsi="Calibri" w:cs="宋体" w:hint="eastAsia"/>
          <w:kern w:val="0"/>
          <w:sz w:val="24"/>
          <w:szCs w:val="24"/>
          <w:lang w:val="zh-CN"/>
        </w:rPr>
        <w:t>收益。</w:t>
      </w:r>
    </w:p>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autoSpaceDE w:val="0"/>
        <w:autoSpaceDN w:val="0"/>
        <w:adjustRightInd w:val="0"/>
        <w:spacing w:line="360" w:lineRule="auto"/>
        <w:ind w:firstLine="422"/>
        <w:rPr>
          <w:rFonts w:ascii="微软雅黑" w:eastAsia="微软雅黑" w:hAnsi="Calibri" w:cs="微软雅黑"/>
          <w:b/>
          <w:bCs/>
          <w:kern w:val="0"/>
          <w:szCs w:val="21"/>
          <w:lang w:val="zh-CN"/>
        </w:rPr>
      </w:pPr>
      <w:r>
        <w:rPr>
          <w:rFonts w:ascii="宋体" w:eastAsia="宋体" w:hAnsi="Calibri" w:cs="宋体" w:hint="eastAsia"/>
          <w:b/>
          <w:bCs/>
          <w:kern w:val="0"/>
          <w:szCs w:val="21"/>
          <w:lang w:val="zh-CN"/>
        </w:rPr>
        <w:t>表</w:t>
      </w:r>
      <w:r>
        <w:rPr>
          <w:rFonts w:ascii="Calibri" w:eastAsia="宋体" w:hAnsi="Calibri" w:cs="Calibri"/>
          <w:b/>
          <w:bCs/>
          <w:kern w:val="0"/>
          <w:szCs w:val="21"/>
        </w:rPr>
        <w:t>1</w:t>
      </w:r>
      <w:r>
        <w:rPr>
          <w:rFonts w:ascii="宋体" w:eastAsia="宋体" w:hAnsi="Calibri" w:cs="宋体" w:hint="eastAsia"/>
          <w:b/>
          <w:bCs/>
          <w:kern w:val="0"/>
          <w:szCs w:val="21"/>
          <w:lang w:val="zh-CN"/>
        </w:rPr>
        <w:t>：</w:t>
      </w:r>
      <w:r>
        <w:rPr>
          <w:rFonts w:ascii="微软雅黑" w:eastAsia="微软雅黑" w:hAnsi="Calibri" w:cs="微软雅黑" w:hint="eastAsia"/>
          <w:b/>
          <w:bCs/>
          <w:kern w:val="0"/>
          <w:szCs w:val="21"/>
          <w:lang w:val="zh-CN"/>
        </w:rPr>
        <w:t>数量化选股指标体系</w:t>
      </w:r>
    </w:p>
    <w:tbl>
      <w:tblPr>
        <w:tblW w:w="0" w:type="auto"/>
        <w:tblInd w:w="108" w:type="dxa"/>
        <w:tblLayout w:type="fixed"/>
        <w:tblLook w:val="0000"/>
      </w:tblPr>
      <w:tblGrid>
        <w:gridCol w:w="1848"/>
        <w:gridCol w:w="1848"/>
        <w:gridCol w:w="4600"/>
      </w:tblGrid>
      <w:tr w:rsidR="005E1A53">
        <w:tblPrEx>
          <w:tblCellMar>
            <w:top w:w="0" w:type="dxa"/>
            <w:bottom w:w="0" w:type="dxa"/>
          </w:tblCellMar>
        </w:tblPrEx>
        <w:trPr>
          <w:trHeight w:val="1"/>
        </w:trPr>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指标大类</w:t>
            </w:r>
          </w:p>
        </w:tc>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细分类别</w:t>
            </w:r>
          </w:p>
        </w:tc>
        <w:tc>
          <w:tcPr>
            <w:tcW w:w="46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具体指标</w:t>
            </w:r>
          </w:p>
        </w:tc>
      </w:tr>
      <w:tr w:rsidR="005E1A53">
        <w:tblPrEx>
          <w:tblCellMar>
            <w:top w:w="0" w:type="dxa"/>
            <w:bottom w:w="0" w:type="dxa"/>
          </w:tblCellMar>
        </w:tblPrEx>
        <w:trPr>
          <w:trHeight w:val="1"/>
        </w:trPr>
        <w:tc>
          <w:tcPr>
            <w:tcW w:w="1848"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基本面指标</w:t>
            </w:r>
          </w:p>
        </w:tc>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估值指标</w:t>
            </w:r>
          </w:p>
        </w:tc>
        <w:tc>
          <w:tcPr>
            <w:tcW w:w="46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kern w:val="0"/>
                <w:szCs w:val="21"/>
                <w:lang w:val="zh-CN"/>
              </w:rPr>
              <w:t>PE</w:t>
            </w:r>
            <w:r>
              <w:rPr>
                <w:rFonts w:ascii="微软雅黑" w:eastAsia="微软雅黑" w:hAnsi="Calibri" w:cs="微软雅黑" w:hint="eastAsia"/>
                <w:kern w:val="0"/>
                <w:szCs w:val="21"/>
                <w:lang w:val="zh-CN"/>
              </w:rPr>
              <w:t>、</w:t>
            </w:r>
            <w:r>
              <w:rPr>
                <w:rFonts w:ascii="微软雅黑" w:eastAsia="微软雅黑" w:hAnsi="Calibri" w:cs="微软雅黑"/>
                <w:kern w:val="0"/>
                <w:szCs w:val="21"/>
                <w:lang w:val="zh-CN"/>
              </w:rPr>
              <w:t>PB</w:t>
            </w:r>
            <w:r>
              <w:rPr>
                <w:rFonts w:ascii="微软雅黑" w:eastAsia="微软雅黑" w:hAnsi="Calibri" w:cs="微软雅黑" w:hint="eastAsia"/>
                <w:kern w:val="0"/>
                <w:szCs w:val="21"/>
                <w:lang w:val="zh-CN"/>
              </w:rPr>
              <w:t>、</w:t>
            </w:r>
            <w:r>
              <w:rPr>
                <w:rFonts w:ascii="微软雅黑" w:eastAsia="微软雅黑" w:hAnsi="Calibri" w:cs="微软雅黑"/>
                <w:kern w:val="0"/>
                <w:szCs w:val="21"/>
                <w:lang w:val="zh-CN"/>
              </w:rPr>
              <w:t>PCF</w:t>
            </w:r>
            <w:r>
              <w:rPr>
                <w:rFonts w:ascii="微软雅黑" w:eastAsia="微软雅黑" w:hAnsi="Calibri" w:cs="微软雅黑" w:hint="eastAsia"/>
                <w:kern w:val="0"/>
                <w:szCs w:val="21"/>
                <w:lang w:val="zh-CN"/>
              </w:rPr>
              <w:t>┅</w:t>
            </w:r>
          </w:p>
        </w:tc>
      </w:tr>
      <w:tr w:rsidR="005E1A53">
        <w:tblPrEx>
          <w:tblCellMar>
            <w:top w:w="0" w:type="dxa"/>
            <w:bottom w:w="0" w:type="dxa"/>
          </w:tblCellMar>
        </w:tblPrEx>
        <w:trPr>
          <w:trHeight w:val="1"/>
        </w:trPr>
        <w:tc>
          <w:tcPr>
            <w:tcW w:w="1848"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after="200" w:line="276" w:lineRule="auto"/>
              <w:jc w:val="left"/>
              <w:rPr>
                <w:rFonts w:ascii="宋体" w:eastAsia="宋体" w:hAnsi="Calibri" w:cs="宋体"/>
                <w:kern w:val="0"/>
                <w:sz w:val="22"/>
                <w:lang w:val="zh-CN"/>
              </w:rPr>
            </w:pPr>
          </w:p>
        </w:tc>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盈利性指标</w:t>
            </w:r>
          </w:p>
        </w:tc>
        <w:tc>
          <w:tcPr>
            <w:tcW w:w="46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kern w:val="0"/>
                <w:szCs w:val="21"/>
                <w:lang w:val="zh-CN"/>
              </w:rPr>
              <w:t>ROE</w:t>
            </w:r>
            <w:r>
              <w:rPr>
                <w:rFonts w:ascii="微软雅黑" w:eastAsia="微软雅黑" w:hAnsi="Calibri" w:cs="微软雅黑" w:hint="eastAsia"/>
                <w:kern w:val="0"/>
                <w:szCs w:val="21"/>
                <w:lang w:val="zh-CN"/>
              </w:rPr>
              <w:t>、</w:t>
            </w:r>
            <w:r>
              <w:rPr>
                <w:rFonts w:ascii="微软雅黑" w:eastAsia="微软雅黑" w:hAnsi="Calibri" w:cs="微软雅黑"/>
                <w:kern w:val="0"/>
                <w:szCs w:val="21"/>
                <w:lang w:val="zh-CN"/>
              </w:rPr>
              <w:t>ROA</w:t>
            </w:r>
            <w:r>
              <w:rPr>
                <w:rFonts w:ascii="微软雅黑" w:eastAsia="微软雅黑" w:hAnsi="Calibri" w:cs="微软雅黑" w:hint="eastAsia"/>
                <w:kern w:val="0"/>
                <w:szCs w:val="21"/>
                <w:lang w:val="zh-CN"/>
              </w:rPr>
              <w:t>、主营业务利润率┅</w:t>
            </w:r>
          </w:p>
        </w:tc>
      </w:tr>
      <w:tr w:rsidR="005E1A53">
        <w:tblPrEx>
          <w:tblCellMar>
            <w:top w:w="0" w:type="dxa"/>
            <w:bottom w:w="0" w:type="dxa"/>
          </w:tblCellMar>
        </w:tblPrEx>
        <w:trPr>
          <w:trHeight w:val="1"/>
        </w:trPr>
        <w:tc>
          <w:tcPr>
            <w:tcW w:w="1848"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after="200" w:line="276" w:lineRule="auto"/>
              <w:jc w:val="left"/>
              <w:rPr>
                <w:rFonts w:ascii="宋体" w:eastAsia="宋体" w:hAnsi="Calibri" w:cs="宋体"/>
                <w:kern w:val="0"/>
                <w:sz w:val="22"/>
                <w:lang w:val="zh-CN"/>
              </w:rPr>
            </w:pPr>
          </w:p>
        </w:tc>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成长性指标</w:t>
            </w:r>
          </w:p>
        </w:tc>
        <w:tc>
          <w:tcPr>
            <w:tcW w:w="46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净利润增长率、主营业务收入增长率┅</w:t>
            </w:r>
          </w:p>
        </w:tc>
      </w:tr>
      <w:tr w:rsidR="005E1A53">
        <w:tblPrEx>
          <w:tblCellMar>
            <w:top w:w="0" w:type="dxa"/>
            <w:bottom w:w="0" w:type="dxa"/>
          </w:tblCellMar>
        </w:tblPrEx>
        <w:trPr>
          <w:trHeight w:val="1"/>
        </w:trPr>
        <w:tc>
          <w:tcPr>
            <w:tcW w:w="1848"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市场指标</w:t>
            </w:r>
          </w:p>
        </w:tc>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趋势性指标</w:t>
            </w:r>
          </w:p>
        </w:tc>
        <w:tc>
          <w:tcPr>
            <w:tcW w:w="46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动量、反转┅</w:t>
            </w:r>
          </w:p>
        </w:tc>
      </w:tr>
      <w:tr w:rsidR="005E1A53">
        <w:tblPrEx>
          <w:tblCellMar>
            <w:top w:w="0" w:type="dxa"/>
            <w:bottom w:w="0" w:type="dxa"/>
          </w:tblCellMar>
        </w:tblPrEx>
        <w:trPr>
          <w:trHeight w:val="1"/>
        </w:trPr>
        <w:tc>
          <w:tcPr>
            <w:tcW w:w="1848"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after="200" w:line="276" w:lineRule="auto"/>
              <w:jc w:val="left"/>
              <w:rPr>
                <w:rFonts w:ascii="宋体" w:eastAsia="宋体" w:hAnsi="Calibri" w:cs="宋体"/>
                <w:kern w:val="0"/>
                <w:sz w:val="22"/>
                <w:lang w:val="zh-CN"/>
              </w:rPr>
            </w:pPr>
          </w:p>
        </w:tc>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波动性指标</w:t>
            </w:r>
          </w:p>
        </w:tc>
        <w:tc>
          <w:tcPr>
            <w:tcW w:w="460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波动率、换手率、偏度┅</w:t>
            </w:r>
          </w:p>
        </w:tc>
      </w:tr>
      <w:tr w:rsidR="005E1A53">
        <w:tblPrEx>
          <w:tblCellMar>
            <w:top w:w="0" w:type="dxa"/>
            <w:bottom w:w="0" w:type="dxa"/>
          </w:tblCellMar>
        </w:tblPrEx>
        <w:trPr>
          <w:trHeight w:val="1"/>
        </w:trPr>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风格指标</w:t>
            </w:r>
          </w:p>
        </w:tc>
        <w:tc>
          <w:tcPr>
            <w:tcW w:w="644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总市值、流通市值、流通股本┅</w:t>
            </w:r>
          </w:p>
        </w:tc>
      </w:tr>
      <w:tr w:rsidR="005E1A53">
        <w:tblPrEx>
          <w:tblCellMar>
            <w:top w:w="0" w:type="dxa"/>
            <w:bottom w:w="0" w:type="dxa"/>
          </w:tblCellMar>
        </w:tblPrEx>
        <w:trPr>
          <w:trHeight w:val="1"/>
        </w:trPr>
        <w:tc>
          <w:tcPr>
            <w:tcW w:w="184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b/>
                <w:bCs/>
                <w:kern w:val="0"/>
                <w:szCs w:val="21"/>
                <w:lang w:val="zh-CN"/>
              </w:rPr>
              <w:t>分析师预期指标</w:t>
            </w:r>
          </w:p>
        </w:tc>
        <w:tc>
          <w:tcPr>
            <w:tcW w:w="6448"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rsidR="005E1A53" w:rsidRDefault="005E1A53">
            <w:pPr>
              <w:autoSpaceDE w:val="0"/>
              <w:autoSpaceDN w:val="0"/>
              <w:adjustRightInd w:val="0"/>
              <w:spacing w:line="360" w:lineRule="auto"/>
              <w:jc w:val="center"/>
              <w:rPr>
                <w:rFonts w:ascii="宋体" w:eastAsia="宋体" w:hAnsi="Calibri" w:cs="宋体"/>
                <w:kern w:val="0"/>
                <w:sz w:val="22"/>
                <w:lang w:val="zh-CN"/>
              </w:rPr>
            </w:pPr>
            <w:r>
              <w:rPr>
                <w:rFonts w:ascii="微软雅黑" w:eastAsia="微软雅黑" w:hAnsi="Calibri" w:cs="微软雅黑" w:hint="eastAsia"/>
                <w:kern w:val="0"/>
                <w:szCs w:val="21"/>
                <w:lang w:val="zh-CN"/>
              </w:rPr>
              <w:t>分析师预期的基本面指标（预期</w:t>
            </w:r>
            <w:r>
              <w:rPr>
                <w:rFonts w:ascii="微软雅黑" w:eastAsia="微软雅黑" w:hAnsi="Calibri" w:cs="微软雅黑"/>
                <w:kern w:val="0"/>
                <w:szCs w:val="21"/>
                <w:lang w:val="zh-CN"/>
              </w:rPr>
              <w:t>PE</w:t>
            </w:r>
            <w:r>
              <w:rPr>
                <w:rFonts w:ascii="微软雅黑" w:eastAsia="微软雅黑" w:hAnsi="Calibri" w:cs="微软雅黑" w:hint="eastAsia"/>
                <w:kern w:val="0"/>
                <w:szCs w:val="21"/>
                <w:lang w:val="zh-CN"/>
              </w:rPr>
              <w:t>、预期净利润增长率┅）</w:t>
            </w:r>
          </w:p>
        </w:tc>
      </w:tr>
    </w:tbl>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autoSpaceDE w:val="0"/>
        <w:autoSpaceDN w:val="0"/>
        <w:adjustRightInd w:val="0"/>
        <w:rPr>
          <w:rFonts w:ascii="Calibri" w:eastAsia="宋体" w:hAnsi="Calibri" w:cs="Calibri"/>
          <w:kern w:val="0"/>
          <w:szCs w:val="21"/>
        </w:rPr>
      </w:pPr>
    </w:p>
    <w:p w:rsidR="005E1A53" w:rsidRDefault="005E1A53" w:rsidP="005E1A53">
      <w:pPr>
        <w:numPr>
          <w:ilvl w:val="0"/>
          <w:numId w:val="1"/>
        </w:numPr>
        <w:autoSpaceDE w:val="0"/>
        <w:autoSpaceDN w:val="0"/>
        <w:adjustRightInd w:val="0"/>
        <w:ind w:left="360" w:hanging="360"/>
        <w:rPr>
          <w:rFonts w:ascii="Calibri" w:eastAsia="宋体" w:hAnsi="Calibri" w:cs="Calibri"/>
          <w:kern w:val="0"/>
          <w:szCs w:val="21"/>
        </w:rPr>
      </w:pPr>
      <w:r>
        <w:rPr>
          <w:rFonts w:ascii="宋体" w:eastAsia="宋体" w:hAnsi="Calibri" w:cs="宋体" w:hint="eastAsia"/>
          <w:kern w:val="0"/>
          <w:szCs w:val="21"/>
          <w:lang w:val="zh-CN"/>
        </w:rPr>
        <w:t>事件性策略</w:t>
      </w:r>
    </w:p>
    <w:p w:rsidR="005E1A53" w:rsidRDefault="005E1A53" w:rsidP="005E1A53">
      <w:pPr>
        <w:autoSpaceDE w:val="0"/>
        <w:autoSpaceDN w:val="0"/>
        <w:adjustRightInd w:val="0"/>
        <w:spacing w:line="360" w:lineRule="auto"/>
        <w:ind w:firstLine="420"/>
        <w:rPr>
          <w:rFonts w:ascii="Calibri" w:eastAsia="宋体" w:hAnsi="Calibri" w:cs="Calibri"/>
          <w:kern w:val="0"/>
          <w:szCs w:val="21"/>
        </w:rPr>
      </w:pPr>
      <w:r>
        <w:rPr>
          <w:rFonts w:ascii="宋体" w:eastAsia="宋体" w:hAnsi="Calibri" w:cs="宋体" w:hint="eastAsia"/>
          <w:kern w:val="0"/>
          <w:szCs w:val="21"/>
          <w:lang w:val="zh-CN"/>
        </w:rPr>
        <w:t>传统的多因子策略的</w:t>
      </w:r>
      <w:r>
        <w:rPr>
          <w:rFonts w:ascii="Calibri" w:eastAsia="宋体" w:hAnsi="Calibri" w:cs="Calibri"/>
          <w:kern w:val="0"/>
          <w:szCs w:val="21"/>
        </w:rPr>
        <w:t>Alpha</w:t>
      </w:r>
      <w:r>
        <w:rPr>
          <w:rFonts w:ascii="宋体" w:eastAsia="宋体" w:hAnsi="Calibri" w:cs="宋体" w:hint="eastAsia"/>
          <w:kern w:val="0"/>
          <w:szCs w:val="21"/>
          <w:lang w:val="zh-CN"/>
        </w:rPr>
        <w:t>源于因子的风险补偿，需要对因子进行择时，例如中国股市的大小盘风格转换导致需要对规模因子进行择时。同时由于中国投资者面对单一的做空标的（沪深</w:t>
      </w:r>
      <w:r>
        <w:rPr>
          <w:rFonts w:ascii="Calibri" w:eastAsia="宋体" w:hAnsi="Calibri" w:cs="Calibri"/>
          <w:kern w:val="0"/>
          <w:szCs w:val="21"/>
        </w:rPr>
        <w:t>300</w:t>
      </w:r>
      <w:r>
        <w:rPr>
          <w:rFonts w:ascii="宋体" w:eastAsia="宋体" w:hAnsi="Calibri" w:cs="宋体" w:hint="eastAsia"/>
          <w:kern w:val="0"/>
          <w:szCs w:val="21"/>
          <w:lang w:val="zh-CN"/>
        </w:rPr>
        <w:t>指数对应的股指期货），具有较为显著的不可分散化，不可对冲的系统定价偏差，易产生回撤。因此我们开发了基于行为金融学的事件性交易策略，寻找具有风险补偿特性的非传统金融学代理变量：如信息风险因子，意见分歧；可量化的行为变量：如分析师预测调整行为等，利用</w:t>
      </w:r>
      <w:r>
        <w:rPr>
          <w:rFonts w:ascii="宋体" w:eastAsia="宋体" w:hAnsi="Calibri" w:cs="宋体" w:hint="eastAsia"/>
          <w:color w:val="FF0000"/>
          <w:kern w:val="0"/>
          <w:szCs w:val="21"/>
          <w:lang w:val="zh-CN"/>
        </w:rPr>
        <w:t>行为金融学的定价偏差来</w:t>
      </w:r>
      <w:r>
        <w:rPr>
          <w:rFonts w:ascii="宋体" w:eastAsia="宋体" w:hAnsi="Calibri" w:cs="宋体" w:hint="eastAsia"/>
          <w:kern w:val="0"/>
          <w:szCs w:val="21"/>
          <w:lang w:val="zh-CN"/>
        </w:rPr>
        <w:t>获得稳定的</w:t>
      </w:r>
      <w:r>
        <w:rPr>
          <w:rFonts w:ascii="Calibri" w:eastAsia="宋体" w:hAnsi="Calibri" w:cs="Calibri"/>
          <w:kern w:val="0"/>
          <w:szCs w:val="21"/>
        </w:rPr>
        <w:t>Alpha</w:t>
      </w:r>
      <w:r>
        <w:rPr>
          <w:rFonts w:ascii="宋体" w:eastAsia="宋体" w:hAnsi="Calibri" w:cs="宋体" w:hint="eastAsia"/>
          <w:kern w:val="0"/>
          <w:szCs w:val="21"/>
          <w:lang w:val="zh-CN"/>
        </w:rPr>
        <w:t>。</w:t>
      </w:r>
    </w:p>
    <w:p w:rsidR="005E1A53" w:rsidRDefault="005E1A53" w:rsidP="005E1A53">
      <w:pPr>
        <w:autoSpaceDE w:val="0"/>
        <w:autoSpaceDN w:val="0"/>
        <w:adjustRightInd w:val="0"/>
        <w:spacing w:line="360" w:lineRule="auto"/>
        <w:ind w:firstLine="525"/>
        <w:rPr>
          <w:rFonts w:ascii="Calibri" w:eastAsia="宋体" w:hAnsi="Calibri" w:cs="Calibri"/>
          <w:kern w:val="0"/>
          <w:szCs w:val="21"/>
        </w:rPr>
      </w:pPr>
      <w:r>
        <w:rPr>
          <w:rFonts w:ascii="宋体" w:eastAsia="宋体" w:hAnsi="Calibri" w:cs="宋体" w:hint="eastAsia"/>
          <w:kern w:val="0"/>
          <w:szCs w:val="21"/>
          <w:lang w:val="zh-CN"/>
        </w:rPr>
        <w:t>相对于传统的多因子策略，事件性交易策略具有以下优点：</w:t>
      </w:r>
    </w:p>
    <w:p w:rsidR="005E1A53" w:rsidRDefault="005E1A53" w:rsidP="005E1A53">
      <w:pPr>
        <w:autoSpaceDE w:val="0"/>
        <w:autoSpaceDN w:val="0"/>
        <w:adjustRightInd w:val="0"/>
        <w:spacing w:line="360" w:lineRule="auto"/>
        <w:ind w:firstLine="420"/>
        <w:rPr>
          <w:rFonts w:ascii="Calibri" w:eastAsia="宋体" w:hAnsi="Calibri" w:cs="Calibri"/>
          <w:kern w:val="0"/>
          <w:szCs w:val="21"/>
        </w:rPr>
      </w:pPr>
      <w:r>
        <w:rPr>
          <w:rFonts w:ascii="宋体" w:eastAsia="宋体" w:hAnsi="Calibri" w:cs="宋体" w:hint="eastAsia"/>
          <w:kern w:val="0"/>
          <w:szCs w:val="21"/>
          <w:lang w:val="zh-CN"/>
        </w:rPr>
        <w:t>（</w:t>
      </w:r>
      <w:r>
        <w:rPr>
          <w:rFonts w:ascii="Calibri" w:eastAsia="宋体" w:hAnsi="Calibri" w:cs="Calibri"/>
          <w:kern w:val="0"/>
          <w:szCs w:val="21"/>
        </w:rPr>
        <w:t>1</w:t>
      </w:r>
      <w:r>
        <w:rPr>
          <w:rFonts w:ascii="宋体" w:eastAsia="宋体" w:hAnsi="Calibri" w:cs="宋体" w:hint="eastAsia"/>
          <w:kern w:val="0"/>
          <w:szCs w:val="21"/>
          <w:lang w:val="zh-CN"/>
        </w:rPr>
        <w:t>）具有固定的投资时间窗口（进场、出场时点）。</w:t>
      </w:r>
    </w:p>
    <w:p w:rsidR="005E1A53" w:rsidRDefault="005E1A53" w:rsidP="005E1A53">
      <w:pPr>
        <w:autoSpaceDE w:val="0"/>
        <w:autoSpaceDN w:val="0"/>
        <w:adjustRightInd w:val="0"/>
        <w:spacing w:line="360" w:lineRule="auto"/>
        <w:ind w:firstLine="420"/>
        <w:rPr>
          <w:rFonts w:ascii="Calibri" w:eastAsia="宋体" w:hAnsi="Calibri" w:cs="Calibri"/>
          <w:kern w:val="0"/>
          <w:szCs w:val="21"/>
        </w:rPr>
      </w:pPr>
      <w:r>
        <w:rPr>
          <w:rFonts w:ascii="宋体" w:eastAsia="宋体" w:hAnsi="Calibri" w:cs="宋体" w:hint="eastAsia"/>
          <w:kern w:val="0"/>
          <w:szCs w:val="21"/>
          <w:lang w:val="zh-CN"/>
        </w:rPr>
        <w:t>（</w:t>
      </w:r>
      <w:r>
        <w:rPr>
          <w:rFonts w:ascii="Calibri" w:eastAsia="宋体" w:hAnsi="Calibri" w:cs="Calibri"/>
          <w:kern w:val="0"/>
          <w:szCs w:val="21"/>
        </w:rPr>
        <w:t>2</w:t>
      </w:r>
      <w:r>
        <w:rPr>
          <w:rFonts w:ascii="宋体" w:eastAsia="宋体" w:hAnsi="Calibri" w:cs="宋体" w:hint="eastAsia"/>
          <w:kern w:val="0"/>
          <w:szCs w:val="21"/>
          <w:lang w:val="zh-CN"/>
        </w:rPr>
        <w:t>）从逻辑上，避免了对于定价偏差（风格、行业）的过度利用。</w:t>
      </w:r>
    </w:p>
    <w:p w:rsidR="005E1A53" w:rsidRDefault="005E1A53" w:rsidP="005E1A53">
      <w:pPr>
        <w:autoSpaceDE w:val="0"/>
        <w:autoSpaceDN w:val="0"/>
        <w:adjustRightInd w:val="0"/>
        <w:spacing w:line="360" w:lineRule="auto"/>
        <w:ind w:left="418"/>
        <w:rPr>
          <w:rFonts w:ascii="Calibri" w:eastAsia="宋体" w:hAnsi="Calibri" w:cs="Calibri"/>
          <w:kern w:val="0"/>
          <w:szCs w:val="21"/>
        </w:rPr>
      </w:pPr>
      <w:r>
        <w:rPr>
          <w:rFonts w:ascii="宋体" w:eastAsia="宋体" w:hAnsi="Calibri" w:cs="宋体" w:hint="eastAsia"/>
          <w:kern w:val="0"/>
          <w:szCs w:val="21"/>
          <w:lang w:val="zh-CN"/>
        </w:rPr>
        <w:t>（</w:t>
      </w:r>
      <w:r>
        <w:rPr>
          <w:rFonts w:ascii="Calibri" w:eastAsia="宋体" w:hAnsi="Calibri" w:cs="Calibri"/>
          <w:kern w:val="0"/>
          <w:szCs w:val="21"/>
        </w:rPr>
        <w:t>3</w:t>
      </w:r>
      <w:r>
        <w:rPr>
          <w:rFonts w:ascii="宋体" w:eastAsia="宋体" w:hAnsi="Calibri" w:cs="宋体" w:hint="eastAsia"/>
          <w:kern w:val="0"/>
          <w:szCs w:val="21"/>
          <w:lang w:val="zh-CN"/>
        </w:rPr>
        <w:t>）基于信息传播（渐进信息流）和投资者行为（反应不足），收益率较高。</w:t>
      </w:r>
    </w:p>
    <w:p w:rsidR="005E1A53" w:rsidRDefault="005E1A53" w:rsidP="005E1A53">
      <w:pPr>
        <w:autoSpaceDE w:val="0"/>
        <w:autoSpaceDN w:val="0"/>
        <w:adjustRightInd w:val="0"/>
        <w:spacing w:line="360" w:lineRule="auto"/>
        <w:ind w:firstLine="420"/>
        <w:rPr>
          <w:rFonts w:ascii="Calibri" w:eastAsia="宋体" w:hAnsi="Calibri" w:cs="Calibri"/>
          <w:kern w:val="0"/>
          <w:szCs w:val="21"/>
        </w:rPr>
      </w:pPr>
      <w:r>
        <w:rPr>
          <w:rFonts w:ascii="宋体" w:eastAsia="宋体" w:hAnsi="Calibri" w:cs="宋体" w:hint="eastAsia"/>
          <w:kern w:val="0"/>
          <w:szCs w:val="21"/>
          <w:lang w:val="zh-CN"/>
        </w:rPr>
        <w:t>（</w:t>
      </w:r>
      <w:r>
        <w:rPr>
          <w:rFonts w:ascii="Calibri" w:eastAsia="宋体" w:hAnsi="Calibri" w:cs="Calibri"/>
          <w:kern w:val="0"/>
          <w:szCs w:val="21"/>
        </w:rPr>
        <w:t>4</w:t>
      </w:r>
      <w:r>
        <w:rPr>
          <w:rFonts w:ascii="宋体" w:eastAsia="宋体" w:hAnsi="Calibri" w:cs="宋体" w:hint="eastAsia"/>
          <w:kern w:val="0"/>
          <w:szCs w:val="21"/>
          <w:lang w:val="zh-CN"/>
        </w:rPr>
        <w:t>）具有理论基础，弥补了实证数据年限过短这一天然不足。</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盈余公告后漂移（</w:t>
      </w:r>
      <w:r>
        <w:rPr>
          <w:rFonts w:ascii="Calibri" w:eastAsia="宋体" w:hAnsi="Calibri" w:cs="Calibri"/>
          <w:kern w:val="0"/>
          <w:szCs w:val="21"/>
        </w:rPr>
        <w:t>Post Earnings Announcement Drift, PEAD</w:t>
      </w:r>
      <w:r>
        <w:rPr>
          <w:rFonts w:ascii="宋体" w:eastAsia="宋体" w:hAnsi="Calibri" w:cs="宋体" w:hint="eastAsia"/>
          <w:kern w:val="0"/>
          <w:szCs w:val="21"/>
          <w:lang w:val="zh-CN"/>
        </w:rPr>
        <w:t>）：在盈余公告之后，股票价格会按照盈余变动的相同方向变动一段时间，这种股价的漂移（</w:t>
      </w:r>
      <w:r>
        <w:rPr>
          <w:rFonts w:ascii="Calibri" w:eastAsia="宋体" w:hAnsi="Calibri" w:cs="Calibri"/>
          <w:kern w:val="0"/>
          <w:szCs w:val="21"/>
        </w:rPr>
        <w:t>drift</w:t>
      </w:r>
      <w:r>
        <w:rPr>
          <w:rFonts w:ascii="宋体" w:eastAsia="宋体" w:hAnsi="Calibri" w:cs="宋体" w:hint="eastAsia"/>
          <w:kern w:val="0"/>
          <w:szCs w:val="21"/>
          <w:lang w:val="zh-CN"/>
        </w:rPr>
        <w:t>）被称为</w:t>
      </w:r>
      <w:r>
        <w:rPr>
          <w:rFonts w:ascii="Calibri" w:eastAsia="宋体" w:hAnsi="Calibri" w:cs="Calibri"/>
          <w:kern w:val="0"/>
          <w:szCs w:val="21"/>
        </w:rPr>
        <w:t>PEAD</w:t>
      </w:r>
      <w:r>
        <w:rPr>
          <w:rFonts w:ascii="宋体" w:eastAsia="宋体" w:hAnsi="Calibri" w:cs="宋体" w:hint="eastAsia"/>
          <w:kern w:val="0"/>
          <w:szCs w:val="21"/>
          <w:lang w:val="zh-CN"/>
        </w:rPr>
        <w:t>。</w:t>
      </w:r>
      <w:r>
        <w:rPr>
          <w:rFonts w:ascii="Calibri" w:eastAsia="宋体" w:hAnsi="Calibri" w:cs="Calibri"/>
          <w:kern w:val="0"/>
          <w:szCs w:val="21"/>
        </w:rPr>
        <w:t>Bernard &amp; Thomas</w:t>
      </w:r>
      <w:r>
        <w:rPr>
          <w:rFonts w:ascii="宋体" w:eastAsia="宋体" w:hAnsi="Calibri" w:cs="宋体" w:hint="eastAsia"/>
          <w:kern w:val="0"/>
          <w:szCs w:val="21"/>
          <w:lang w:val="zh-CN"/>
        </w:rPr>
        <w:t>（</w:t>
      </w:r>
      <w:r>
        <w:rPr>
          <w:rFonts w:ascii="Calibri" w:eastAsia="宋体" w:hAnsi="Calibri" w:cs="Calibri"/>
          <w:kern w:val="0"/>
          <w:szCs w:val="21"/>
        </w:rPr>
        <w:t>1989</w:t>
      </w:r>
      <w:r>
        <w:rPr>
          <w:rFonts w:ascii="宋体" w:eastAsia="宋体" w:hAnsi="Calibri" w:cs="宋体" w:hint="eastAsia"/>
          <w:kern w:val="0"/>
          <w:szCs w:val="21"/>
          <w:lang w:val="zh-CN"/>
        </w:rPr>
        <w:t>）研究发现，根据美国股市</w:t>
      </w:r>
      <w:r>
        <w:rPr>
          <w:rFonts w:ascii="Calibri" w:eastAsia="宋体" w:hAnsi="Calibri" w:cs="Calibri"/>
          <w:kern w:val="0"/>
          <w:szCs w:val="21"/>
        </w:rPr>
        <w:t>1974-1986</w:t>
      </w:r>
      <w:r>
        <w:rPr>
          <w:rFonts w:ascii="宋体" w:eastAsia="宋体" w:hAnsi="Calibri" w:cs="宋体" w:hint="eastAsia"/>
          <w:kern w:val="0"/>
          <w:szCs w:val="21"/>
          <w:lang w:val="zh-CN"/>
        </w:rPr>
        <w:t>年的数据，如果构建一个配对交易策略，在买入盈余惊喜较高的公司同时卖空盈余惊喜较低的公司，持有</w:t>
      </w:r>
      <w:r>
        <w:rPr>
          <w:rFonts w:ascii="Calibri" w:eastAsia="宋体" w:hAnsi="Calibri" w:cs="Calibri"/>
          <w:kern w:val="0"/>
          <w:szCs w:val="21"/>
        </w:rPr>
        <w:t>60</w:t>
      </w:r>
      <w:r>
        <w:rPr>
          <w:rFonts w:ascii="宋体" w:eastAsia="宋体" w:hAnsi="Calibri" w:cs="宋体" w:hint="eastAsia"/>
          <w:kern w:val="0"/>
          <w:szCs w:val="21"/>
          <w:lang w:val="zh-CN"/>
        </w:rPr>
        <w:t>天、剔除规模因子，可以获取</w:t>
      </w:r>
      <w:r>
        <w:rPr>
          <w:rFonts w:ascii="Calibri" w:eastAsia="宋体" w:hAnsi="Calibri" w:cs="Calibri"/>
          <w:kern w:val="0"/>
          <w:szCs w:val="21"/>
        </w:rPr>
        <w:t>4.2%</w:t>
      </w:r>
      <w:r>
        <w:rPr>
          <w:rFonts w:ascii="宋体" w:eastAsia="宋体" w:hAnsi="Calibri" w:cs="宋体" w:hint="eastAsia"/>
          <w:kern w:val="0"/>
          <w:szCs w:val="21"/>
          <w:lang w:val="zh-CN"/>
        </w:rPr>
        <w:t>的异常收益。</w:t>
      </w:r>
    </w:p>
    <w:p w:rsidR="005E1A53" w:rsidRDefault="005E1A53" w:rsidP="005E1A53">
      <w:pPr>
        <w:autoSpaceDE w:val="0"/>
        <w:autoSpaceDN w:val="0"/>
        <w:adjustRightInd w:val="0"/>
        <w:spacing w:line="360" w:lineRule="auto"/>
        <w:ind w:firstLine="482"/>
        <w:rPr>
          <w:rFonts w:ascii="Calibri" w:eastAsia="宋体" w:hAnsi="Calibri" w:cs="Calibri"/>
          <w:b/>
          <w:bCs/>
          <w:kern w:val="0"/>
          <w:sz w:val="24"/>
          <w:szCs w:val="24"/>
        </w:rPr>
      </w:pPr>
      <w:r>
        <w:rPr>
          <w:rFonts w:ascii="宋体" w:eastAsia="宋体" w:hAnsi="Calibri" w:cs="宋体" w:hint="eastAsia"/>
          <w:b/>
          <w:bCs/>
          <w:kern w:val="0"/>
          <w:sz w:val="24"/>
          <w:szCs w:val="24"/>
          <w:lang w:val="zh-CN"/>
        </w:rPr>
        <w:t>图</w:t>
      </w:r>
      <w:r>
        <w:rPr>
          <w:rFonts w:ascii="Calibri" w:eastAsia="宋体" w:hAnsi="Calibri" w:cs="Calibri"/>
          <w:b/>
          <w:bCs/>
          <w:kern w:val="0"/>
          <w:sz w:val="24"/>
          <w:szCs w:val="24"/>
        </w:rPr>
        <w:t>3</w:t>
      </w:r>
      <w:r>
        <w:rPr>
          <w:rFonts w:ascii="宋体" w:eastAsia="宋体" w:hAnsi="Calibri" w:cs="宋体" w:hint="eastAsia"/>
          <w:b/>
          <w:bCs/>
          <w:kern w:val="0"/>
          <w:sz w:val="24"/>
          <w:szCs w:val="24"/>
          <w:lang w:val="zh-CN"/>
        </w:rPr>
        <w:t>：盈余公告后漂移现象</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noProof/>
          <w:kern w:val="0"/>
          <w:sz w:val="22"/>
        </w:rPr>
        <w:lastRenderedPageBreak/>
        <w:drawing>
          <wp:inline distT="0" distB="0" distL="0" distR="0">
            <wp:extent cx="4438650" cy="23241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438650" cy="2324100"/>
                    </a:xfrm>
                    <a:prstGeom prst="rect">
                      <a:avLst/>
                    </a:prstGeom>
                    <a:noFill/>
                    <a:ln w="9525">
                      <a:noFill/>
                      <a:miter lim="800000"/>
                      <a:headEnd/>
                      <a:tailEnd/>
                    </a:ln>
                  </pic:spPr>
                </pic:pic>
              </a:graphicData>
            </a:graphic>
          </wp:inline>
        </w:drawing>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进入新世纪以后，</w:t>
      </w:r>
      <w:r>
        <w:rPr>
          <w:rFonts w:ascii="Calibri" w:eastAsia="宋体" w:hAnsi="Calibri" w:cs="Calibri"/>
          <w:kern w:val="0"/>
          <w:szCs w:val="21"/>
        </w:rPr>
        <w:t>PEAD</w:t>
      </w:r>
      <w:r>
        <w:rPr>
          <w:rFonts w:ascii="宋体" w:eastAsia="宋体" w:hAnsi="Calibri" w:cs="宋体" w:hint="eastAsia"/>
          <w:kern w:val="0"/>
          <w:szCs w:val="21"/>
          <w:lang w:val="zh-CN"/>
        </w:rPr>
        <w:t>在美国依然显著存在，</w:t>
      </w:r>
      <w:r>
        <w:rPr>
          <w:rFonts w:ascii="Calibri" w:eastAsia="宋体" w:hAnsi="Calibri" w:cs="Calibri"/>
          <w:kern w:val="0"/>
          <w:szCs w:val="21"/>
        </w:rPr>
        <w:t>PEAD</w:t>
      </w:r>
      <w:r>
        <w:rPr>
          <w:rFonts w:ascii="宋体" w:eastAsia="宋体" w:hAnsi="Calibri" w:cs="宋体" w:hint="eastAsia"/>
          <w:kern w:val="0"/>
          <w:szCs w:val="21"/>
          <w:lang w:val="zh-CN"/>
        </w:rPr>
        <w:t>在全世界各国市场均被证明显著存在。基于此我们开发了适合中国股市特征的</w:t>
      </w:r>
      <w:r>
        <w:rPr>
          <w:rFonts w:ascii="Calibri" w:eastAsia="宋体" w:hAnsi="Calibri" w:cs="Calibri"/>
          <w:kern w:val="0"/>
          <w:szCs w:val="21"/>
        </w:rPr>
        <w:t>PEAD</w:t>
      </w:r>
      <w:r>
        <w:rPr>
          <w:rFonts w:ascii="宋体" w:eastAsia="宋体" w:hAnsi="Calibri" w:cs="宋体" w:hint="eastAsia"/>
          <w:kern w:val="0"/>
          <w:szCs w:val="21"/>
          <w:lang w:val="zh-CN"/>
        </w:rPr>
        <w:t>策略，实际投资中发现基于一季报盈余公告的</w:t>
      </w:r>
      <w:r>
        <w:rPr>
          <w:rFonts w:ascii="Calibri" w:eastAsia="宋体" w:hAnsi="Calibri" w:cs="Calibri"/>
          <w:kern w:val="0"/>
          <w:szCs w:val="21"/>
        </w:rPr>
        <w:t>PEAD</w:t>
      </w:r>
      <w:r>
        <w:rPr>
          <w:rFonts w:ascii="宋体" w:eastAsia="宋体" w:hAnsi="Calibri" w:cs="宋体" w:hint="eastAsia"/>
          <w:kern w:val="0"/>
          <w:szCs w:val="21"/>
          <w:lang w:val="zh-CN"/>
        </w:rPr>
        <w:t>策略收益最为显著。</w:t>
      </w:r>
    </w:p>
    <w:p w:rsidR="005E1A53" w:rsidRDefault="005E1A53" w:rsidP="005E1A53">
      <w:pPr>
        <w:autoSpaceDE w:val="0"/>
        <w:autoSpaceDN w:val="0"/>
        <w:adjustRightInd w:val="0"/>
        <w:spacing w:line="360" w:lineRule="auto"/>
        <w:ind w:firstLine="420"/>
        <w:rPr>
          <w:rFonts w:ascii="Calibri" w:eastAsia="宋体" w:hAnsi="Calibri" w:cs="Calibri"/>
          <w:kern w:val="0"/>
          <w:szCs w:val="21"/>
        </w:rPr>
      </w:pPr>
    </w:p>
    <w:p w:rsidR="005E1A53" w:rsidRDefault="005E1A53" w:rsidP="005E1A53">
      <w:pPr>
        <w:numPr>
          <w:ilvl w:val="0"/>
          <w:numId w:val="1"/>
        </w:numPr>
        <w:autoSpaceDE w:val="0"/>
        <w:autoSpaceDN w:val="0"/>
        <w:adjustRightInd w:val="0"/>
        <w:ind w:left="360" w:hanging="360"/>
        <w:rPr>
          <w:rFonts w:ascii="Calibri" w:eastAsia="宋体" w:hAnsi="Calibri" w:cs="Calibri"/>
          <w:kern w:val="0"/>
          <w:szCs w:val="21"/>
        </w:rPr>
      </w:pPr>
      <w:r>
        <w:rPr>
          <w:rFonts w:ascii="宋体" w:eastAsia="宋体" w:hAnsi="Calibri" w:cs="宋体" w:hint="eastAsia"/>
          <w:kern w:val="0"/>
          <w:szCs w:val="21"/>
          <w:lang w:val="zh-CN"/>
        </w:rPr>
        <w:t>择时策略</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使用以上几种量化策略模型，我们可以获得稳定的</w:t>
      </w:r>
      <w:r>
        <w:rPr>
          <w:rFonts w:ascii="Calibri" w:eastAsia="宋体" w:hAnsi="Calibri" w:cs="Calibri"/>
          <w:kern w:val="0"/>
          <w:szCs w:val="21"/>
        </w:rPr>
        <w:t>ALPHA</w:t>
      </w:r>
      <w:r>
        <w:rPr>
          <w:rFonts w:ascii="宋体" w:eastAsia="宋体" w:hAnsi="Calibri" w:cs="宋体" w:hint="eastAsia"/>
          <w:kern w:val="0"/>
          <w:szCs w:val="21"/>
          <w:lang w:val="zh-CN"/>
        </w:rPr>
        <w:t>收益，但为使量化投资策略的收益率最大化，股市系统性上涨时获得更多的</w:t>
      </w:r>
      <w:r>
        <w:rPr>
          <w:rFonts w:ascii="Calibri" w:eastAsia="宋体" w:hAnsi="Calibri" w:cs="Calibri"/>
          <w:kern w:val="0"/>
          <w:szCs w:val="21"/>
        </w:rPr>
        <w:t>BETA</w:t>
      </w:r>
      <w:r>
        <w:rPr>
          <w:rFonts w:ascii="宋体" w:eastAsia="宋体" w:hAnsi="Calibri" w:cs="宋体" w:hint="eastAsia"/>
          <w:kern w:val="0"/>
          <w:szCs w:val="21"/>
          <w:lang w:val="zh-CN"/>
        </w:rPr>
        <w:t>收益，同时避免人为主动管理情绪的影响，我们开发了</w:t>
      </w:r>
      <w:r>
        <w:rPr>
          <w:rFonts w:ascii="Calibri" w:eastAsia="宋体" w:hAnsi="Calibri" w:cs="Calibri"/>
          <w:kern w:val="0"/>
          <w:szCs w:val="21"/>
        </w:rPr>
        <w:t>ATM</w:t>
      </w:r>
      <w:r>
        <w:rPr>
          <w:rFonts w:ascii="宋体" w:eastAsia="宋体" w:hAnsi="Calibri" w:cs="宋体" w:hint="eastAsia"/>
          <w:kern w:val="0"/>
          <w:szCs w:val="21"/>
          <w:lang w:val="zh-CN"/>
        </w:rPr>
        <w:t>择时策略系统来管理股指期货空头的头寸。</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利用原始的</w:t>
      </w:r>
      <w:r>
        <w:rPr>
          <w:rFonts w:ascii="Calibri" w:eastAsia="宋体" w:hAnsi="Calibri" w:cs="Calibri"/>
          <w:kern w:val="0"/>
          <w:szCs w:val="21"/>
        </w:rPr>
        <w:t>K</w:t>
      </w:r>
      <w:r>
        <w:rPr>
          <w:rFonts w:ascii="宋体" w:eastAsia="宋体" w:hAnsi="Calibri" w:cs="宋体" w:hint="eastAsia"/>
          <w:kern w:val="0"/>
          <w:szCs w:val="21"/>
          <w:lang w:val="zh-CN"/>
        </w:rPr>
        <w:t>线交易系统，结合技术分析经验，发出</w:t>
      </w:r>
      <w:r>
        <w:rPr>
          <w:rFonts w:ascii="宋体" w:eastAsia="宋体" w:hAnsi="Calibri" w:cs="宋体"/>
          <w:kern w:val="0"/>
          <w:szCs w:val="21"/>
          <w:lang w:val="zh-CN"/>
        </w:rPr>
        <w:t>“</w:t>
      </w:r>
      <w:r>
        <w:rPr>
          <w:rFonts w:ascii="宋体" w:eastAsia="宋体" w:hAnsi="Calibri" w:cs="宋体" w:hint="eastAsia"/>
          <w:kern w:val="0"/>
          <w:szCs w:val="21"/>
          <w:lang w:val="zh-CN"/>
        </w:rPr>
        <w:t>初始信号</w:t>
      </w:r>
      <w:r>
        <w:rPr>
          <w:rFonts w:ascii="宋体" w:eastAsia="宋体" w:hAnsi="Calibri" w:cs="宋体"/>
          <w:kern w:val="0"/>
          <w:szCs w:val="21"/>
          <w:lang w:val="zh-CN"/>
        </w:rPr>
        <w:t>”</w:t>
      </w:r>
      <w:r>
        <w:rPr>
          <w:rFonts w:ascii="宋体" w:eastAsia="宋体" w:hAnsi="Calibri" w:cs="宋体" w:hint="eastAsia"/>
          <w:kern w:val="0"/>
          <w:szCs w:val="21"/>
          <w:lang w:val="zh-CN"/>
        </w:rPr>
        <w:t>；</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在行为金融学研究领域，净交易量（股数）数据，是投资者情绪的市场观测变量；研究表明，与散户投资者反向投资，或与机构投资者同方向投资，均能获得较好的收益。上证</w:t>
      </w:r>
      <w:r>
        <w:rPr>
          <w:rFonts w:ascii="Calibri" w:eastAsia="宋体" w:hAnsi="Calibri" w:cs="Calibri"/>
          <w:kern w:val="0"/>
          <w:szCs w:val="21"/>
        </w:rPr>
        <w:t>BBD</w:t>
      </w:r>
      <w:r>
        <w:rPr>
          <w:rFonts w:ascii="宋体" w:eastAsia="宋体" w:hAnsi="Calibri" w:cs="宋体" w:hint="eastAsia"/>
          <w:kern w:val="0"/>
          <w:szCs w:val="21"/>
          <w:lang w:val="zh-CN"/>
        </w:rPr>
        <w:t>数据，即大单净差数据，较好地反映了</w:t>
      </w:r>
      <w:r>
        <w:rPr>
          <w:rFonts w:ascii="Calibri" w:eastAsia="宋体" w:hAnsi="Calibri" w:cs="Calibri"/>
          <w:kern w:val="0"/>
          <w:szCs w:val="21"/>
        </w:rPr>
        <w:t>A</w:t>
      </w:r>
      <w:r>
        <w:rPr>
          <w:rFonts w:ascii="宋体" w:eastAsia="宋体" w:hAnsi="Calibri" w:cs="宋体" w:hint="eastAsia"/>
          <w:kern w:val="0"/>
          <w:szCs w:val="21"/>
          <w:lang w:val="zh-CN"/>
        </w:rPr>
        <w:t>股机构投资者情绪。采用算法，将</w:t>
      </w:r>
      <w:r>
        <w:rPr>
          <w:rFonts w:ascii="Calibri" w:eastAsia="宋体" w:hAnsi="Calibri" w:cs="Calibri"/>
          <w:kern w:val="0"/>
          <w:szCs w:val="21"/>
        </w:rPr>
        <w:t>BBD</w:t>
      </w:r>
      <w:r>
        <w:rPr>
          <w:rFonts w:ascii="宋体" w:eastAsia="宋体" w:hAnsi="Calibri" w:cs="宋体" w:hint="eastAsia"/>
          <w:kern w:val="0"/>
          <w:szCs w:val="21"/>
          <w:lang w:val="zh-CN"/>
        </w:rPr>
        <w:t>数据作为机构投资者情绪的代理变量，构建交易模块，发出</w:t>
      </w:r>
      <w:r>
        <w:rPr>
          <w:rFonts w:ascii="宋体" w:eastAsia="宋体" w:hAnsi="Calibri" w:cs="宋体"/>
          <w:kern w:val="0"/>
          <w:szCs w:val="21"/>
          <w:lang w:val="zh-CN"/>
        </w:rPr>
        <w:t>“</w:t>
      </w:r>
      <w:r>
        <w:rPr>
          <w:rFonts w:ascii="Calibri" w:eastAsia="宋体" w:hAnsi="Calibri" w:cs="Calibri"/>
          <w:kern w:val="0"/>
          <w:szCs w:val="21"/>
        </w:rPr>
        <w:t>BBD</w:t>
      </w:r>
      <w:r>
        <w:rPr>
          <w:rFonts w:ascii="宋体" w:eastAsia="宋体" w:hAnsi="Calibri" w:cs="宋体" w:hint="eastAsia"/>
          <w:kern w:val="0"/>
          <w:szCs w:val="21"/>
          <w:lang w:val="zh-CN"/>
        </w:rPr>
        <w:t>信号</w:t>
      </w:r>
      <w:r>
        <w:rPr>
          <w:rFonts w:ascii="宋体" w:eastAsia="宋体" w:hAnsi="Calibri" w:cs="宋体"/>
          <w:kern w:val="0"/>
          <w:szCs w:val="21"/>
          <w:lang w:val="zh-CN"/>
        </w:rPr>
        <w:t>”</w:t>
      </w:r>
      <w:r>
        <w:rPr>
          <w:rFonts w:ascii="宋体" w:eastAsia="宋体" w:hAnsi="Calibri" w:cs="宋体" w:hint="eastAsia"/>
          <w:kern w:val="0"/>
          <w:szCs w:val="21"/>
          <w:lang w:val="zh-CN"/>
        </w:rPr>
        <w:t>；</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在</w:t>
      </w:r>
      <w:r>
        <w:rPr>
          <w:rFonts w:ascii="宋体" w:eastAsia="宋体" w:hAnsi="Calibri" w:cs="宋体"/>
          <w:kern w:val="0"/>
          <w:szCs w:val="21"/>
          <w:lang w:val="zh-CN"/>
        </w:rPr>
        <w:t>“</w:t>
      </w:r>
      <w:r>
        <w:rPr>
          <w:rFonts w:ascii="宋体" w:eastAsia="宋体" w:hAnsi="Calibri" w:cs="宋体" w:hint="eastAsia"/>
          <w:kern w:val="0"/>
          <w:szCs w:val="21"/>
          <w:lang w:val="zh-CN"/>
        </w:rPr>
        <w:t>初始信号</w:t>
      </w:r>
      <w:r>
        <w:rPr>
          <w:rFonts w:ascii="宋体" w:eastAsia="宋体" w:hAnsi="Calibri" w:cs="宋体"/>
          <w:kern w:val="0"/>
          <w:szCs w:val="21"/>
          <w:lang w:val="zh-CN"/>
        </w:rPr>
        <w:t>”</w:t>
      </w:r>
      <w:r>
        <w:rPr>
          <w:rFonts w:ascii="宋体" w:eastAsia="宋体" w:hAnsi="Calibri" w:cs="宋体" w:hint="eastAsia"/>
          <w:kern w:val="0"/>
          <w:szCs w:val="21"/>
          <w:lang w:val="zh-CN"/>
        </w:rPr>
        <w:t>和</w:t>
      </w:r>
      <w:r>
        <w:rPr>
          <w:rFonts w:ascii="宋体" w:eastAsia="宋体" w:hAnsi="Calibri" w:cs="宋体"/>
          <w:kern w:val="0"/>
          <w:szCs w:val="21"/>
          <w:lang w:val="zh-CN"/>
        </w:rPr>
        <w:t>“</w:t>
      </w:r>
      <w:r>
        <w:rPr>
          <w:rFonts w:ascii="Calibri" w:eastAsia="宋体" w:hAnsi="Calibri" w:cs="Calibri"/>
          <w:kern w:val="0"/>
          <w:szCs w:val="21"/>
        </w:rPr>
        <w:t>BBD</w:t>
      </w:r>
      <w:r>
        <w:rPr>
          <w:rFonts w:ascii="宋体" w:eastAsia="宋体" w:hAnsi="Calibri" w:cs="宋体" w:hint="eastAsia"/>
          <w:kern w:val="0"/>
          <w:szCs w:val="21"/>
          <w:lang w:val="zh-CN"/>
        </w:rPr>
        <w:t>信号</w:t>
      </w:r>
      <w:r>
        <w:rPr>
          <w:rFonts w:ascii="宋体" w:eastAsia="宋体" w:hAnsi="Calibri" w:cs="宋体"/>
          <w:kern w:val="0"/>
          <w:szCs w:val="21"/>
          <w:lang w:val="zh-CN"/>
        </w:rPr>
        <w:t>”</w:t>
      </w:r>
      <w:r>
        <w:rPr>
          <w:rFonts w:ascii="宋体" w:eastAsia="宋体" w:hAnsi="Calibri" w:cs="宋体" w:hint="eastAsia"/>
          <w:kern w:val="0"/>
          <w:szCs w:val="21"/>
          <w:lang w:val="zh-CN"/>
        </w:rPr>
        <w:t>的基础上，加上其他参数，对信号做出</w:t>
      </w:r>
      <w:r>
        <w:rPr>
          <w:rFonts w:ascii="Calibri" w:eastAsia="宋体" w:hAnsi="Calibri" w:cs="Calibri"/>
          <w:kern w:val="0"/>
          <w:szCs w:val="21"/>
        </w:rPr>
        <w:t>13</w:t>
      </w:r>
      <w:r>
        <w:rPr>
          <w:rFonts w:ascii="宋体" w:eastAsia="宋体" w:hAnsi="Calibri" w:cs="宋体" w:hint="eastAsia"/>
          <w:kern w:val="0"/>
          <w:szCs w:val="21"/>
          <w:lang w:val="zh-CN"/>
        </w:rPr>
        <w:t>步修正，得出最终交易信号，买入</w:t>
      </w:r>
      <w:r>
        <w:rPr>
          <w:rFonts w:ascii="Calibri" w:eastAsia="宋体" w:hAnsi="Calibri" w:cs="Calibri"/>
          <w:kern w:val="0"/>
          <w:szCs w:val="21"/>
        </w:rPr>
        <w:t>/</w:t>
      </w:r>
      <w:r>
        <w:rPr>
          <w:rFonts w:ascii="宋体" w:eastAsia="宋体" w:hAnsi="Calibri" w:cs="宋体" w:hint="eastAsia"/>
          <w:kern w:val="0"/>
          <w:szCs w:val="21"/>
          <w:lang w:val="zh-CN"/>
        </w:rPr>
        <w:t>持有输出值</w:t>
      </w:r>
      <w:r>
        <w:rPr>
          <w:rFonts w:ascii="Calibri" w:eastAsia="宋体" w:hAnsi="Calibri" w:cs="Calibri"/>
          <w:kern w:val="0"/>
          <w:szCs w:val="21"/>
        </w:rPr>
        <w:t>=1</w:t>
      </w:r>
      <w:r>
        <w:rPr>
          <w:rFonts w:ascii="宋体" w:eastAsia="宋体" w:hAnsi="Calibri" w:cs="宋体" w:hint="eastAsia"/>
          <w:kern w:val="0"/>
          <w:szCs w:val="21"/>
          <w:lang w:val="zh-CN"/>
        </w:rPr>
        <w:t>，卖出</w:t>
      </w:r>
      <w:r>
        <w:rPr>
          <w:rFonts w:ascii="Calibri" w:eastAsia="宋体" w:hAnsi="Calibri" w:cs="Calibri"/>
          <w:kern w:val="0"/>
          <w:szCs w:val="21"/>
        </w:rPr>
        <w:t>/</w:t>
      </w:r>
      <w:r>
        <w:rPr>
          <w:rFonts w:ascii="宋体" w:eastAsia="宋体" w:hAnsi="Calibri" w:cs="宋体" w:hint="eastAsia"/>
          <w:kern w:val="0"/>
          <w:szCs w:val="21"/>
          <w:lang w:val="zh-CN"/>
        </w:rPr>
        <w:t>空仓输出值</w:t>
      </w:r>
      <w:r>
        <w:rPr>
          <w:rFonts w:ascii="Calibri" w:eastAsia="宋体" w:hAnsi="Calibri" w:cs="Calibri"/>
          <w:kern w:val="0"/>
          <w:szCs w:val="21"/>
        </w:rPr>
        <w:t>=0</w:t>
      </w:r>
      <w:r>
        <w:rPr>
          <w:rFonts w:ascii="宋体" w:eastAsia="宋体" w:hAnsi="Calibri" w:cs="宋体" w:hint="eastAsia"/>
          <w:kern w:val="0"/>
          <w:szCs w:val="21"/>
          <w:lang w:val="zh-CN"/>
        </w:rPr>
        <w:t>：</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p>
    <w:p w:rsidR="005E1A53" w:rsidRDefault="005E1A53" w:rsidP="005E1A53">
      <w:pPr>
        <w:autoSpaceDE w:val="0"/>
        <w:autoSpaceDN w:val="0"/>
        <w:adjustRightInd w:val="0"/>
        <w:spacing w:line="360" w:lineRule="auto"/>
        <w:ind w:firstLine="723"/>
        <w:rPr>
          <w:rFonts w:ascii="Calibri" w:eastAsia="宋体" w:hAnsi="Calibri" w:cs="Calibri"/>
          <w:b/>
          <w:bCs/>
          <w:kern w:val="0"/>
          <w:sz w:val="24"/>
          <w:szCs w:val="24"/>
        </w:rPr>
      </w:pPr>
      <w:r>
        <w:rPr>
          <w:rFonts w:ascii="宋体" w:eastAsia="宋体" w:hAnsi="Calibri" w:cs="宋体" w:hint="eastAsia"/>
          <w:b/>
          <w:bCs/>
          <w:kern w:val="0"/>
          <w:sz w:val="24"/>
          <w:szCs w:val="24"/>
          <w:lang w:val="zh-CN"/>
        </w:rPr>
        <w:t>表</w:t>
      </w:r>
      <w:r>
        <w:rPr>
          <w:rFonts w:ascii="Calibri" w:eastAsia="宋体" w:hAnsi="Calibri" w:cs="Calibri"/>
          <w:b/>
          <w:bCs/>
          <w:kern w:val="0"/>
          <w:sz w:val="24"/>
          <w:szCs w:val="24"/>
        </w:rPr>
        <w:t>2</w:t>
      </w:r>
      <w:r>
        <w:rPr>
          <w:rFonts w:ascii="宋体" w:eastAsia="宋体" w:hAnsi="Calibri" w:cs="宋体" w:hint="eastAsia"/>
          <w:b/>
          <w:bCs/>
          <w:kern w:val="0"/>
          <w:sz w:val="24"/>
          <w:szCs w:val="24"/>
          <w:lang w:val="zh-CN"/>
        </w:rPr>
        <w:t>：</w:t>
      </w:r>
      <w:r>
        <w:rPr>
          <w:rFonts w:ascii="Calibri" w:eastAsia="宋体" w:hAnsi="Calibri" w:cs="Calibri"/>
          <w:b/>
          <w:bCs/>
          <w:kern w:val="0"/>
          <w:sz w:val="24"/>
          <w:szCs w:val="24"/>
        </w:rPr>
        <w:t>ATM</w:t>
      </w:r>
      <w:r>
        <w:rPr>
          <w:rFonts w:ascii="宋体" w:eastAsia="宋体" w:hAnsi="Calibri" w:cs="宋体" w:hint="eastAsia"/>
          <w:b/>
          <w:bCs/>
          <w:kern w:val="0"/>
          <w:sz w:val="24"/>
          <w:szCs w:val="24"/>
          <w:lang w:val="zh-CN"/>
        </w:rPr>
        <w:t>择时系统</w:t>
      </w:r>
    </w:p>
    <w:tbl>
      <w:tblPr>
        <w:tblW w:w="0" w:type="auto"/>
        <w:jc w:val="center"/>
        <w:tblLayout w:type="fixed"/>
        <w:tblCellMar>
          <w:left w:w="14" w:type="dxa"/>
          <w:right w:w="14" w:type="dxa"/>
        </w:tblCellMar>
        <w:tblLook w:val="0000"/>
      </w:tblPr>
      <w:tblGrid>
        <w:gridCol w:w="3580"/>
        <w:gridCol w:w="3356"/>
      </w:tblGrid>
      <w:tr w:rsidR="005E1A53">
        <w:tblPrEx>
          <w:tblCellMar>
            <w:top w:w="0" w:type="dxa"/>
            <w:bottom w:w="0" w:type="dxa"/>
          </w:tblCellMar>
        </w:tblPrEx>
        <w:trPr>
          <w:trHeight w:val="355"/>
          <w:jc w:val="center"/>
        </w:trPr>
        <w:tc>
          <w:tcPr>
            <w:tcW w:w="6936" w:type="dxa"/>
            <w:gridSpan w:val="2"/>
            <w:tcBorders>
              <w:top w:val="single" w:sz="6" w:space="0" w:color="000000"/>
              <w:left w:val="single" w:sz="6" w:space="0" w:color="000000"/>
              <w:bottom w:val="single" w:sz="6" w:space="0" w:color="000000"/>
              <w:right w:val="single" w:sz="6" w:space="0" w:color="000000"/>
            </w:tcBorders>
            <w:vAlign w:val="center"/>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b/>
                <w:bCs/>
                <w:color w:val="000000"/>
                <w:kern w:val="0"/>
                <w:sz w:val="22"/>
              </w:rPr>
              <w:t>ATM</w:t>
            </w:r>
            <w:r>
              <w:rPr>
                <w:rFonts w:ascii="宋体" w:eastAsia="宋体" w:hAnsi="Calibri" w:cs="宋体" w:hint="eastAsia"/>
                <w:b/>
                <w:bCs/>
                <w:color w:val="000000"/>
                <w:kern w:val="0"/>
                <w:sz w:val="22"/>
                <w:lang w:val="zh-CN"/>
              </w:rPr>
              <w:t>择时表现数据</w:t>
            </w:r>
          </w:p>
        </w:tc>
      </w:tr>
      <w:tr w:rsidR="005E1A53">
        <w:tblPrEx>
          <w:tblCellMar>
            <w:top w:w="0" w:type="dxa"/>
            <w:bottom w:w="0" w:type="dxa"/>
          </w:tblCellMar>
        </w:tblPrEx>
        <w:trPr>
          <w:trHeight w:val="315"/>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年化收益率</w:t>
            </w:r>
            <w:r>
              <w:rPr>
                <w:rFonts w:ascii="Calibri" w:eastAsia="宋体" w:hAnsi="Calibri" w:cs="Calibri"/>
                <w:color w:val="000000"/>
                <w:kern w:val="0"/>
                <w:sz w:val="18"/>
                <w:szCs w:val="18"/>
              </w:rPr>
              <w:t>(%)</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126.7476</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交易日</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1657</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lastRenderedPageBreak/>
              <w:t>真实交易次数</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756</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盈利交易日</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955</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亏损交易日</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702</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平均盈利</w:t>
            </w:r>
            <w:r>
              <w:rPr>
                <w:rFonts w:ascii="Calibri" w:eastAsia="宋体" w:hAnsi="Calibri" w:cs="Calibri"/>
                <w:color w:val="000000"/>
                <w:kern w:val="0"/>
                <w:sz w:val="18"/>
                <w:szCs w:val="18"/>
              </w:rPr>
              <w:t>/</w:t>
            </w:r>
            <w:r>
              <w:rPr>
                <w:rFonts w:ascii="宋体" w:eastAsia="宋体" w:hAnsi="Calibri" w:cs="宋体" w:hint="eastAsia"/>
                <w:color w:val="000000"/>
                <w:kern w:val="0"/>
                <w:sz w:val="18"/>
                <w:szCs w:val="18"/>
                <w:lang w:val="zh-CN"/>
              </w:rPr>
              <w:t>平均亏损</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1.0769</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盈利系数</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1.4651</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最大连续盈利次数</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13</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最大连续亏损次数</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9</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最大单笔盈利比</w:t>
            </w:r>
            <w:r>
              <w:rPr>
                <w:rFonts w:ascii="Calibri" w:eastAsia="宋体" w:hAnsi="Calibri" w:cs="Calibri"/>
                <w:color w:val="000000"/>
                <w:kern w:val="0"/>
                <w:sz w:val="18"/>
                <w:szCs w:val="18"/>
              </w:rPr>
              <w:t>(%)</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9.266</w:t>
            </w:r>
          </w:p>
        </w:tc>
      </w:tr>
      <w:tr w:rsidR="005E1A53">
        <w:tblPrEx>
          <w:tblCellMar>
            <w:top w:w="0" w:type="dxa"/>
            <w:bottom w:w="0" w:type="dxa"/>
          </w:tblCellMar>
        </w:tblPrEx>
        <w:trPr>
          <w:trHeight w:val="47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最大单笔亏损比</w:t>
            </w:r>
            <w:r>
              <w:rPr>
                <w:rFonts w:ascii="Calibri" w:eastAsia="宋体" w:hAnsi="Calibri" w:cs="Calibri"/>
                <w:color w:val="000000"/>
                <w:kern w:val="0"/>
                <w:sz w:val="18"/>
                <w:szCs w:val="18"/>
              </w:rPr>
              <w:t>(%)</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-9.3639</w:t>
            </w:r>
          </w:p>
        </w:tc>
      </w:tr>
      <w:tr w:rsidR="005E1A53">
        <w:tblPrEx>
          <w:tblCellMar>
            <w:top w:w="0" w:type="dxa"/>
            <w:bottom w:w="0" w:type="dxa"/>
          </w:tblCellMar>
        </w:tblPrEx>
        <w:trPr>
          <w:trHeight w:val="441"/>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盈利交易平均持仓时间</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w:t>
            </w:r>
          </w:p>
        </w:tc>
      </w:tr>
      <w:tr w:rsidR="005E1A53">
        <w:tblPrEx>
          <w:tblCellMar>
            <w:top w:w="0" w:type="dxa"/>
            <w:bottom w:w="0" w:type="dxa"/>
          </w:tblCellMar>
        </w:tblPrEx>
        <w:trPr>
          <w:trHeight w:val="494"/>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亏损交易平均持仓时间</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多头交易盈利比例</w:t>
            </w:r>
            <w:r>
              <w:rPr>
                <w:rFonts w:ascii="Calibri" w:eastAsia="宋体" w:hAnsi="Calibri" w:cs="Calibri"/>
                <w:color w:val="000000"/>
                <w:kern w:val="0"/>
                <w:sz w:val="18"/>
                <w:szCs w:val="18"/>
              </w:rPr>
              <w:t>(%)</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58.4535</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空头交易盈利比例</w:t>
            </w:r>
            <w:r>
              <w:rPr>
                <w:rFonts w:ascii="Calibri" w:eastAsia="宋体" w:hAnsi="Calibri" w:cs="Calibri"/>
                <w:color w:val="000000"/>
                <w:kern w:val="0"/>
                <w:sz w:val="18"/>
                <w:szCs w:val="18"/>
              </w:rPr>
              <w:t>(%)</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56.9351</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最大资本回撤</w:t>
            </w:r>
            <w:r>
              <w:rPr>
                <w:rFonts w:ascii="Calibri" w:eastAsia="宋体" w:hAnsi="Calibri" w:cs="Calibri"/>
                <w:color w:val="000000"/>
                <w:kern w:val="0"/>
                <w:sz w:val="18"/>
                <w:szCs w:val="18"/>
              </w:rPr>
              <w:t>(%)</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-16.7952</w:t>
            </w:r>
          </w:p>
        </w:tc>
      </w:tr>
      <w:tr w:rsidR="005E1A53">
        <w:tblPrEx>
          <w:tblCellMar>
            <w:top w:w="0" w:type="dxa"/>
            <w:bottom w:w="0" w:type="dxa"/>
          </w:tblCellMar>
        </w:tblPrEx>
        <w:trPr>
          <w:trHeight w:val="433"/>
          <w:jc w:val="center"/>
        </w:trPr>
        <w:tc>
          <w:tcPr>
            <w:tcW w:w="3580"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宋体" w:eastAsia="宋体" w:hAnsi="Calibri" w:cs="宋体" w:hint="eastAsia"/>
                <w:color w:val="000000"/>
                <w:kern w:val="0"/>
                <w:sz w:val="18"/>
                <w:szCs w:val="18"/>
                <w:lang w:val="zh-CN"/>
              </w:rPr>
              <w:t>日均收益率</w:t>
            </w:r>
          </w:p>
        </w:tc>
        <w:tc>
          <w:tcPr>
            <w:tcW w:w="3356" w:type="dxa"/>
            <w:tcBorders>
              <w:top w:val="single" w:sz="6" w:space="0" w:color="000000"/>
              <w:left w:val="single" w:sz="6" w:space="0" w:color="000000"/>
              <w:bottom w:val="single" w:sz="6" w:space="0" w:color="000000"/>
              <w:right w:val="single" w:sz="6" w:space="0" w:color="000000"/>
            </w:tcBorders>
            <w:vAlign w:val="bottom"/>
          </w:tcPr>
          <w:p w:rsidR="005E1A53" w:rsidRDefault="005E1A53">
            <w:pPr>
              <w:autoSpaceDE w:val="0"/>
              <w:autoSpaceDN w:val="0"/>
              <w:adjustRightInd w:val="0"/>
              <w:jc w:val="center"/>
              <w:rPr>
                <w:rFonts w:ascii="宋体" w:eastAsia="宋体" w:hAnsi="Calibri" w:cs="宋体"/>
                <w:kern w:val="0"/>
                <w:sz w:val="22"/>
                <w:lang w:val="zh-CN"/>
              </w:rPr>
            </w:pPr>
            <w:r>
              <w:rPr>
                <w:rFonts w:ascii="Calibri" w:eastAsia="宋体" w:hAnsi="Calibri" w:cs="Calibri"/>
                <w:color w:val="000000"/>
                <w:kern w:val="0"/>
                <w:sz w:val="18"/>
                <w:szCs w:val="18"/>
              </w:rPr>
              <w:t>0.3417</w:t>
            </w:r>
          </w:p>
        </w:tc>
      </w:tr>
    </w:tbl>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通过择时模型，</w:t>
      </w:r>
      <w:r>
        <w:rPr>
          <w:rFonts w:ascii="Calibri" w:eastAsia="宋体" w:hAnsi="Calibri" w:cs="Calibri"/>
          <w:kern w:val="0"/>
          <w:szCs w:val="21"/>
        </w:rPr>
        <w:t>2013</w:t>
      </w:r>
      <w:r>
        <w:rPr>
          <w:rFonts w:ascii="宋体" w:eastAsia="宋体" w:hAnsi="Calibri" w:cs="宋体" w:hint="eastAsia"/>
          <w:kern w:val="0"/>
          <w:szCs w:val="21"/>
          <w:lang w:val="zh-CN"/>
        </w:rPr>
        <w:t>年</w:t>
      </w:r>
      <w:r>
        <w:rPr>
          <w:rFonts w:ascii="Calibri" w:eastAsia="宋体" w:hAnsi="Calibri" w:cs="Calibri"/>
          <w:kern w:val="0"/>
          <w:szCs w:val="21"/>
        </w:rPr>
        <w:t>A06</w:t>
      </w:r>
      <w:r>
        <w:rPr>
          <w:rFonts w:ascii="宋体" w:eastAsia="宋体" w:hAnsi="Calibri" w:cs="宋体" w:hint="eastAsia"/>
          <w:kern w:val="0"/>
          <w:szCs w:val="21"/>
          <w:lang w:val="zh-CN"/>
        </w:rPr>
        <w:t>组合的收益率提高了</w:t>
      </w:r>
      <w:r>
        <w:rPr>
          <w:rFonts w:ascii="Calibri" w:eastAsia="宋体" w:hAnsi="Calibri" w:cs="Calibri"/>
          <w:kern w:val="0"/>
          <w:szCs w:val="21"/>
        </w:rPr>
        <w:t>7.12%</w:t>
      </w:r>
      <w:r>
        <w:rPr>
          <w:rFonts w:ascii="宋体" w:eastAsia="宋体" w:hAnsi="Calibri" w:cs="宋体" w:hint="eastAsia"/>
          <w:kern w:val="0"/>
          <w:szCs w:val="21"/>
          <w:lang w:val="zh-CN"/>
        </w:rPr>
        <w:t>。</w:t>
      </w:r>
    </w:p>
    <w:p w:rsidR="005E1A53" w:rsidRDefault="005E1A53" w:rsidP="005E1A53">
      <w:pPr>
        <w:autoSpaceDE w:val="0"/>
        <w:autoSpaceDN w:val="0"/>
        <w:adjustRightInd w:val="0"/>
        <w:spacing w:line="360" w:lineRule="auto"/>
        <w:ind w:left="105" w:firstLine="420"/>
        <w:rPr>
          <w:rFonts w:ascii="Calibri" w:eastAsia="宋体" w:hAnsi="Calibri" w:cs="Calibri"/>
          <w:kern w:val="0"/>
          <w:szCs w:val="21"/>
        </w:rPr>
      </w:pPr>
      <w:r>
        <w:rPr>
          <w:rFonts w:ascii="宋体" w:eastAsia="宋体" w:hAnsi="Calibri" w:cs="宋体" w:hint="eastAsia"/>
          <w:kern w:val="0"/>
          <w:szCs w:val="21"/>
          <w:lang w:val="zh-CN"/>
        </w:rPr>
        <w:t>图</w:t>
      </w:r>
      <w:r>
        <w:rPr>
          <w:rFonts w:ascii="Calibri" w:eastAsia="宋体" w:hAnsi="Calibri" w:cs="Calibri"/>
          <w:kern w:val="0"/>
          <w:szCs w:val="21"/>
        </w:rPr>
        <w:t>4</w:t>
      </w:r>
      <w:r>
        <w:rPr>
          <w:rFonts w:ascii="宋体" w:eastAsia="宋体" w:hAnsi="Calibri" w:cs="宋体" w:hint="eastAsia"/>
          <w:kern w:val="0"/>
          <w:szCs w:val="21"/>
          <w:lang w:val="zh-CN"/>
        </w:rPr>
        <w:t>：组合收益率分解</w:t>
      </w:r>
    </w:p>
    <w:p w:rsidR="005E1A53" w:rsidRDefault="005E1A53" w:rsidP="005E1A53">
      <w:pPr>
        <w:autoSpaceDE w:val="0"/>
        <w:autoSpaceDN w:val="0"/>
        <w:adjustRightInd w:val="0"/>
        <w:ind w:firstLine="420"/>
        <w:rPr>
          <w:rFonts w:ascii="Calibri" w:eastAsia="宋体" w:hAnsi="Calibri" w:cs="Calibri"/>
          <w:kern w:val="0"/>
          <w:szCs w:val="21"/>
        </w:rPr>
      </w:pPr>
    </w:p>
    <w:p w:rsidR="005E1A53" w:rsidRDefault="005E1A53" w:rsidP="005E1A53">
      <w:pPr>
        <w:autoSpaceDE w:val="0"/>
        <w:autoSpaceDN w:val="0"/>
        <w:adjustRightInd w:val="0"/>
        <w:ind w:left="360"/>
        <w:rPr>
          <w:rFonts w:ascii="Calibri" w:eastAsia="宋体" w:hAnsi="Calibri" w:cs="Calibri"/>
          <w:kern w:val="0"/>
          <w:szCs w:val="21"/>
        </w:rPr>
      </w:pPr>
    </w:p>
    <w:p w:rsidR="005E1A53" w:rsidRDefault="005E1A53" w:rsidP="005E1A53">
      <w:pPr>
        <w:autoSpaceDE w:val="0"/>
        <w:autoSpaceDN w:val="0"/>
        <w:adjustRightInd w:val="0"/>
        <w:rPr>
          <w:rFonts w:ascii="Calibri" w:eastAsia="宋体" w:hAnsi="Calibri" w:cs="Calibri"/>
          <w:kern w:val="0"/>
          <w:szCs w:val="21"/>
        </w:rPr>
      </w:pPr>
      <w:r>
        <w:rPr>
          <w:rFonts w:ascii="宋体" w:eastAsia="宋体" w:hAnsi="Calibri" w:cs="宋体" w:hint="eastAsia"/>
          <w:kern w:val="0"/>
          <w:szCs w:val="21"/>
          <w:lang w:val="zh-CN"/>
        </w:rPr>
        <w:t>三、收益敏感性分析</w:t>
      </w:r>
    </w:p>
    <w:p w:rsidR="000D7A71" w:rsidRDefault="000D7A71"/>
    <w:sectPr w:rsidR="000D7A71" w:rsidSect="00CE693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A71" w:rsidRDefault="000D7A71" w:rsidP="005E1A53">
      <w:r>
        <w:separator/>
      </w:r>
    </w:p>
  </w:endnote>
  <w:endnote w:type="continuationSeparator" w:id="1">
    <w:p w:rsidR="000D7A71" w:rsidRDefault="000D7A71" w:rsidP="005E1A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A71" w:rsidRDefault="000D7A71" w:rsidP="005E1A53">
      <w:r>
        <w:separator/>
      </w:r>
    </w:p>
  </w:footnote>
  <w:footnote w:type="continuationSeparator" w:id="1">
    <w:p w:rsidR="000D7A71" w:rsidRDefault="000D7A71" w:rsidP="005E1A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614697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1A53"/>
    <w:rsid w:val="000D7A71"/>
    <w:rsid w:val="005E1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1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1A53"/>
    <w:rPr>
      <w:sz w:val="18"/>
      <w:szCs w:val="18"/>
    </w:rPr>
  </w:style>
  <w:style w:type="paragraph" w:styleId="a4">
    <w:name w:val="footer"/>
    <w:basedOn w:val="a"/>
    <w:link w:val="Char0"/>
    <w:uiPriority w:val="99"/>
    <w:semiHidden/>
    <w:unhideWhenUsed/>
    <w:rsid w:val="005E1A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1A53"/>
    <w:rPr>
      <w:sz w:val="18"/>
      <w:szCs w:val="18"/>
    </w:rPr>
  </w:style>
  <w:style w:type="paragraph" w:styleId="a5">
    <w:name w:val="Balloon Text"/>
    <w:basedOn w:val="a"/>
    <w:link w:val="Char1"/>
    <w:uiPriority w:val="99"/>
    <w:semiHidden/>
    <w:unhideWhenUsed/>
    <w:rsid w:val="005E1A53"/>
    <w:rPr>
      <w:sz w:val="18"/>
      <w:szCs w:val="18"/>
    </w:rPr>
  </w:style>
  <w:style w:type="character" w:customStyle="1" w:styleId="Char1">
    <w:name w:val="批注框文本 Char"/>
    <w:basedOn w:val="a0"/>
    <w:link w:val="a5"/>
    <w:uiPriority w:val="99"/>
    <w:semiHidden/>
    <w:rsid w:val="005E1A5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imu.howbuy.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陈潇</dc:creator>
  <cp:keywords/>
  <dc:description/>
  <cp:lastModifiedBy>陈潇</cp:lastModifiedBy>
  <cp:revision>2</cp:revision>
  <dcterms:created xsi:type="dcterms:W3CDTF">2014-10-30T08:14:00Z</dcterms:created>
  <dcterms:modified xsi:type="dcterms:W3CDTF">2014-10-30T08:14:00Z</dcterms:modified>
</cp:coreProperties>
</file>