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6E8D" w:rsidRPr="00F435E2" w:rsidRDefault="00616E8D" w:rsidP="00F435E2">
      <w:pPr>
        <w:pStyle w:val="a5"/>
        <w:numPr>
          <w:ilvl w:val="0"/>
          <w:numId w:val="1"/>
        </w:numPr>
        <w:ind w:firstLineChars="0"/>
        <w:rPr>
          <w:rFonts w:hint="eastAsia"/>
          <w:sz w:val="32"/>
          <w:szCs w:val="32"/>
        </w:rPr>
      </w:pPr>
      <w:r w:rsidRPr="004F0E2D">
        <w:rPr>
          <w:rFonts w:hint="eastAsia"/>
          <w:sz w:val="32"/>
          <w:szCs w:val="32"/>
        </w:rPr>
        <w:t>量化投资简介</w:t>
      </w:r>
    </w:p>
    <w:p w:rsidR="00831820" w:rsidRPr="008319DB" w:rsidRDefault="00831820" w:rsidP="004F0E2D">
      <w:pPr>
        <w:spacing w:line="360" w:lineRule="auto"/>
        <w:ind w:firstLineChars="200" w:firstLine="480"/>
        <w:rPr>
          <w:rFonts w:asciiTheme="minorEastAsia" w:hAnsiTheme="minorEastAsia"/>
          <w:sz w:val="24"/>
          <w:szCs w:val="24"/>
        </w:rPr>
      </w:pPr>
      <w:r w:rsidRPr="008319DB">
        <w:rPr>
          <w:rFonts w:asciiTheme="minorEastAsia" w:hAnsiTheme="minorEastAsia" w:hint="eastAsia"/>
          <w:sz w:val="24"/>
          <w:szCs w:val="24"/>
        </w:rPr>
        <w:t>量化</w:t>
      </w:r>
      <w:r w:rsidR="00D67808" w:rsidRPr="008319DB">
        <w:rPr>
          <w:rFonts w:asciiTheme="minorEastAsia" w:hAnsiTheme="minorEastAsia" w:hint="eastAsia"/>
          <w:sz w:val="24"/>
          <w:szCs w:val="24"/>
        </w:rPr>
        <w:t>投资</w:t>
      </w:r>
      <w:r w:rsidRPr="008319DB">
        <w:rPr>
          <w:rFonts w:asciiTheme="minorEastAsia" w:hAnsiTheme="minorEastAsia" w:hint="eastAsia"/>
          <w:sz w:val="24"/>
          <w:szCs w:val="24"/>
        </w:rPr>
        <w:t>在国内仍然处于萌芽起步状态，而在国外已经成为了相对比较成熟的一种投资模式。</w:t>
      </w:r>
      <w:r w:rsidR="00616E8D" w:rsidRPr="008319DB">
        <w:rPr>
          <w:rFonts w:asciiTheme="minorEastAsia" w:hAnsiTheme="minorEastAsia" w:hint="eastAsia"/>
          <w:sz w:val="24"/>
          <w:szCs w:val="24"/>
        </w:rPr>
        <w:t>在</w:t>
      </w:r>
      <w:r w:rsidR="00616E8D" w:rsidRPr="008319DB">
        <w:rPr>
          <w:rFonts w:asciiTheme="minorEastAsia" w:hAnsiTheme="minorEastAsia"/>
          <w:sz w:val="24"/>
          <w:szCs w:val="24"/>
        </w:rPr>
        <w:t>国外，</w:t>
      </w:r>
      <w:r w:rsidR="00616E8D" w:rsidRPr="008319DB">
        <w:rPr>
          <w:rFonts w:asciiTheme="minorEastAsia" w:hAnsiTheme="minorEastAsia" w:hint="eastAsia"/>
          <w:sz w:val="24"/>
          <w:szCs w:val="24"/>
        </w:rPr>
        <w:t>量化投资技术在对冲基金业已经得到了广泛应用。经过几十年的演变，世界领先的对冲基金，如西蒙斯</w:t>
      </w:r>
      <w:r w:rsidR="0029109A" w:rsidRPr="008319DB">
        <w:rPr>
          <w:rFonts w:asciiTheme="minorEastAsia" w:hAnsiTheme="minorEastAsia" w:hint="eastAsia"/>
          <w:sz w:val="24"/>
          <w:szCs w:val="24"/>
        </w:rPr>
        <w:t>文艺复兴</w:t>
      </w:r>
      <w:r w:rsidR="00616E8D" w:rsidRPr="008319DB">
        <w:rPr>
          <w:rFonts w:asciiTheme="minorEastAsia" w:hAnsiTheme="minorEastAsia" w:hint="eastAsia"/>
          <w:sz w:val="24"/>
          <w:szCs w:val="24"/>
        </w:rPr>
        <w:t>基金、索罗斯量子基金、保尔森基金和千禧管理公司等，都己建立了以计算机平台为基础，以各类衍生品为投资工具，大量运用数量化模型，在不同风险等级下追求绝对收益的投资模式。可以说，量化投资技术已经成为对冲基金赖以生存及发展的基础与动力。</w:t>
      </w:r>
    </w:p>
    <w:p w:rsidR="00616E8D" w:rsidRPr="008319DB" w:rsidRDefault="00616E8D" w:rsidP="004F0E2D">
      <w:pPr>
        <w:spacing w:line="360" w:lineRule="auto"/>
        <w:ind w:firstLineChars="200" w:firstLine="480"/>
        <w:rPr>
          <w:rFonts w:asciiTheme="minorEastAsia" w:hAnsiTheme="minorEastAsia"/>
          <w:b/>
          <w:sz w:val="24"/>
          <w:szCs w:val="24"/>
        </w:rPr>
      </w:pPr>
      <w:r w:rsidRPr="008319DB">
        <w:rPr>
          <w:rFonts w:asciiTheme="minorEastAsia" w:hAnsiTheme="minorEastAsia" w:hint="eastAsia"/>
          <w:sz w:val="24"/>
          <w:szCs w:val="24"/>
        </w:rPr>
        <w:t>量化投资的宗旨是在控制风险的前提下，追求可观的绝对回报。交易策略上主要有三方面特点：灵活操作各种金融工具，可以投资所有的有价证券；可以做空，但并不是一定要做空；可以利用一定程度的杠杆。</w:t>
      </w:r>
    </w:p>
    <w:p w:rsidR="00831820" w:rsidRPr="008319DB" w:rsidRDefault="00D67808" w:rsidP="004F0E2D">
      <w:pPr>
        <w:spacing w:line="360" w:lineRule="auto"/>
        <w:ind w:firstLineChars="200" w:firstLine="480"/>
        <w:rPr>
          <w:rFonts w:asciiTheme="minorEastAsia" w:hAnsiTheme="minorEastAsia"/>
          <w:sz w:val="24"/>
          <w:szCs w:val="24"/>
        </w:rPr>
      </w:pPr>
      <w:r w:rsidRPr="008319DB">
        <w:rPr>
          <w:rFonts w:asciiTheme="minorEastAsia" w:hAnsiTheme="minorEastAsia" w:hint="eastAsia"/>
          <w:sz w:val="24"/>
          <w:szCs w:val="24"/>
        </w:rPr>
        <w:t>和</w:t>
      </w:r>
      <w:r w:rsidRPr="008319DB">
        <w:rPr>
          <w:rFonts w:asciiTheme="minorEastAsia" w:hAnsiTheme="minorEastAsia"/>
          <w:sz w:val="24"/>
          <w:szCs w:val="24"/>
        </w:rPr>
        <w:t>传统的主动型投资相比，</w:t>
      </w:r>
      <w:r w:rsidRPr="008319DB">
        <w:rPr>
          <w:rFonts w:asciiTheme="minorEastAsia" w:hAnsiTheme="minorEastAsia" w:hint="eastAsia"/>
          <w:sz w:val="24"/>
          <w:szCs w:val="24"/>
        </w:rPr>
        <w:t>量化投资</w:t>
      </w:r>
      <w:r w:rsidRPr="008319DB">
        <w:rPr>
          <w:rFonts w:asciiTheme="minorEastAsia" w:hAnsiTheme="minorEastAsia"/>
          <w:sz w:val="24"/>
          <w:szCs w:val="24"/>
        </w:rPr>
        <w:t>更加强调</w:t>
      </w:r>
      <w:r w:rsidRPr="008319DB">
        <w:rPr>
          <w:rFonts w:asciiTheme="minorEastAsia" w:hAnsiTheme="minorEastAsia" w:hint="eastAsia"/>
          <w:sz w:val="24"/>
          <w:szCs w:val="24"/>
        </w:rPr>
        <w:t>纪律性</w:t>
      </w:r>
      <w:r w:rsidRPr="008319DB">
        <w:rPr>
          <w:rFonts w:asciiTheme="minorEastAsia" w:hAnsiTheme="minorEastAsia"/>
          <w:sz w:val="24"/>
          <w:szCs w:val="24"/>
        </w:rPr>
        <w:t>和系统性。传统的主动型投资</w:t>
      </w:r>
      <w:r w:rsidRPr="008319DB">
        <w:rPr>
          <w:rFonts w:asciiTheme="minorEastAsia" w:hAnsiTheme="minorEastAsia" w:hint="eastAsia"/>
          <w:sz w:val="24"/>
          <w:szCs w:val="24"/>
        </w:rPr>
        <w:t>比较</w:t>
      </w:r>
      <w:r w:rsidRPr="008319DB">
        <w:rPr>
          <w:rFonts w:asciiTheme="minorEastAsia" w:hAnsiTheme="minorEastAsia"/>
          <w:sz w:val="24"/>
          <w:szCs w:val="24"/>
        </w:rPr>
        <w:t>依赖于投资经理的</w:t>
      </w:r>
      <w:r w:rsidRPr="008319DB">
        <w:rPr>
          <w:rFonts w:asciiTheme="minorEastAsia" w:hAnsiTheme="minorEastAsia" w:hint="eastAsia"/>
          <w:sz w:val="24"/>
          <w:szCs w:val="24"/>
        </w:rPr>
        <w:t>个人</w:t>
      </w:r>
      <w:r w:rsidRPr="008319DB">
        <w:rPr>
          <w:rFonts w:asciiTheme="minorEastAsia" w:hAnsiTheme="minorEastAsia"/>
          <w:sz w:val="24"/>
          <w:szCs w:val="24"/>
        </w:rPr>
        <w:t>经验和判断，</w:t>
      </w:r>
      <w:r w:rsidRPr="008319DB">
        <w:rPr>
          <w:rFonts w:asciiTheme="minorEastAsia" w:hAnsiTheme="minorEastAsia" w:hint="eastAsia"/>
          <w:sz w:val="24"/>
          <w:szCs w:val="24"/>
        </w:rPr>
        <w:t>而量化</w:t>
      </w:r>
      <w:r w:rsidRPr="008319DB">
        <w:rPr>
          <w:rFonts w:asciiTheme="minorEastAsia" w:hAnsiTheme="minorEastAsia"/>
          <w:sz w:val="24"/>
          <w:szCs w:val="24"/>
        </w:rPr>
        <w:t>投资的</w:t>
      </w:r>
      <w:r w:rsidRPr="008319DB">
        <w:rPr>
          <w:rFonts w:asciiTheme="minorEastAsia" w:hAnsiTheme="minorEastAsia" w:hint="eastAsia"/>
          <w:sz w:val="24"/>
          <w:szCs w:val="24"/>
        </w:rPr>
        <w:t>决策</w:t>
      </w:r>
      <w:r w:rsidRPr="008319DB">
        <w:rPr>
          <w:rFonts w:asciiTheme="minorEastAsia" w:hAnsiTheme="minorEastAsia"/>
          <w:sz w:val="24"/>
          <w:szCs w:val="24"/>
        </w:rPr>
        <w:t>都是依靠</w:t>
      </w:r>
      <w:r w:rsidRPr="008319DB">
        <w:rPr>
          <w:rFonts w:asciiTheme="minorEastAsia" w:hAnsiTheme="minorEastAsia" w:hint="eastAsia"/>
          <w:sz w:val="24"/>
          <w:szCs w:val="24"/>
        </w:rPr>
        <w:t>模型</w:t>
      </w:r>
      <w:r w:rsidRPr="008319DB">
        <w:rPr>
          <w:rFonts w:asciiTheme="minorEastAsia" w:hAnsiTheme="minorEastAsia"/>
          <w:sz w:val="24"/>
          <w:szCs w:val="24"/>
        </w:rPr>
        <w:t>做出的，特别是有数据支持的</w:t>
      </w:r>
      <w:r w:rsidRPr="008319DB">
        <w:rPr>
          <w:rFonts w:asciiTheme="minorEastAsia" w:hAnsiTheme="minorEastAsia" w:hint="eastAsia"/>
          <w:sz w:val="24"/>
          <w:szCs w:val="24"/>
        </w:rPr>
        <w:t>。这</w:t>
      </w:r>
      <w:r w:rsidRPr="008319DB">
        <w:rPr>
          <w:rFonts w:asciiTheme="minorEastAsia" w:hAnsiTheme="minorEastAsia"/>
          <w:sz w:val="24"/>
          <w:szCs w:val="24"/>
        </w:rPr>
        <w:t>可以克服</w:t>
      </w:r>
      <w:r w:rsidRPr="008319DB">
        <w:rPr>
          <w:rFonts w:asciiTheme="minorEastAsia" w:hAnsiTheme="minorEastAsia" w:hint="eastAsia"/>
          <w:sz w:val="24"/>
          <w:szCs w:val="24"/>
        </w:rPr>
        <w:t>人性</w:t>
      </w:r>
      <w:r w:rsidRPr="008319DB">
        <w:rPr>
          <w:rFonts w:asciiTheme="minorEastAsia" w:hAnsiTheme="minorEastAsia"/>
          <w:sz w:val="24"/>
          <w:szCs w:val="24"/>
        </w:rPr>
        <w:t>的弱点，如贪婪、恐惧、侥幸心理，也可以克服认知偏差</w:t>
      </w:r>
      <w:r w:rsidRPr="008319DB">
        <w:rPr>
          <w:rFonts w:asciiTheme="minorEastAsia" w:hAnsiTheme="minorEastAsia" w:hint="eastAsia"/>
          <w:sz w:val="24"/>
          <w:szCs w:val="24"/>
        </w:rPr>
        <w:t>，</w:t>
      </w:r>
      <w:r w:rsidRPr="008319DB">
        <w:rPr>
          <w:rFonts w:asciiTheme="minorEastAsia" w:hAnsiTheme="minorEastAsia"/>
          <w:sz w:val="24"/>
          <w:szCs w:val="24"/>
        </w:rPr>
        <w:t>同时</w:t>
      </w:r>
      <w:r w:rsidRPr="008319DB">
        <w:rPr>
          <w:rFonts w:asciiTheme="minorEastAsia" w:hAnsiTheme="minorEastAsia" w:hint="eastAsia"/>
          <w:sz w:val="24"/>
          <w:szCs w:val="24"/>
        </w:rPr>
        <w:t>有助于</w:t>
      </w:r>
      <w:r w:rsidRPr="008319DB">
        <w:rPr>
          <w:rFonts w:asciiTheme="minorEastAsia" w:hAnsiTheme="minorEastAsia"/>
          <w:sz w:val="24"/>
          <w:szCs w:val="24"/>
        </w:rPr>
        <w:t>事后</w:t>
      </w:r>
      <w:r w:rsidR="00616E8D" w:rsidRPr="008319DB">
        <w:rPr>
          <w:rFonts w:asciiTheme="minorEastAsia" w:hAnsiTheme="minorEastAsia" w:hint="eastAsia"/>
          <w:sz w:val="24"/>
          <w:szCs w:val="24"/>
        </w:rPr>
        <w:t>对</w:t>
      </w:r>
      <w:r w:rsidR="00616E8D" w:rsidRPr="008319DB">
        <w:rPr>
          <w:rFonts w:asciiTheme="minorEastAsia" w:hAnsiTheme="minorEastAsia"/>
          <w:sz w:val="24"/>
          <w:szCs w:val="24"/>
        </w:rPr>
        <w:t>于投资</w:t>
      </w:r>
      <w:r w:rsidR="00616E8D" w:rsidRPr="008319DB">
        <w:rPr>
          <w:rFonts w:asciiTheme="minorEastAsia" w:hAnsiTheme="minorEastAsia" w:hint="eastAsia"/>
          <w:sz w:val="24"/>
          <w:szCs w:val="24"/>
        </w:rPr>
        <w:t>结果</w:t>
      </w:r>
      <w:r w:rsidR="00616E8D" w:rsidRPr="008319DB">
        <w:rPr>
          <w:rFonts w:asciiTheme="minorEastAsia" w:hAnsiTheme="minorEastAsia"/>
          <w:sz w:val="24"/>
          <w:szCs w:val="24"/>
        </w:rPr>
        <w:t>进行</w:t>
      </w:r>
      <w:r w:rsidRPr="008319DB">
        <w:rPr>
          <w:rFonts w:asciiTheme="minorEastAsia" w:hAnsiTheme="minorEastAsia"/>
          <w:sz w:val="24"/>
          <w:szCs w:val="24"/>
        </w:rPr>
        <w:t>跟踪</w:t>
      </w:r>
      <w:r w:rsidRPr="008319DB">
        <w:rPr>
          <w:rFonts w:asciiTheme="minorEastAsia" w:hAnsiTheme="minorEastAsia" w:hint="eastAsia"/>
          <w:sz w:val="24"/>
          <w:szCs w:val="24"/>
        </w:rPr>
        <w:t>，</w:t>
      </w:r>
      <w:r w:rsidRPr="008319DB">
        <w:rPr>
          <w:rFonts w:asciiTheme="minorEastAsia" w:hAnsiTheme="minorEastAsia"/>
          <w:sz w:val="24"/>
          <w:szCs w:val="24"/>
        </w:rPr>
        <w:t>以便于</w:t>
      </w:r>
      <w:r w:rsidR="00F90F53" w:rsidRPr="008319DB">
        <w:rPr>
          <w:rFonts w:asciiTheme="minorEastAsia" w:hAnsiTheme="minorEastAsia"/>
          <w:sz w:val="24"/>
          <w:szCs w:val="24"/>
        </w:rPr>
        <w:t>对</w:t>
      </w:r>
      <w:r w:rsidRPr="008319DB">
        <w:rPr>
          <w:rFonts w:asciiTheme="minorEastAsia" w:hAnsiTheme="minorEastAsia"/>
          <w:sz w:val="24"/>
          <w:szCs w:val="24"/>
        </w:rPr>
        <w:t>模型进行改进。</w:t>
      </w:r>
    </w:p>
    <w:p w:rsidR="00254B94" w:rsidRPr="008319DB" w:rsidRDefault="00254B94" w:rsidP="004F0E2D">
      <w:pPr>
        <w:spacing w:line="360" w:lineRule="auto"/>
        <w:ind w:firstLineChars="200" w:firstLine="480"/>
        <w:rPr>
          <w:rFonts w:asciiTheme="minorEastAsia" w:hAnsiTheme="minorEastAsia" w:hint="eastAsia"/>
          <w:sz w:val="24"/>
          <w:szCs w:val="24"/>
        </w:rPr>
      </w:pPr>
      <w:r w:rsidRPr="008319DB">
        <w:rPr>
          <w:rFonts w:asciiTheme="minorEastAsia" w:hAnsiTheme="minorEastAsia" w:hint="eastAsia"/>
          <w:sz w:val="24"/>
          <w:szCs w:val="24"/>
        </w:rPr>
        <w:t>随着股指期货、融资融券等做空机制的相继推出，使国内证券市场创新发展基于</w:t>
      </w:r>
      <w:r w:rsidRPr="008319DB">
        <w:rPr>
          <w:rFonts w:asciiTheme="minorEastAsia" w:hAnsiTheme="minorEastAsia"/>
          <w:sz w:val="24"/>
          <w:szCs w:val="24"/>
        </w:rPr>
        <w:t>量化投资的</w:t>
      </w:r>
      <w:r w:rsidRPr="008319DB">
        <w:rPr>
          <w:rFonts w:asciiTheme="minorEastAsia" w:hAnsiTheme="minorEastAsia" w:hint="eastAsia"/>
          <w:sz w:val="24"/>
          <w:szCs w:val="24"/>
        </w:rPr>
        <w:t>对冲交易业务成为可能。</w:t>
      </w:r>
      <w:r w:rsidR="00EA6343" w:rsidRPr="008319DB">
        <w:rPr>
          <w:rFonts w:asciiTheme="minorEastAsia" w:hAnsiTheme="minorEastAsia" w:hint="eastAsia"/>
          <w:sz w:val="24"/>
          <w:szCs w:val="24"/>
        </w:rPr>
        <w:t>2011年被市</w:t>
      </w:r>
      <w:r w:rsidRPr="008319DB">
        <w:rPr>
          <w:rFonts w:asciiTheme="minorEastAsia" w:hAnsiTheme="minorEastAsia" w:hint="eastAsia"/>
          <w:sz w:val="24"/>
          <w:szCs w:val="24"/>
        </w:rPr>
        <w:t>场誉为国内“对冲时代元年”，无论是券商资管、基金专户还是私募基金都相继推出了一些以股指期货作为对冲工具来追求绝对收益的产品。</w:t>
      </w:r>
    </w:p>
    <w:p w:rsidR="00254B94" w:rsidRPr="008319DB" w:rsidRDefault="00D67808" w:rsidP="004F0E2D">
      <w:pPr>
        <w:spacing w:line="360" w:lineRule="auto"/>
        <w:ind w:firstLineChars="200" w:firstLine="480"/>
        <w:rPr>
          <w:rFonts w:asciiTheme="minorEastAsia" w:hAnsiTheme="minorEastAsia" w:hint="eastAsia"/>
          <w:sz w:val="24"/>
          <w:szCs w:val="24"/>
        </w:rPr>
      </w:pPr>
      <w:r w:rsidRPr="008319DB">
        <w:rPr>
          <w:rFonts w:asciiTheme="minorEastAsia" w:hAnsiTheme="minorEastAsia" w:hint="eastAsia"/>
          <w:sz w:val="24"/>
          <w:szCs w:val="24"/>
        </w:rPr>
        <w:t>从目前</w:t>
      </w:r>
      <w:r w:rsidR="00F90F53" w:rsidRPr="008319DB">
        <w:rPr>
          <w:rFonts w:asciiTheme="minorEastAsia" w:hAnsiTheme="minorEastAsia" w:hint="eastAsia"/>
          <w:sz w:val="24"/>
          <w:szCs w:val="24"/>
        </w:rPr>
        <w:t>的</w:t>
      </w:r>
      <w:r w:rsidRPr="008319DB">
        <w:rPr>
          <w:rFonts w:asciiTheme="minorEastAsia" w:hAnsiTheme="minorEastAsia" w:hint="eastAsia"/>
          <w:sz w:val="24"/>
          <w:szCs w:val="24"/>
        </w:rPr>
        <w:t>市场环境看，A股市场有效性比成熟市场低，非理性程度高，</w:t>
      </w:r>
      <w:r w:rsidR="001136BD" w:rsidRPr="008319DB">
        <w:rPr>
          <w:rFonts w:asciiTheme="minorEastAsia" w:hAnsiTheme="minorEastAsia" w:hint="eastAsia"/>
          <w:sz w:val="24"/>
          <w:szCs w:val="24"/>
        </w:rPr>
        <w:t>量化投资</w:t>
      </w:r>
      <w:r w:rsidRPr="008319DB">
        <w:rPr>
          <w:rFonts w:asciiTheme="minorEastAsia" w:hAnsiTheme="minorEastAsia" w:hint="eastAsia"/>
          <w:sz w:val="24"/>
          <w:szCs w:val="24"/>
        </w:rPr>
        <w:t>更有用武之地。未来</w:t>
      </w:r>
      <w:r w:rsidR="001136BD" w:rsidRPr="008319DB">
        <w:rPr>
          <w:rFonts w:asciiTheme="minorEastAsia" w:hAnsiTheme="minorEastAsia" w:hint="eastAsia"/>
          <w:sz w:val="24"/>
          <w:szCs w:val="24"/>
        </w:rPr>
        <w:t>量化投资</w:t>
      </w:r>
      <w:r w:rsidRPr="008319DB">
        <w:rPr>
          <w:rFonts w:asciiTheme="minorEastAsia" w:hAnsiTheme="minorEastAsia" w:hint="eastAsia"/>
          <w:sz w:val="24"/>
          <w:szCs w:val="24"/>
        </w:rPr>
        <w:t>也会与在成熟市场一样，成为中国资产管理市场的主流</w:t>
      </w:r>
      <w:r w:rsidR="001136BD" w:rsidRPr="008319DB">
        <w:rPr>
          <w:rFonts w:asciiTheme="minorEastAsia" w:hAnsiTheme="minorEastAsia" w:hint="eastAsia"/>
          <w:sz w:val="24"/>
          <w:szCs w:val="24"/>
        </w:rPr>
        <w:t>方法</w:t>
      </w:r>
      <w:r w:rsidRPr="008319DB">
        <w:rPr>
          <w:rFonts w:asciiTheme="minorEastAsia" w:hAnsiTheme="minorEastAsia" w:hint="eastAsia"/>
          <w:sz w:val="24"/>
          <w:szCs w:val="24"/>
        </w:rPr>
        <w:t>之一，为机构投资者及高净值人群提供一个有效的资产配置工具。同时</w:t>
      </w:r>
      <w:r w:rsidR="001136BD" w:rsidRPr="008319DB">
        <w:rPr>
          <w:rFonts w:asciiTheme="minorEastAsia" w:hAnsiTheme="minorEastAsia" w:hint="eastAsia"/>
          <w:sz w:val="24"/>
          <w:szCs w:val="24"/>
        </w:rPr>
        <w:t>量化投资</w:t>
      </w:r>
      <w:r w:rsidRPr="008319DB">
        <w:rPr>
          <w:rFonts w:asciiTheme="minorEastAsia" w:hAnsiTheme="minorEastAsia" w:hint="eastAsia"/>
          <w:sz w:val="24"/>
          <w:szCs w:val="24"/>
        </w:rPr>
        <w:t>的发展，也会提高市场的有效性。</w:t>
      </w:r>
      <w:r w:rsidR="00254B94" w:rsidRPr="008319DB">
        <w:rPr>
          <w:rFonts w:asciiTheme="minorEastAsia" w:hAnsiTheme="minorEastAsia" w:hint="eastAsia"/>
          <w:sz w:val="24"/>
          <w:szCs w:val="24"/>
        </w:rPr>
        <w:t>随着国内资本市场的逐步发展和逐步创新，量化投资增长潜力巨大</w:t>
      </w:r>
      <w:r w:rsidR="00EA6343" w:rsidRPr="008319DB">
        <w:rPr>
          <w:rFonts w:asciiTheme="minorEastAsia" w:hAnsiTheme="minorEastAsia" w:hint="eastAsia"/>
          <w:sz w:val="24"/>
          <w:szCs w:val="24"/>
        </w:rPr>
        <w:t>。</w:t>
      </w:r>
    </w:p>
    <w:p w:rsidR="001136BD" w:rsidRPr="001136BD" w:rsidRDefault="001136BD" w:rsidP="00831820">
      <w:pPr>
        <w:rPr>
          <w:rFonts w:hint="eastAsia"/>
        </w:rPr>
      </w:pPr>
    </w:p>
    <w:p w:rsidR="00636456" w:rsidRPr="00F435E2" w:rsidRDefault="00831820" w:rsidP="00F435E2">
      <w:pPr>
        <w:pStyle w:val="a5"/>
        <w:numPr>
          <w:ilvl w:val="0"/>
          <w:numId w:val="1"/>
        </w:numPr>
        <w:ind w:firstLineChars="0"/>
        <w:rPr>
          <w:rFonts w:hint="eastAsia"/>
          <w:sz w:val="32"/>
          <w:szCs w:val="32"/>
        </w:rPr>
      </w:pPr>
      <w:r w:rsidRPr="004F0E2D">
        <w:rPr>
          <w:rFonts w:hint="eastAsia"/>
          <w:sz w:val="32"/>
          <w:szCs w:val="32"/>
        </w:rPr>
        <w:t>量化</w:t>
      </w:r>
      <w:r w:rsidR="00616E8D" w:rsidRPr="004F0E2D">
        <w:rPr>
          <w:rFonts w:hint="eastAsia"/>
          <w:sz w:val="32"/>
          <w:szCs w:val="32"/>
        </w:rPr>
        <w:t>投资</w:t>
      </w:r>
      <w:r w:rsidR="005609E4" w:rsidRPr="004F0E2D">
        <w:rPr>
          <w:sz w:val="32"/>
          <w:szCs w:val="32"/>
        </w:rPr>
        <w:t>策略</w:t>
      </w:r>
      <w:r w:rsidRPr="004F0E2D">
        <w:rPr>
          <w:rFonts w:hint="eastAsia"/>
          <w:sz w:val="32"/>
          <w:szCs w:val="32"/>
        </w:rPr>
        <w:t>举例</w:t>
      </w:r>
    </w:p>
    <w:p w:rsidR="008319DB" w:rsidRPr="00F435E2" w:rsidRDefault="00F252E4" w:rsidP="00F435E2">
      <w:pPr>
        <w:pStyle w:val="a5"/>
        <w:ind w:left="420" w:firstLineChars="0" w:firstLine="0"/>
        <w:rPr>
          <w:rFonts w:asciiTheme="minorEastAsia" w:hAnsiTheme="minorEastAsia" w:hint="eastAsia"/>
          <w:sz w:val="24"/>
          <w:szCs w:val="24"/>
        </w:rPr>
      </w:pPr>
      <w:r w:rsidRPr="008319DB">
        <w:rPr>
          <w:rFonts w:asciiTheme="minorEastAsia" w:hAnsiTheme="minorEastAsia" w:hint="eastAsia"/>
          <w:sz w:val="24"/>
          <w:szCs w:val="24"/>
        </w:rPr>
        <w:t>这里</w:t>
      </w:r>
      <w:r w:rsidRPr="008319DB">
        <w:rPr>
          <w:rFonts w:asciiTheme="minorEastAsia" w:hAnsiTheme="minorEastAsia"/>
          <w:sz w:val="24"/>
          <w:szCs w:val="24"/>
        </w:rPr>
        <w:t>简单</w:t>
      </w:r>
      <w:r w:rsidRPr="008319DB">
        <w:rPr>
          <w:rFonts w:asciiTheme="minorEastAsia" w:hAnsiTheme="minorEastAsia" w:hint="eastAsia"/>
          <w:sz w:val="24"/>
          <w:szCs w:val="24"/>
        </w:rPr>
        <w:t>列举</w:t>
      </w:r>
      <w:r w:rsidRPr="008319DB">
        <w:rPr>
          <w:rFonts w:asciiTheme="minorEastAsia" w:hAnsiTheme="minorEastAsia"/>
          <w:sz w:val="24"/>
          <w:szCs w:val="24"/>
        </w:rPr>
        <w:t>一些</w:t>
      </w:r>
      <w:r w:rsidRPr="008319DB">
        <w:rPr>
          <w:rFonts w:asciiTheme="minorEastAsia" w:hAnsiTheme="minorEastAsia" w:hint="eastAsia"/>
          <w:sz w:val="24"/>
          <w:szCs w:val="24"/>
        </w:rPr>
        <w:t>量化</w:t>
      </w:r>
      <w:r w:rsidRPr="008319DB">
        <w:rPr>
          <w:rFonts w:asciiTheme="minorEastAsia" w:hAnsiTheme="minorEastAsia"/>
          <w:sz w:val="24"/>
          <w:szCs w:val="24"/>
        </w:rPr>
        <w:t>投资可能用到的</w:t>
      </w:r>
      <w:r w:rsidRPr="008319DB">
        <w:rPr>
          <w:rFonts w:asciiTheme="minorEastAsia" w:hAnsiTheme="minorEastAsia" w:hint="eastAsia"/>
          <w:sz w:val="24"/>
          <w:szCs w:val="24"/>
        </w:rPr>
        <w:t>策略</w:t>
      </w:r>
      <w:r w:rsidRPr="008319DB">
        <w:rPr>
          <w:rFonts w:asciiTheme="minorEastAsia" w:hAnsiTheme="minorEastAsia"/>
          <w:sz w:val="24"/>
          <w:szCs w:val="24"/>
        </w:rPr>
        <w:t>。</w:t>
      </w:r>
    </w:p>
    <w:p w:rsidR="00FE4471" w:rsidRPr="00FE4471" w:rsidRDefault="00FE4471" w:rsidP="00FE4471">
      <w:pPr>
        <w:rPr>
          <w:rFonts w:asciiTheme="minorEastAsia" w:hAnsiTheme="minorEastAsia" w:hint="eastAsia"/>
          <w:sz w:val="24"/>
          <w:szCs w:val="24"/>
        </w:rPr>
      </w:pPr>
      <w:r w:rsidRPr="00FE4471">
        <w:rPr>
          <w:rFonts w:asciiTheme="minorEastAsia" w:hAnsiTheme="minorEastAsia" w:hint="eastAsia"/>
          <w:sz w:val="24"/>
          <w:szCs w:val="24"/>
        </w:rPr>
        <w:t>1、</w:t>
      </w:r>
      <w:r w:rsidR="005609E4" w:rsidRPr="00FE4471">
        <w:rPr>
          <w:rFonts w:asciiTheme="minorEastAsia" w:hAnsiTheme="minorEastAsia"/>
          <w:sz w:val="24"/>
          <w:szCs w:val="24"/>
        </w:rPr>
        <w:t>期现套利</w:t>
      </w:r>
    </w:p>
    <w:p w:rsidR="00F252E4" w:rsidRPr="008319DB" w:rsidRDefault="00F252E4" w:rsidP="00F252E4">
      <w:pPr>
        <w:pStyle w:val="a5"/>
        <w:spacing w:line="360" w:lineRule="auto"/>
        <w:ind w:firstLine="480"/>
        <w:rPr>
          <w:rFonts w:asciiTheme="minorEastAsia" w:hAnsiTheme="minorEastAsia"/>
          <w:sz w:val="24"/>
          <w:szCs w:val="24"/>
        </w:rPr>
      </w:pPr>
      <w:r w:rsidRPr="008319DB">
        <w:rPr>
          <w:rFonts w:asciiTheme="minorEastAsia" w:hAnsiTheme="minorEastAsia" w:hint="eastAsia"/>
          <w:sz w:val="24"/>
          <w:szCs w:val="24"/>
        </w:rPr>
        <w:t>期现套利主要是利用股指期货合约与其对应的现货指数之间暂时的不合理价差，通过买入相对低估资产，卖出相对高估资产，并在未来某个时间同时平仓，</w:t>
      </w:r>
      <w:r w:rsidRPr="008319DB">
        <w:rPr>
          <w:rFonts w:asciiTheme="minorEastAsia" w:hAnsiTheme="minorEastAsia" w:hint="eastAsia"/>
          <w:sz w:val="24"/>
          <w:szCs w:val="24"/>
        </w:rPr>
        <w:lastRenderedPageBreak/>
        <w:t>以获得收益的投资业务。</w:t>
      </w:r>
    </w:p>
    <w:p w:rsidR="00F252E4" w:rsidRPr="008319DB" w:rsidRDefault="00F252E4" w:rsidP="00F252E4">
      <w:pPr>
        <w:pStyle w:val="a5"/>
        <w:spacing w:line="360" w:lineRule="auto"/>
        <w:ind w:firstLine="480"/>
        <w:rPr>
          <w:rFonts w:asciiTheme="minorEastAsia" w:hAnsiTheme="minorEastAsia"/>
          <w:sz w:val="24"/>
          <w:szCs w:val="24"/>
        </w:rPr>
      </w:pPr>
      <w:r w:rsidRPr="008319DB">
        <w:rPr>
          <w:rFonts w:asciiTheme="minorEastAsia" w:hAnsiTheme="minorEastAsia" w:hint="eastAsia"/>
          <w:sz w:val="24"/>
          <w:szCs w:val="24"/>
        </w:rPr>
        <w:t>具体方式为当期价高估时，买进现货，同时卖出期货，通常将这种操作称为正向期现套利交易；当期价低估时，卖出现货，同时买进期货，这种操作称为反向期现套利交易。由于股指期货是以现货指数为标的，根据交易所的结算规则期货合约价格到期一定会收敛于现货指数，所以该业务的投资目的是获取理论上的无风险收益。</w:t>
      </w:r>
    </w:p>
    <w:p w:rsidR="00F252E4" w:rsidRPr="008319DB" w:rsidRDefault="00C91CBA" w:rsidP="00F252E4">
      <w:pPr>
        <w:spacing w:line="360" w:lineRule="auto"/>
        <w:ind w:firstLineChars="200" w:firstLine="480"/>
        <w:rPr>
          <w:rFonts w:asciiTheme="minorEastAsia" w:hAnsiTheme="minorEastAsia"/>
          <w:sz w:val="24"/>
          <w:szCs w:val="24"/>
        </w:rPr>
      </w:pPr>
      <w:r w:rsidRPr="008319DB">
        <w:rPr>
          <w:rFonts w:asciiTheme="minorEastAsia" w:hAnsiTheme="minorEastAsia" w:hint="eastAsia"/>
          <w:sz w:val="24"/>
          <w:szCs w:val="24"/>
        </w:rPr>
        <w:t>我们首先</w:t>
      </w:r>
      <w:r w:rsidRPr="008319DB">
        <w:rPr>
          <w:rFonts w:asciiTheme="minorEastAsia" w:hAnsiTheme="minorEastAsia"/>
          <w:sz w:val="24"/>
          <w:szCs w:val="24"/>
        </w:rPr>
        <w:t>确立</w:t>
      </w:r>
      <w:r w:rsidR="00F252E4" w:rsidRPr="008319DB">
        <w:rPr>
          <w:rFonts w:asciiTheme="minorEastAsia" w:hAnsiTheme="minorEastAsia" w:hint="eastAsia"/>
          <w:sz w:val="24"/>
          <w:szCs w:val="24"/>
        </w:rPr>
        <w:t>“无期现套利交易区间”，它可以归纳为，</w:t>
      </w:r>
    </w:p>
    <w:p w:rsidR="00F252E4" w:rsidRPr="008319DB" w:rsidRDefault="00F252E4" w:rsidP="0029095F">
      <w:pPr>
        <w:spacing w:line="360" w:lineRule="auto"/>
        <w:ind w:firstLineChars="500" w:firstLine="1200"/>
        <w:rPr>
          <w:rFonts w:asciiTheme="minorEastAsia" w:hAnsiTheme="minorEastAsia"/>
          <w:sz w:val="24"/>
          <w:szCs w:val="24"/>
        </w:rPr>
      </w:pPr>
      <w:r w:rsidRPr="008319DB">
        <w:rPr>
          <w:rFonts w:asciiTheme="minorEastAsia" w:hAnsiTheme="minorEastAsia" w:hint="eastAsia"/>
          <w:sz w:val="24"/>
          <w:szCs w:val="24"/>
        </w:rPr>
        <w:t>无期现套利交易区间上限= 现货指数价格+固定成本+可变成本</w:t>
      </w:r>
    </w:p>
    <w:p w:rsidR="00F252E4" w:rsidRPr="008319DB" w:rsidRDefault="00F252E4" w:rsidP="00F252E4">
      <w:pPr>
        <w:spacing w:line="360" w:lineRule="auto"/>
        <w:ind w:firstLineChars="500" w:firstLine="1200"/>
        <w:rPr>
          <w:rFonts w:asciiTheme="minorEastAsia" w:hAnsiTheme="minorEastAsia"/>
          <w:sz w:val="24"/>
          <w:szCs w:val="24"/>
        </w:rPr>
      </w:pPr>
      <w:r w:rsidRPr="008319DB">
        <w:rPr>
          <w:rFonts w:asciiTheme="minorEastAsia" w:hAnsiTheme="minorEastAsia" w:hint="eastAsia"/>
          <w:sz w:val="24"/>
          <w:szCs w:val="24"/>
        </w:rPr>
        <w:t>无期现套利交易区间下限= 现货指数价格-固定成本-可变成本</w:t>
      </w:r>
    </w:p>
    <w:p w:rsidR="00F252E4" w:rsidRPr="008319DB" w:rsidRDefault="0029095F" w:rsidP="0029095F">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其中，</w:t>
      </w:r>
      <w:r w:rsidR="00F252E4" w:rsidRPr="008319DB">
        <w:rPr>
          <w:rFonts w:asciiTheme="minorEastAsia" w:hAnsiTheme="minorEastAsia" w:hint="eastAsia"/>
          <w:sz w:val="24"/>
          <w:szCs w:val="24"/>
        </w:rPr>
        <w:t>固定成本包括资金成本、交易费用（现货、期货）、现货组合跟踪误差</w:t>
      </w:r>
      <w:r>
        <w:rPr>
          <w:rFonts w:asciiTheme="minorEastAsia" w:hAnsiTheme="minorEastAsia" w:hint="eastAsia"/>
          <w:sz w:val="24"/>
          <w:szCs w:val="24"/>
        </w:rPr>
        <w:t>，</w:t>
      </w:r>
      <w:r w:rsidR="00F252E4" w:rsidRPr="008319DB">
        <w:rPr>
          <w:rFonts w:asciiTheme="minorEastAsia" w:hAnsiTheme="minorEastAsia" w:hint="eastAsia"/>
          <w:sz w:val="24"/>
          <w:szCs w:val="24"/>
        </w:rPr>
        <w:t>可变成本包括现货冲击成本、期货冲击成本。</w:t>
      </w:r>
    </w:p>
    <w:p w:rsidR="00F252E4" w:rsidRPr="008319DB" w:rsidRDefault="00F252E4" w:rsidP="00F252E4">
      <w:pPr>
        <w:spacing w:line="360" w:lineRule="auto"/>
        <w:ind w:firstLineChars="200" w:firstLine="480"/>
        <w:rPr>
          <w:sz w:val="24"/>
          <w:szCs w:val="24"/>
        </w:rPr>
      </w:pPr>
      <w:r w:rsidRPr="008319DB">
        <w:rPr>
          <w:rFonts w:asciiTheme="minorEastAsia" w:hAnsiTheme="minorEastAsia" w:hint="eastAsia"/>
          <w:sz w:val="24"/>
          <w:szCs w:val="24"/>
        </w:rPr>
        <w:t>如图</w:t>
      </w:r>
      <w:r w:rsidRPr="008319DB">
        <w:rPr>
          <w:rFonts w:asciiTheme="minorEastAsia" w:hAnsiTheme="minorEastAsia"/>
          <w:sz w:val="24"/>
          <w:szCs w:val="24"/>
        </w:rPr>
        <w:t>1</w:t>
      </w:r>
      <w:r w:rsidRPr="008319DB">
        <w:rPr>
          <w:rFonts w:asciiTheme="minorEastAsia" w:hAnsiTheme="minorEastAsia" w:hint="eastAsia"/>
          <w:sz w:val="24"/>
          <w:szCs w:val="24"/>
        </w:rPr>
        <w:t>所示：当股指期货交易价格高于区间上限时，出现正向期现套利交易机会；反之当股指期货交易价格低于区间下限时，出现反向期现套利交易机会</w:t>
      </w:r>
      <w:r w:rsidR="0010673A">
        <w:rPr>
          <w:rFonts w:hint="eastAsia"/>
          <w:sz w:val="24"/>
          <w:szCs w:val="24"/>
        </w:rPr>
        <w:t>。</w:t>
      </w:r>
    </w:p>
    <w:p w:rsidR="00F252E4" w:rsidRDefault="00F252E4" w:rsidP="00F252E4">
      <w:pPr>
        <w:spacing w:line="360" w:lineRule="auto"/>
        <w:ind w:firstLineChars="200" w:firstLine="480"/>
        <w:rPr>
          <w:sz w:val="24"/>
          <w:szCs w:val="24"/>
        </w:rPr>
      </w:pPr>
    </w:p>
    <w:p w:rsidR="00F252E4" w:rsidRPr="00780C37" w:rsidRDefault="00F252E4" w:rsidP="00F252E4">
      <w:pPr>
        <w:spacing w:line="360" w:lineRule="auto"/>
        <w:ind w:firstLineChars="200" w:firstLine="482"/>
        <w:rPr>
          <w:b/>
          <w:sz w:val="24"/>
          <w:szCs w:val="24"/>
        </w:rPr>
      </w:pPr>
      <w:r w:rsidRPr="00780C37">
        <w:rPr>
          <w:rFonts w:hint="eastAsia"/>
          <w:b/>
          <w:sz w:val="24"/>
          <w:szCs w:val="24"/>
        </w:rPr>
        <w:t>图</w:t>
      </w:r>
      <w:r>
        <w:rPr>
          <w:b/>
          <w:sz w:val="24"/>
          <w:szCs w:val="24"/>
        </w:rPr>
        <w:t>1</w:t>
      </w:r>
      <w:r w:rsidRPr="00780C37">
        <w:rPr>
          <w:rFonts w:hint="eastAsia"/>
          <w:b/>
          <w:sz w:val="24"/>
          <w:szCs w:val="24"/>
        </w:rPr>
        <w:t>：期现</w:t>
      </w:r>
      <w:r>
        <w:rPr>
          <w:rFonts w:hint="eastAsia"/>
          <w:b/>
          <w:sz w:val="24"/>
          <w:szCs w:val="24"/>
        </w:rPr>
        <w:t>套利</w:t>
      </w:r>
      <w:r w:rsidRPr="00780C37">
        <w:rPr>
          <w:rFonts w:hint="eastAsia"/>
          <w:b/>
          <w:sz w:val="24"/>
          <w:szCs w:val="24"/>
        </w:rPr>
        <w:t>交易机会图</w:t>
      </w:r>
    </w:p>
    <w:p w:rsidR="00F252E4" w:rsidRPr="00941E63" w:rsidRDefault="00F252E4" w:rsidP="00F252E4">
      <w:pPr>
        <w:spacing w:line="360" w:lineRule="auto"/>
        <w:ind w:firstLineChars="200" w:firstLine="560"/>
        <w:rPr>
          <w:sz w:val="24"/>
          <w:szCs w:val="24"/>
        </w:rPr>
      </w:pPr>
      <w:r w:rsidRPr="002577CD">
        <w:rPr>
          <w:rFonts w:ascii="楷体_GB2312" w:eastAsia="楷体_GB2312"/>
          <w:noProof/>
          <w:sz w:val="28"/>
          <w:szCs w:val="28"/>
        </w:rPr>
        <mc:AlternateContent>
          <mc:Choice Requires="wpc">
            <w:drawing>
              <wp:inline distT="0" distB="0" distL="0" distR="0">
                <wp:extent cx="5029200" cy="2994660"/>
                <wp:effectExtent l="0" t="0" r="0" b="0"/>
                <wp:docPr id="24" name="画布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Line 4"/>
                        <wps:cNvCnPr>
                          <a:cxnSpLocks noChangeShapeType="1"/>
                        </wps:cNvCnPr>
                        <wps:spPr bwMode="auto">
                          <a:xfrm flipH="1">
                            <a:off x="321310" y="396240"/>
                            <a:ext cx="21590" cy="218757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 name="Line 5"/>
                        <wps:cNvCnPr>
                          <a:cxnSpLocks noChangeShapeType="1"/>
                        </wps:cNvCnPr>
                        <wps:spPr bwMode="auto">
                          <a:xfrm flipV="1">
                            <a:off x="321310" y="2575560"/>
                            <a:ext cx="4136390" cy="82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 name="Text Box 6"/>
                        <wps:cNvSpPr txBox="1">
                          <a:spLocks noChangeArrowheads="1"/>
                        </wps:cNvSpPr>
                        <wps:spPr bwMode="auto">
                          <a:xfrm>
                            <a:off x="2114550" y="2598420"/>
                            <a:ext cx="506730" cy="196850"/>
                          </a:xfrm>
                          <a:prstGeom prst="rect">
                            <a:avLst/>
                          </a:prstGeom>
                          <a:noFill/>
                          <a:ln>
                            <a:noFill/>
                          </a:ln>
                          <a:extLst>
                            <a:ext uri="{909E8E84-426E-40DD-AFC4-6F175D3DCCD1}">
                              <a14:hiddenFill xmlns:a14="http://schemas.microsoft.com/office/drawing/2010/main">
                                <a:gradFill rotWithShape="1">
                                  <a:gsLst>
                                    <a:gs pos="0">
                                      <a:srgbClr val="FFFFFF">
                                        <a:gamma/>
                                        <a:shade val="46275"/>
                                        <a:invGamma/>
                                      </a:srgbClr>
                                    </a:gs>
                                    <a:gs pos="50000">
                                      <a:srgbClr val="FFFFFF"/>
                                    </a:gs>
                                    <a:gs pos="100000">
                                      <a:srgbClr val="FFFFFF">
                                        <a:gamma/>
                                        <a:shade val="46275"/>
                                        <a:invGamma/>
                                      </a:srgbClr>
                                    </a:gs>
                                  </a:gsLst>
                                  <a:lin ang="5400000" scaled="1"/>
                                </a:gra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52E4" w:rsidRPr="00E85D1B" w:rsidRDefault="00F252E4" w:rsidP="00F252E4">
                              <w:pPr>
                                <w:autoSpaceDE w:val="0"/>
                                <w:autoSpaceDN w:val="0"/>
                                <w:adjustRightInd w:val="0"/>
                                <w:jc w:val="center"/>
                                <w:rPr>
                                  <w:rFonts w:ascii="Arial" w:hAnsi="Arial" w:cs="宋体"/>
                                  <w:color w:val="000000"/>
                                  <w:sz w:val="20"/>
                                  <w:szCs w:val="32"/>
                                  <w:lang w:val="zh-CN"/>
                                </w:rPr>
                              </w:pPr>
                              <w:r w:rsidRPr="00E85D1B">
                                <w:rPr>
                                  <w:rFonts w:ascii="Arial" w:hAnsi="Arial" w:cs="宋体" w:hint="eastAsia"/>
                                  <w:color w:val="000000"/>
                                  <w:sz w:val="20"/>
                                  <w:szCs w:val="32"/>
                                  <w:lang w:val="zh-CN"/>
                                </w:rPr>
                                <w:t>日期</w:t>
                              </w:r>
                            </w:p>
                          </w:txbxContent>
                        </wps:txbx>
                        <wps:bodyPr rot="0" vert="horz" wrap="square" lIns="42390" tIns="21196" rIns="42390" bIns="21196" upright="1">
                          <a:noAutofit/>
                        </wps:bodyPr>
                      </wps:wsp>
                      <wps:wsp>
                        <wps:cNvPr id="4" name="Text Box 7"/>
                        <wps:cNvSpPr txBox="1">
                          <a:spLocks noChangeArrowheads="1"/>
                        </wps:cNvSpPr>
                        <wps:spPr bwMode="auto">
                          <a:xfrm>
                            <a:off x="6985" y="1085850"/>
                            <a:ext cx="314325" cy="530860"/>
                          </a:xfrm>
                          <a:prstGeom prst="rect">
                            <a:avLst/>
                          </a:prstGeom>
                          <a:noFill/>
                          <a:ln>
                            <a:noFill/>
                          </a:ln>
                          <a:extLst>
                            <a:ext uri="{909E8E84-426E-40DD-AFC4-6F175D3DCCD1}">
                              <a14:hiddenFill xmlns:a14="http://schemas.microsoft.com/office/drawing/2010/main">
                                <a:gradFill rotWithShape="1">
                                  <a:gsLst>
                                    <a:gs pos="0">
                                      <a:srgbClr val="FFFFFF">
                                        <a:gamma/>
                                        <a:shade val="46275"/>
                                        <a:invGamma/>
                                      </a:srgbClr>
                                    </a:gs>
                                    <a:gs pos="50000">
                                      <a:srgbClr val="FFFFFF"/>
                                    </a:gs>
                                    <a:gs pos="100000">
                                      <a:srgbClr val="FFFFFF">
                                        <a:gamma/>
                                        <a:shade val="46275"/>
                                        <a:invGamma/>
                                      </a:srgbClr>
                                    </a:gs>
                                  </a:gsLst>
                                  <a:lin ang="5400000" scaled="1"/>
                                </a:gra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52E4" w:rsidRPr="00E85D1B" w:rsidRDefault="00F252E4" w:rsidP="00F252E4">
                              <w:pPr>
                                <w:autoSpaceDE w:val="0"/>
                                <w:autoSpaceDN w:val="0"/>
                                <w:adjustRightInd w:val="0"/>
                                <w:jc w:val="center"/>
                                <w:rPr>
                                  <w:rFonts w:ascii="Arial" w:hAnsi="Arial" w:cs="宋体"/>
                                  <w:color w:val="000000"/>
                                  <w:sz w:val="20"/>
                                  <w:szCs w:val="32"/>
                                  <w:lang w:val="zh-CN"/>
                                </w:rPr>
                              </w:pPr>
                              <w:r w:rsidRPr="00E85D1B">
                                <w:rPr>
                                  <w:rFonts w:ascii="Arial" w:hAnsi="Arial" w:cs="宋体" w:hint="eastAsia"/>
                                  <w:color w:val="000000"/>
                                  <w:sz w:val="20"/>
                                  <w:szCs w:val="32"/>
                                  <w:lang w:val="zh-CN"/>
                                </w:rPr>
                                <w:t>价</w:t>
                              </w:r>
                              <w:r>
                                <w:rPr>
                                  <w:rFonts w:ascii="Arial" w:hAnsi="Arial" w:cs="宋体" w:hint="eastAsia"/>
                                  <w:color w:val="000000"/>
                                  <w:sz w:val="20"/>
                                  <w:szCs w:val="32"/>
                                  <w:lang w:val="zh-CN"/>
                                </w:rPr>
                                <w:t>格</w:t>
                              </w:r>
                            </w:p>
                          </w:txbxContent>
                        </wps:txbx>
                        <wps:bodyPr rot="0" vert="eaVert" wrap="square" lIns="42390" tIns="21196" rIns="42390" bIns="21196" upright="1">
                          <a:noAutofit/>
                        </wps:bodyPr>
                      </wps:wsp>
                      <wps:wsp>
                        <wps:cNvPr id="5" name="Line 8"/>
                        <wps:cNvCnPr>
                          <a:cxnSpLocks noChangeShapeType="1"/>
                        </wps:cNvCnPr>
                        <wps:spPr bwMode="auto">
                          <a:xfrm>
                            <a:off x="3763010" y="99060"/>
                            <a:ext cx="30607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 name="Line 9"/>
                        <wps:cNvCnPr>
                          <a:cxnSpLocks noChangeShapeType="1"/>
                        </wps:cNvCnPr>
                        <wps:spPr bwMode="auto">
                          <a:xfrm>
                            <a:off x="3772535" y="280035"/>
                            <a:ext cx="306070" cy="63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10"/>
                        <wps:cNvSpPr txBox="1">
                          <a:spLocks noChangeArrowheads="1"/>
                        </wps:cNvSpPr>
                        <wps:spPr bwMode="auto">
                          <a:xfrm>
                            <a:off x="3987165" y="175260"/>
                            <a:ext cx="973455" cy="220980"/>
                          </a:xfrm>
                          <a:prstGeom prst="rect">
                            <a:avLst/>
                          </a:prstGeom>
                          <a:noFill/>
                          <a:ln>
                            <a:noFill/>
                          </a:ln>
                          <a:extLst>
                            <a:ext uri="{909E8E84-426E-40DD-AFC4-6F175D3DCCD1}">
                              <a14:hiddenFill xmlns:a14="http://schemas.microsoft.com/office/drawing/2010/main">
                                <a:gradFill rotWithShape="1">
                                  <a:gsLst>
                                    <a:gs pos="0">
                                      <a:srgbClr val="FFFFFF">
                                        <a:gamma/>
                                        <a:shade val="46275"/>
                                        <a:invGamma/>
                                      </a:srgbClr>
                                    </a:gs>
                                    <a:gs pos="50000">
                                      <a:srgbClr val="FFFFFF"/>
                                    </a:gs>
                                    <a:gs pos="100000">
                                      <a:srgbClr val="FFFFFF">
                                        <a:gamma/>
                                        <a:shade val="46275"/>
                                        <a:invGamma/>
                                      </a:srgbClr>
                                    </a:gs>
                                  </a:gsLst>
                                  <a:lin ang="5400000" scaled="1"/>
                                </a:gra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52E4" w:rsidRPr="00E85D1B" w:rsidRDefault="00F252E4" w:rsidP="00F252E4">
                              <w:pPr>
                                <w:autoSpaceDE w:val="0"/>
                                <w:autoSpaceDN w:val="0"/>
                                <w:adjustRightInd w:val="0"/>
                                <w:jc w:val="center"/>
                                <w:rPr>
                                  <w:rFonts w:ascii="Arial" w:hAnsi="Arial" w:cs="宋体"/>
                                  <w:color w:val="000000"/>
                                  <w:sz w:val="20"/>
                                  <w:szCs w:val="32"/>
                                  <w:lang w:val="zh-CN"/>
                                </w:rPr>
                              </w:pPr>
                              <w:r>
                                <w:rPr>
                                  <w:rFonts w:ascii="Arial" w:hAnsi="Arial" w:cs="宋体" w:hint="eastAsia"/>
                                  <w:color w:val="000000"/>
                                  <w:sz w:val="20"/>
                                  <w:szCs w:val="32"/>
                                  <w:lang w:val="zh-CN"/>
                                </w:rPr>
                                <w:t>现货指数</w:t>
                              </w:r>
                            </w:p>
                          </w:txbxContent>
                        </wps:txbx>
                        <wps:bodyPr rot="0" vert="horz" wrap="square" lIns="42390" tIns="21196" rIns="42390" bIns="21196" upright="1">
                          <a:noAutofit/>
                        </wps:bodyPr>
                      </wps:wsp>
                      <wps:wsp>
                        <wps:cNvPr id="8" name="Text Box 11"/>
                        <wps:cNvSpPr txBox="1">
                          <a:spLocks noChangeArrowheads="1"/>
                        </wps:cNvSpPr>
                        <wps:spPr bwMode="auto">
                          <a:xfrm>
                            <a:off x="3990975" y="0"/>
                            <a:ext cx="969645" cy="198120"/>
                          </a:xfrm>
                          <a:prstGeom prst="rect">
                            <a:avLst/>
                          </a:prstGeom>
                          <a:noFill/>
                          <a:ln>
                            <a:noFill/>
                          </a:ln>
                          <a:extLst>
                            <a:ext uri="{909E8E84-426E-40DD-AFC4-6F175D3DCCD1}">
                              <a14:hiddenFill xmlns:a14="http://schemas.microsoft.com/office/drawing/2010/main">
                                <a:gradFill rotWithShape="1">
                                  <a:gsLst>
                                    <a:gs pos="0">
                                      <a:srgbClr val="FFFFFF">
                                        <a:gamma/>
                                        <a:shade val="46275"/>
                                        <a:invGamma/>
                                      </a:srgbClr>
                                    </a:gs>
                                    <a:gs pos="50000">
                                      <a:srgbClr val="FFFFFF"/>
                                    </a:gs>
                                    <a:gs pos="100000">
                                      <a:srgbClr val="FFFFFF">
                                        <a:gamma/>
                                        <a:shade val="46275"/>
                                        <a:invGamma/>
                                      </a:srgbClr>
                                    </a:gs>
                                  </a:gsLst>
                                  <a:lin ang="5400000" scaled="1"/>
                                </a:gra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52E4" w:rsidRPr="00E85D1B" w:rsidRDefault="00F252E4" w:rsidP="00F252E4">
                              <w:pPr>
                                <w:autoSpaceDE w:val="0"/>
                                <w:autoSpaceDN w:val="0"/>
                                <w:adjustRightInd w:val="0"/>
                                <w:jc w:val="center"/>
                                <w:rPr>
                                  <w:rFonts w:ascii="Arial" w:hAnsi="Arial" w:cs="宋体"/>
                                  <w:color w:val="000000"/>
                                  <w:sz w:val="20"/>
                                  <w:szCs w:val="32"/>
                                  <w:lang w:val="zh-CN"/>
                                </w:rPr>
                              </w:pPr>
                              <w:r>
                                <w:rPr>
                                  <w:rFonts w:ascii="Arial" w:hAnsi="Arial" w:cs="宋体" w:hint="eastAsia"/>
                                  <w:color w:val="000000"/>
                                  <w:sz w:val="20"/>
                                  <w:szCs w:val="32"/>
                                  <w:lang w:val="zh-CN"/>
                                </w:rPr>
                                <w:t>期货价格</w:t>
                              </w:r>
                            </w:p>
                          </w:txbxContent>
                        </wps:txbx>
                        <wps:bodyPr rot="0" vert="horz" wrap="square" lIns="42390" tIns="21196" rIns="42390" bIns="21196" upright="1">
                          <a:noAutofit/>
                        </wps:bodyPr>
                      </wps:wsp>
                      <wps:wsp>
                        <wps:cNvPr id="9" name="Freeform 12"/>
                        <wps:cNvSpPr>
                          <a:spLocks/>
                        </wps:cNvSpPr>
                        <wps:spPr bwMode="auto">
                          <a:xfrm>
                            <a:off x="563880" y="1271905"/>
                            <a:ext cx="3429000" cy="313690"/>
                          </a:xfrm>
                          <a:custGeom>
                            <a:avLst/>
                            <a:gdLst>
                              <a:gd name="T0" fmla="*/ 0 w 5400"/>
                              <a:gd name="T1" fmla="*/ 494 h 494"/>
                              <a:gd name="T2" fmla="*/ 360 w 5400"/>
                              <a:gd name="T3" fmla="*/ 182 h 494"/>
                              <a:gd name="T4" fmla="*/ 1080 w 5400"/>
                              <a:gd name="T5" fmla="*/ 338 h 494"/>
                              <a:gd name="T6" fmla="*/ 2160 w 5400"/>
                              <a:gd name="T7" fmla="*/ 26 h 494"/>
                              <a:gd name="T8" fmla="*/ 3240 w 5400"/>
                              <a:gd name="T9" fmla="*/ 338 h 494"/>
                              <a:gd name="T10" fmla="*/ 4680 w 5400"/>
                              <a:gd name="T11" fmla="*/ 26 h 494"/>
                              <a:gd name="T12" fmla="*/ 5220 w 5400"/>
                              <a:gd name="T13" fmla="*/ 182 h 494"/>
                              <a:gd name="T14" fmla="*/ 5400 w 5400"/>
                              <a:gd name="T15" fmla="*/ 182 h 49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400" h="494">
                                <a:moveTo>
                                  <a:pt x="0" y="494"/>
                                </a:moveTo>
                                <a:cubicBezTo>
                                  <a:pt x="90" y="351"/>
                                  <a:pt x="180" y="208"/>
                                  <a:pt x="360" y="182"/>
                                </a:cubicBezTo>
                                <a:cubicBezTo>
                                  <a:pt x="540" y="156"/>
                                  <a:pt x="780" y="364"/>
                                  <a:pt x="1080" y="338"/>
                                </a:cubicBezTo>
                                <a:cubicBezTo>
                                  <a:pt x="1380" y="312"/>
                                  <a:pt x="1800" y="26"/>
                                  <a:pt x="2160" y="26"/>
                                </a:cubicBezTo>
                                <a:cubicBezTo>
                                  <a:pt x="2520" y="26"/>
                                  <a:pt x="2820" y="338"/>
                                  <a:pt x="3240" y="338"/>
                                </a:cubicBezTo>
                                <a:cubicBezTo>
                                  <a:pt x="3660" y="338"/>
                                  <a:pt x="4350" y="52"/>
                                  <a:pt x="4680" y="26"/>
                                </a:cubicBezTo>
                                <a:cubicBezTo>
                                  <a:pt x="5010" y="0"/>
                                  <a:pt x="5100" y="156"/>
                                  <a:pt x="5220" y="182"/>
                                </a:cubicBezTo>
                                <a:cubicBezTo>
                                  <a:pt x="5340" y="208"/>
                                  <a:pt x="5370" y="182"/>
                                  <a:pt x="5400" y="182"/>
                                </a:cubicBez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13"/>
                        <wps:cNvSpPr>
                          <a:spLocks/>
                        </wps:cNvSpPr>
                        <wps:spPr bwMode="auto">
                          <a:xfrm>
                            <a:off x="571500" y="857885"/>
                            <a:ext cx="3429000" cy="925195"/>
                          </a:xfrm>
                          <a:custGeom>
                            <a:avLst/>
                            <a:gdLst>
                              <a:gd name="T0" fmla="*/ 0 w 5400"/>
                              <a:gd name="T1" fmla="*/ 1118 h 1456"/>
                              <a:gd name="T2" fmla="*/ 180 w 5400"/>
                              <a:gd name="T3" fmla="*/ 962 h 1456"/>
                              <a:gd name="T4" fmla="*/ 180 w 5400"/>
                              <a:gd name="T5" fmla="*/ 806 h 1456"/>
                              <a:gd name="T6" fmla="*/ 540 w 5400"/>
                              <a:gd name="T7" fmla="*/ 806 h 1456"/>
                              <a:gd name="T8" fmla="*/ 900 w 5400"/>
                              <a:gd name="T9" fmla="*/ 1118 h 1456"/>
                              <a:gd name="T10" fmla="*/ 1440 w 5400"/>
                              <a:gd name="T11" fmla="*/ 806 h 1456"/>
                              <a:gd name="T12" fmla="*/ 1620 w 5400"/>
                              <a:gd name="T13" fmla="*/ 650 h 1456"/>
                              <a:gd name="T14" fmla="*/ 1980 w 5400"/>
                              <a:gd name="T15" fmla="*/ 26 h 1456"/>
                              <a:gd name="T16" fmla="*/ 2520 w 5400"/>
                              <a:gd name="T17" fmla="*/ 806 h 1456"/>
                              <a:gd name="T18" fmla="*/ 3060 w 5400"/>
                              <a:gd name="T19" fmla="*/ 806 h 1456"/>
                              <a:gd name="T20" fmla="*/ 3420 w 5400"/>
                              <a:gd name="T21" fmla="*/ 962 h 1456"/>
                              <a:gd name="T22" fmla="*/ 3780 w 5400"/>
                              <a:gd name="T23" fmla="*/ 962 h 1456"/>
                              <a:gd name="T24" fmla="*/ 4140 w 5400"/>
                              <a:gd name="T25" fmla="*/ 650 h 1456"/>
                              <a:gd name="T26" fmla="*/ 4500 w 5400"/>
                              <a:gd name="T27" fmla="*/ 650 h 1456"/>
                              <a:gd name="T28" fmla="*/ 4860 w 5400"/>
                              <a:gd name="T29" fmla="*/ 1430 h 1456"/>
                              <a:gd name="T30" fmla="*/ 5400 w 5400"/>
                              <a:gd name="T31" fmla="*/ 806 h 14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5400" h="1456">
                                <a:moveTo>
                                  <a:pt x="0" y="1118"/>
                                </a:moveTo>
                                <a:cubicBezTo>
                                  <a:pt x="75" y="1066"/>
                                  <a:pt x="150" y="1014"/>
                                  <a:pt x="180" y="962"/>
                                </a:cubicBezTo>
                                <a:cubicBezTo>
                                  <a:pt x="210" y="910"/>
                                  <a:pt x="120" y="832"/>
                                  <a:pt x="180" y="806"/>
                                </a:cubicBezTo>
                                <a:cubicBezTo>
                                  <a:pt x="240" y="780"/>
                                  <a:pt x="420" y="754"/>
                                  <a:pt x="540" y="806"/>
                                </a:cubicBezTo>
                                <a:cubicBezTo>
                                  <a:pt x="660" y="858"/>
                                  <a:pt x="750" y="1118"/>
                                  <a:pt x="900" y="1118"/>
                                </a:cubicBezTo>
                                <a:cubicBezTo>
                                  <a:pt x="1050" y="1118"/>
                                  <a:pt x="1320" y="884"/>
                                  <a:pt x="1440" y="806"/>
                                </a:cubicBezTo>
                                <a:cubicBezTo>
                                  <a:pt x="1560" y="728"/>
                                  <a:pt x="1530" y="780"/>
                                  <a:pt x="1620" y="650"/>
                                </a:cubicBezTo>
                                <a:cubicBezTo>
                                  <a:pt x="1710" y="520"/>
                                  <a:pt x="1830" y="0"/>
                                  <a:pt x="1980" y="26"/>
                                </a:cubicBezTo>
                                <a:cubicBezTo>
                                  <a:pt x="2130" y="52"/>
                                  <a:pt x="2340" y="676"/>
                                  <a:pt x="2520" y="806"/>
                                </a:cubicBezTo>
                                <a:cubicBezTo>
                                  <a:pt x="2700" y="936"/>
                                  <a:pt x="2910" y="780"/>
                                  <a:pt x="3060" y="806"/>
                                </a:cubicBezTo>
                                <a:cubicBezTo>
                                  <a:pt x="3210" y="832"/>
                                  <a:pt x="3300" y="936"/>
                                  <a:pt x="3420" y="962"/>
                                </a:cubicBezTo>
                                <a:cubicBezTo>
                                  <a:pt x="3540" y="988"/>
                                  <a:pt x="3660" y="1014"/>
                                  <a:pt x="3780" y="962"/>
                                </a:cubicBezTo>
                                <a:cubicBezTo>
                                  <a:pt x="3900" y="910"/>
                                  <a:pt x="4020" y="702"/>
                                  <a:pt x="4140" y="650"/>
                                </a:cubicBezTo>
                                <a:cubicBezTo>
                                  <a:pt x="4260" y="598"/>
                                  <a:pt x="4380" y="520"/>
                                  <a:pt x="4500" y="650"/>
                                </a:cubicBezTo>
                                <a:cubicBezTo>
                                  <a:pt x="4620" y="780"/>
                                  <a:pt x="4710" y="1404"/>
                                  <a:pt x="4860" y="1430"/>
                                </a:cubicBezTo>
                                <a:cubicBezTo>
                                  <a:pt x="5010" y="1456"/>
                                  <a:pt x="5310" y="910"/>
                                  <a:pt x="5400" y="806"/>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Line 14"/>
                        <wps:cNvCnPr>
                          <a:cxnSpLocks noChangeShapeType="1"/>
                        </wps:cNvCnPr>
                        <wps:spPr bwMode="auto">
                          <a:xfrm>
                            <a:off x="2057400" y="128778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Freeform 15"/>
                        <wps:cNvSpPr>
                          <a:spLocks/>
                        </wps:cNvSpPr>
                        <wps:spPr bwMode="auto">
                          <a:xfrm>
                            <a:off x="505460" y="1111250"/>
                            <a:ext cx="3429000" cy="313690"/>
                          </a:xfrm>
                          <a:custGeom>
                            <a:avLst/>
                            <a:gdLst>
                              <a:gd name="T0" fmla="*/ 0 w 5400"/>
                              <a:gd name="T1" fmla="*/ 494 h 494"/>
                              <a:gd name="T2" fmla="*/ 360 w 5400"/>
                              <a:gd name="T3" fmla="*/ 182 h 494"/>
                              <a:gd name="T4" fmla="*/ 1080 w 5400"/>
                              <a:gd name="T5" fmla="*/ 338 h 494"/>
                              <a:gd name="T6" fmla="*/ 2160 w 5400"/>
                              <a:gd name="T7" fmla="*/ 26 h 494"/>
                              <a:gd name="T8" fmla="*/ 3240 w 5400"/>
                              <a:gd name="T9" fmla="*/ 338 h 494"/>
                              <a:gd name="T10" fmla="*/ 4680 w 5400"/>
                              <a:gd name="T11" fmla="*/ 26 h 494"/>
                              <a:gd name="T12" fmla="*/ 5220 w 5400"/>
                              <a:gd name="T13" fmla="*/ 182 h 494"/>
                              <a:gd name="T14" fmla="*/ 5400 w 5400"/>
                              <a:gd name="T15" fmla="*/ 182 h 49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400" h="494">
                                <a:moveTo>
                                  <a:pt x="0" y="494"/>
                                </a:moveTo>
                                <a:cubicBezTo>
                                  <a:pt x="90" y="351"/>
                                  <a:pt x="180" y="208"/>
                                  <a:pt x="360" y="182"/>
                                </a:cubicBezTo>
                                <a:cubicBezTo>
                                  <a:pt x="540" y="156"/>
                                  <a:pt x="780" y="364"/>
                                  <a:pt x="1080" y="338"/>
                                </a:cubicBezTo>
                                <a:cubicBezTo>
                                  <a:pt x="1380" y="312"/>
                                  <a:pt x="1800" y="26"/>
                                  <a:pt x="2160" y="26"/>
                                </a:cubicBezTo>
                                <a:cubicBezTo>
                                  <a:pt x="2520" y="26"/>
                                  <a:pt x="2820" y="338"/>
                                  <a:pt x="3240" y="338"/>
                                </a:cubicBezTo>
                                <a:cubicBezTo>
                                  <a:pt x="3660" y="338"/>
                                  <a:pt x="4350" y="52"/>
                                  <a:pt x="4680" y="26"/>
                                </a:cubicBezTo>
                                <a:cubicBezTo>
                                  <a:pt x="5010" y="0"/>
                                  <a:pt x="5100" y="156"/>
                                  <a:pt x="5220" y="182"/>
                                </a:cubicBezTo>
                                <a:cubicBezTo>
                                  <a:pt x="5340" y="208"/>
                                  <a:pt x="5370" y="182"/>
                                  <a:pt x="5400" y="182"/>
                                </a:cubicBezTo>
                              </a:path>
                            </a:pathLst>
                          </a:custGeom>
                          <a:noFill/>
                          <a:ln w="381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16"/>
                        <wps:cNvSpPr>
                          <a:spLocks/>
                        </wps:cNvSpPr>
                        <wps:spPr bwMode="auto">
                          <a:xfrm>
                            <a:off x="638175" y="1408430"/>
                            <a:ext cx="3429000" cy="313690"/>
                          </a:xfrm>
                          <a:custGeom>
                            <a:avLst/>
                            <a:gdLst>
                              <a:gd name="T0" fmla="*/ 0 w 5400"/>
                              <a:gd name="T1" fmla="*/ 494 h 494"/>
                              <a:gd name="T2" fmla="*/ 360 w 5400"/>
                              <a:gd name="T3" fmla="*/ 182 h 494"/>
                              <a:gd name="T4" fmla="*/ 1080 w 5400"/>
                              <a:gd name="T5" fmla="*/ 338 h 494"/>
                              <a:gd name="T6" fmla="*/ 2160 w 5400"/>
                              <a:gd name="T7" fmla="*/ 26 h 494"/>
                              <a:gd name="T8" fmla="*/ 3240 w 5400"/>
                              <a:gd name="T9" fmla="*/ 338 h 494"/>
                              <a:gd name="T10" fmla="*/ 4680 w 5400"/>
                              <a:gd name="T11" fmla="*/ 26 h 494"/>
                              <a:gd name="T12" fmla="*/ 5220 w 5400"/>
                              <a:gd name="T13" fmla="*/ 182 h 494"/>
                              <a:gd name="T14" fmla="*/ 5400 w 5400"/>
                              <a:gd name="T15" fmla="*/ 182 h 49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400" h="494">
                                <a:moveTo>
                                  <a:pt x="0" y="494"/>
                                </a:moveTo>
                                <a:cubicBezTo>
                                  <a:pt x="90" y="351"/>
                                  <a:pt x="180" y="208"/>
                                  <a:pt x="360" y="182"/>
                                </a:cubicBezTo>
                                <a:cubicBezTo>
                                  <a:pt x="540" y="156"/>
                                  <a:pt x="780" y="364"/>
                                  <a:pt x="1080" y="338"/>
                                </a:cubicBezTo>
                                <a:cubicBezTo>
                                  <a:pt x="1380" y="312"/>
                                  <a:pt x="1800" y="26"/>
                                  <a:pt x="2160" y="26"/>
                                </a:cubicBezTo>
                                <a:cubicBezTo>
                                  <a:pt x="2520" y="26"/>
                                  <a:pt x="2820" y="338"/>
                                  <a:pt x="3240" y="338"/>
                                </a:cubicBezTo>
                                <a:cubicBezTo>
                                  <a:pt x="3660" y="338"/>
                                  <a:pt x="4350" y="52"/>
                                  <a:pt x="4680" y="26"/>
                                </a:cubicBezTo>
                                <a:cubicBezTo>
                                  <a:pt x="5010" y="0"/>
                                  <a:pt x="5100" y="156"/>
                                  <a:pt x="5220" y="182"/>
                                </a:cubicBezTo>
                                <a:cubicBezTo>
                                  <a:pt x="5340" y="208"/>
                                  <a:pt x="5370" y="182"/>
                                  <a:pt x="5400" y="182"/>
                                </a:cubicBezTo>
                              </a:path>
                            </a:pathLst>
                          </a:custGeom>
                          <a:noFill/>
                          <a:ln w="381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Line 17"/>
                        <wps:cNvCnPr>
                          <a:cxnSpLocks noChangeShapeType="1"/>
                        </wps:cNvCnPr>
                        <wps:spPr bwMode="auto">
                          <a:xfrm flipV="1">
                            <a:off x="838835" y="1606550"/>
                            <a:ext cx="635"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Text Box 18"/>
                        <wps:cNvSpPr txBox="1">
                          <a:spLocks noChangeArrowheads="1"/>
                        </wps:cNvSpPr>
                        <wps:spPr bwMode="auto">
                          <a:xfrm>
                            <a:off x="505460" y="1804670"/>
                            <a:ext cx="1551940" cy="198120"/>
                          </a:xfrm>
                          <a:prstGeom prst="rect">
                            <a:avLst/>
                          </a:prstGeom>
                          <a:noFill/>
                          <a:ln>
                            <a:noFill/>
                          </a:ln>
                          <a:extLst>
                            <a:ext uri="{909E8E84-426E-40DD-AFC4-6F175D3DCCD1}">
                              <a14:hiddenFill xmlns:a14="http://schemas.microsoft.com/office/drawing/2010/main">
                                <a:gradFill rotWithShape="1">
                                  <a:gsLst>
                                    <a:gs pos="0">
                                      <a:srgbClr val="FFFFFF">
                                        <a:gamma/>
                                        <a:shade val="46275"/>
                                        <a:invGamma/>
                                      </a:srgbClr>
                                    </a:gs>
                                    <a:gs pos="50000">
                                      <a:srgbClr val="FFFFFF"/>
                                    </a:gs>
                                    <a:gs pos="100000">
                                      <a:srgbClr val="FFFFFF">
                                        <a:gamma/>
                                        <a:shade val="46275"/>
                                        <a:invGamma/>
                                      </a:srgbClr>
                                    </a:gs>
                                  </a:gsLst>
                                  <a:lin ang="5400000" scaled="1"/>
                                </a:gra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52E4" w:rsidRPr="00E85D1B" w:rsidRDefault="00F252E4" w:rsidP="00F252E4">
                              <w:pPr>
                                <w:autoSpaceDE w:val="0"/>
                                <w:autoSpaceDN w:val="0"/>
                                <w:adjustRightInd w:val="0"/>
                                <w:jc w:val="center"/>
                                <w:rPr>
                                  <w:rFonts w:ascii="Arial" w:hAnsi="Arial" w:cs="宋体"/>
                                  <w:color w:val="000000"/>
                                  <w:sz w:val="20"/>
                                  <w:szCs w:val="32"/>
                                  <w:lang w:val="zh-CN"/>
                                </w:rPr>
                              </w:pPr>
                              <w:r w:rsidRPr="00C7061A">
                                <w:rPr>
                                  <w:rFonts w:ascii="Arial" w:hAnsi="Arial" w:cs="宋体" w:hint="eastAsia"/>
                                  <w:color w:val="000000"/>
                                  <w:sz w:val="20"/>
                                  <w:szCs w:val="32"/>
                                  <w:lang w:val="zh-CN"/>
                                </w:rPr>
                                <w:t>无期现</w:t>
                              </w:r>
                              <w:r>
                                <w:rPr>
                                  <w:rFonts w:ascii="Arial" w:hAnsi="Arial" w:cs="宋体" w:hint="eastAsia"/>
                                  <w:color w:val="000000"/>
                                  <w:sz w:val="20"/>
                                  <w:szCs w:val="32"/>
                                  <w:lang w:val="zh-CN"/>
                                </w:rPr>
                                <w:t>套利</w:t>
                              </w:r>
                              <w:r w:rsidRPr="00C7061A">
                                <w:rPr>
                                  <w:rFonts w:ascii="Arial" w:hAnsi="Arial" w:cs="宋体" w:hint="eastAsia"/>
                                  <w:color w:val="000000"/>
                                  <w:sz w:val="20"/>
                                  <w:szCs w:val="32"/>
                                  <w:lang w:val="zh-CN"/>
                                </w:rPr>
                                <w:t>交易区间</w:t>
                              </w:r>
                              <w:r>
                                <w:rPr>
                                  <w:rFonts w:ascii="Arial" w:hAnsi="Arial" w:cs="宋体" w:hint="eastAsia"/>
                                  <w:color w:val="000000"/>
                                  <w:sz w:val="20"/>
                                  <w:szCs w:val="32"/>
                                  <w:lang w:val="zh-CN"/>
                                </w:rPr>
                                <w:t>下限</w:t>
                              </w:r>
                            </w:p>
                            <w:p w:rsidR="00F252E4" w:rsidRPr="00C7061A" w:rsidRDefault="00F252E4" w:rsidP="00F252E4">
                              <w:pPr>
                                <w:rPr>
                                  <w:szCs w:val="32"/>
                                </w:rPr>
                              </w:pPr>
                            </w:p>
                          </w:txbxContent>
                        </wps:txbx>
                        <wps:bodyPr rot="0" vert="horz" wrap="square" lIns="42390" tIns="21196" rIns="42390" bIns="21196" upright="1">
                          <a:noAutofit/>
                        </wps:bodyPr>
                      </wps:wsp>
                      <wps:wsp>
                        <wps:cNvPr id="16" name="Text Box 19"/>
                        <wps:cNvSpPr txBox="1">
                          <a:spLocks noChangeArrowheads="1"/>
                        </wps:cNvSpPr>
                        <wps:spPr bwMode="auto">
                          <a:xfrm>
                            <a:off x="2572385" y="715010"/>
                            <a:ext cx="1596390" cy="198120"/>
                          </a:xfrm>
                          <a:prstGeom prst="rect">
                            <a:avLst/>
                          </a:prstGeom>
                          <a:noFill/>
                          <a:ln>
                            <a:noFill/>
                          </a:ln>
                          <a:extLst>
                            <a:ext uri="{909E8E84-426E-40DD-AFC4-6F175D3DCCD1}">
                              <a14:hiddenFill xmlns:a14="http://schemas.microsoft.com/office/drawing/2010/main">
                                <a:gradFill rotWithShape="1">
                                  <a:gsLst>
                                    <a:gs pos="0">
                                      <a:srgbClr val="FFFFFF">
                                        <a:gamma/>
                                        <a:shade val="46275"/>
                                        <a:invGamma/>
                                      </a:srgbClr>
                                    </a:gs>
                                    <a:gs pos="50000">
                                      <a:srgbClr val="FFFFFF"/>
                                    </a:gs>
                                    <a:gs pos="100000">
                                      <a:srgbClr val="FFFFFF">
                                        <a:gamma/>
                                        <a:shade val="46275"/>
                                        <a:invGamma/>
                                      </a:srgbClr>
                                    </a:gs>
                                  </a:gsLst>
                                  <a:lin ang="5400000" scaled="1"/>
                                </a:gra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52E4" w:rsidRPr="00E85D1B" w:rsidRDefault="00F252E4" w:rsidP="00F252E4">
                              <w:pPr>
                                <w:autoSpaceDE w:val="0"/>
                                <w:autoSpaceDN w:val="0"/>
                                <w:adjustRightInd w:val="0"/>
                                <w:jc w:val="center"/>
                                <w:rPr>
                                  <w:rFonts w:ascii="Arial" w:hAnsi="Arial" w:cs="宋体"/>
                                  <w:color w:val="000000"/>
                                  <w:sz w:val="20"/>
                                  <w:szCs w:val="32"/>
                                  <w:lang w:val="zh-CN"/>
                                </w:rPr>
                              </w:pPr>
                              <w:r w:rsidRPr="00C7061A">
                                <w:rPr>
                                  <w:rFonts w:ascii="Arial" w:hAnsi="Arial" w:cs="宋体" w:hint="eastAsia"/>
                                  <w:color w:val="000000"/>
                                  <w:sz w:val="20"/>
                                  <w:szCs w:val="32"/>
                                  <w:lang w:val="zh-CN"/>
                                </w:rPr>
                                <w:t>无期现</w:t>
                              </w:r>
                              <w:r>
                                <w:rPr>
                                  <w:rFonts w:ascii="Arial" w:hAnsi="Arial" w:cs="宋体" w:hint="eastAsia"/>
                                  <w:color w:val="000000"/>
                                  <w:sz w:val="20"/>
                                  <w:szCs w:val="32"/>
                                  <w:lang w:val="zh-CN"/>
                                </w:rPr>
                                <w:t>套利</w:t>
                              </w:r>
                              <w:r w:rsidRPr="00C7061A">
                                <w:rPr>
                                  <w:rFonts w:ascii="Arial" w:hAnsi="Arial" w:cs="宋体" w:hint="eastAsia"/>
                                  <w:color w:val="000000"/>
                                  <w:sz w:val="20"/>
                                  <w:szCs w:val="32"/>
                                  <w:lang w:val="zh-CN"/>
                                </w:rPr>
                                <w:t>交易区间</w:t>
                              </w:r>
                              <w:r>
                                <w:rPr>
                                  <w:rFonts w:ascii="Arial" w:hAnsi="Arial" w:cs="宋体" w:hint="eastAsia"/>
                                  <w:color w:val="000000"/>
                                  <w:sz w:val="20"/>
                                  <w:szCs w:val="32"/>
                                  <w:lang w:val="zh-CN"/>
                                </w:rPr>
                                <w:t>上限</w:t>
                              </w:r>
                            </w:p>
                          </w:txbxContent>
                        </wps:txbx>
                        <wps:bodyPr rot="0" vert="horz" wrap="square" lIns="42390" tIns="21196" rIns="42390" bIns="21196" upright="1">
                          <a:noAutofit/>
                        </wps:bodyPr>
                      </wps:wsp>
                      <wps:wsp>
                        <wps:cNvPr id="17" name="Line 20"/>
                        <wps:cNvCnPr>
                          <a:cxnSpLocks noChangeShapeType="1"/>
                        </wps:cNvCnPr>
                        <wps:spPr bwMode="auto">
                          <a:xfrm>
                            <a:off x="3372485" y="913130"/>
                            <a:ext cx="635"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Oval 21"/>
                        <wps:cNvSpPr>
                          <a:spLocks noChangeArrowheads="1"/>
                        </wps:cNvSpPr>
                        <wps:spPr bwMode="auto">
                          <a:xfrm>
                            <a:off x="1552575" y="792480"/>
                            <a:ext cx="571500" cy="396240"/>
                          </a:xfrm>
                          <a:prstGeom prst="ellipse">
                            <a:avLst/>
                          </a:prstGeom>
                          <a:noFill/>
                          <a:ln w="9525">
                            <a:solidFill>
                              <a:srgbClr val="000000"/>
                            </a:solidFill>
                            <a:prstDash val="dash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Oval 22"/>
                        <wps:cNvSpPr>
                          <a:spLocks noChangeArrowheads="1"/>
                        </wps:cNvSpPr>
                        <wps:spPr bwMode="auto">
                          <a:xfrm>
                            <a:off x="3429000" y="1485900"/>
                            <a:ext cx="571500" cy="396240"/>
                          </a:xfrm>
                          <a:prstGeom prst="ellipse">
                            <a:avLst/>
                          </a:prstGeom>
                          <a:noFill/>
                          <a:ln w="9525">
                            <a:solidFill>
                              <a:srgbClr val="000000"/>
                            </a:solidFill>
                            <a:prstDash val="dash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Line 23"/>
                        <wps:cNvCnPr>
                          <a:cxnSpLocks noChangeShapeType="1"/>
                        </wps:cNvCnPr>
                        <wps:spPr bwMode="auto">
                          <a:xfrm flipV="1">
                            <a:off x="3543300" y="1853565"/>
                            <a:ext cx="635"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Line 24"/>
                        <wps:cNvCnPr>
                          <a:cxnSpLocks noChangeShapeType="1"/>
                        </wps:cNvCnPr>
                        <wps:spPr bwMode="auto">
                          <a:xfrm>
                            <a:off x="1828800" y="594360"/>
                            <a:ext cx="635"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Text Box 25"/>
                        <wps:cNvSpPr txBox="1">
                          <a:spLocks noChangeArrowheads="1"/>
                        </wps:cNvSpPr>
                        <wps:spPr bwMode="auto">
                          <a:xfrm>
                            <a:off x="968375" y="396240"/>
                            <a:ext cx="1536700" cy="198120"/>
                          </a:xfrm>
                          <a:prstGeom prst="rect">
                            <a:avLst/>
                          </a:prstGeom>
                          <a:noFill/>
                          <a:ln>
                            <a:noFill/>
                          </a:ln>
                          <a:extLst>
                            <a:ext uri="{909E8E84-426E-40DD-AFC4-6F175D3DCCD1}">
                              <a14:hiddenFill xmlns:a14="http://schemas.microsoft.com/office/drawing/2010/main">
                                <a:gradFill rotWithShape="1">
                                  <a:gsLst>
                                    <a:gs pos="0">
                                      <a:srgbClr val="FFFFFF">
                                        <a:gamma/>
                                        <a:shade val="46275"/>
                                        <a:invGamma/>
                                      </a:srgbClr>
                                    </a:gs>
                                    <a:gs pos="50000">
                                      <a:srgbClr val="FFFFFF"/>
                                    </a:gs>
                                    <a:gs pos="100000">
                                      <a:srgbClr val="FFFFFF">
                                        <a:gamma/>
                                        <a:shade val="46275"/>
                                        <a:invGamma/>
                                      </a:srgbClr>
                                    </a:gs>
                                  </a:gsLst>
                                  <a:lin ang="5400000" scaled="1"/>
                                </a:gra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52E4" w:rsidRPr="00E85D1B" w:rsidRDefault="00F252E4" w:rsidP="00F252E4">
                              <w:pPr>
                                <w:autoSpaceDE w:val="0"/>
                                <w:autoSpaceDN w:val="0"/>
                                <w:adjustRightInd w:val="0"/>
                                <w:jc w:val="center"/>
                                <w:rPr>
                                  <w:rFonts w:ascii="Arial" w:hAnsi="Arial" w:cs="宋体"/>
                                  <w:color w:val="000000"/>
                                  <w:sz w:val="20"/>
                                  <w:szCs w:val="32"/>
                                  <w:lang w:val="zh-CN"/>
                                </w:rPr>
                              </w:pPr>
                              <w:r>
                                <w:rPr>
                                  <w:rFonts w:ascii="Arial" w:hAnsi="Arial" w:cs="宋体" w:hint="eastAsia"/>
                                  <w:color w:val="000000"/>
                                  <w:sz w:val="20"/>
                                  <w:szCs w:val="32"/>
                                  <w:lang w:val="zh-CN"/>
                                </w:rPr>
                                <w:t>正向期现套利交易机会</w:t>
                              </w:r>
                            </w:p>
                          </w:txbxContent>
                        </wps:txbx>
                        <wps:bodyPr rot="0" vert="horz" wrap="square" lIns="42390" tIns="21196" rIns="42390" bIns="21196" upright="1">
                          <a:noAutofit/>
                        </wps:bodyPr>
                      </wps:wsp>
                      <wps:wsp>
                        <wps:cNvPr id="23" name="Text Box 26"/>
                        <wps:cNvSpPr txBox="1">
                          <a:spLocks noChangeArrowheads="1"/>
                        </wps:cNvSpPr>
                        <wps:spPr bwMode="auto">
                          <a:xfrm>
                            <a:off x="2857500" y="2002790"/>
                            <a:ext cx="1600200" cy="214630"/>
                          </a:xfrm>
                          <a:prstGeom prst="rect">
                            <a:avLst/>
                          </a:prstGeom>
                          <a:noFill/>
                          <a:ln>
                            <a:noFill/>
                          </a:ln>
                          <a:extLst>
                            <a:ext uri="{909E8E84-426E-40DD-AFC4-6F175D3DCCD1}">
                              <a14:hiddenFill xmlns:a14="http://schemas.microsoft.com/office/drawing/2010/main">
                                <a:gradFill rotWithShape="1">
                                  <a:gsLst>
                                    <a:gs pos="0">
                                      <a:srgbClr val="FFFFFF">
                                        <a:gamma/>
                                        <a:shade val="46275"/>
                                        <a:invGamma/>
                                      </a:srgbClr>
                                    </a:gs>
                                    <a:gs pos="50000">
                                      <a:srgbClr val="FFFFFF"/>
                                    </a:gs>
                                    <a:gs pos="100000">
                                      <a:srgbClr val="FFFFFF">
                                        <a:gamma/>
                                        <a:shade val="46275"/>
                                        <a:invGamma/>
                                      </a:srgbClr>
                                    </a:gs>
                                  </a:gsLst>
                                  <a:lin ang="5400000" scaled="1"/>
                                </a:gra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52E4" w:rsidRPr="00E85D1B" w:rsidRDefault="00F252E4" w:rsidP="00F252E4">
                              <w:pPr>
                                <w:autoSpaceDE w:val="0"/>
                                <w:autoSpaceDN w:val="0"/>
                                <w:adjustRightInd w:val="0"/>
                                <w:jc w:val="center"/>
                                <w:rPr>
                                  <w:rFonts w:ascii="Arial" w:hAnsi="Arial" w:cs="宋体"/>
                                  <w:color w:val="000000"/>
                                  <w:sz w:val="20"/>
                                  <w:szCs w:val="32"/>
                                  <w:lang w:val="zh-CN"/>
                                </w:rPr>
                              </w:pPr>
                              <w:r>
                                <w:rPr>
                                  <w:rFonts w:ascii="Arial" w:hAnsi="Arial" w:cs="宋体" w:hint="eastAsia"/>
                                  <w:color w:val="000000"/>
                                  <w:sz w:val="20"/>
                                  <w:szCs w:val="32"/>
                                  <w:lang w:val="zh-CN"/>
                                </w:rPr>
                                <w:t>反向期现套利交易机会</w:t>
                              </w:r>
                            </w:p>
                            <w:p w:rsidR="00F252E4" w:rsidRPr="00C7061A" w:rsidRDefault="00F252E4" w:rsidP="00F252E4">
                              <w:pPr>
                                <w:rPr>
                                  <w:szCs w:val="32"/>
                                </w:rPr>
                              </w:pPr>
                            </w:p>
                          </w:txbxContent>
                        </wps:txbx>
                        <wps:bodyPr rot="0" vert="horz" wrap="square" lIns="42390" tIns="21196" rIns="42390" bIns="21196" upright="1">
                          <a:noAutofit/>
                        </wps:bodyPr>
                      </wps:wsp>
                    </wpc:wpc>
                  </a:graphicData>
                </a:graphic>
              </wp:inline>
            </w:drawing>
          </mc:Choice>
          <mc:Fallback>
            <w:pict>
              <v:group id="画布 24" o:spid="_x0000_s1026" editas="canvas" style="width:396pt;height:235.8pt;mso-position-horizontal-relative:char;mso-position-vertical-relative:line" coordsize="50292,29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0292;height:29946;visibility:visible;mso-wrap-style:square">
                  <v:fill o:detectmouseclick="t"/>
                  <v:path o:connecttype="none"/>
                </v:shape>
                <v:line id="Line 4" o:spid="_x0000_s1028" style="position:absolute;flip:x;visibility:visible;mso-wrap-style:square" from="3213,3962" to="3429,25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YUCcAAAADaAAAADwAAAGRycy9kb3ducmV2LnhtbERPTWuDQBC9F/Iflgn0UpK1Ekow2YQQ&#10;KJSeom3vgzuuEndW3K1af31XKPQ0PN7nHM+TbcVAvW8cK3jeJiCIS6cbNgo+P143exA+IGtsHZOC&#10;H/JwPq0ejphpN3JOQxGMiCHsM1RQh9BlUvqyJot+6zriyFWutxgi7I3UPY4x3LYyTZIXabHh2FBj&#10;R9eaynvxbRWkT/PkTVnl+3mY329uNLuv6qLU43q6HEAEmsK/+M/9puN8WF5Zrjz9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sWFAnAAAAA2gAAAA8AAAAAAAAAAAAAAAAA&#10;oQIAAGRycy9kb3ducmV2LnhtbFBLBQYAAAAABAAEAPkAAACOAwAAAAA=&#10;">
                  <v:stroke startarrow="block"/>
                </v:line>
                <v:line id="Line 5" o:spid="_x0000_s1029" style="position:absolute;flip:y;visibility:visible;mso-wrap-style:square" from="3213,25755" to="44577,25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qKy8AAAADaAAAADwAAAGRycy9kb3ducmV2LnhtbERPTWvCQBC9C/0PyxS8BN00gtToGlqt&#10;UJAeaj14HLJjEpqdDdlR03/fLRQ8Pt73qhhcq67Uh8azgadpCoq49LbhysDxazd5BhUE2WLrmQz8&#10;UIBi/TBaYW79jT/pepBKxRAOORqoRbpc61DW5DBMfUccubPvHUqEfaVtj7cY7lqdpelcO2w4NtTY&#10;0aam8vtwcXHG7oO3s1ny6nSSLOjtJPtUizHjx+FlCUpokLv43/1uDWTwdyX6Qa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CaisvAAAAA2gAAAA8AAAAAAAAAAAAAAAAA&#10;oQIAAGRycy9kb3ducmV2LnhtbFBLBQYAAAAABAAEAPkAAACOAwAAAAA=&#10;">
                  <v:stroke endarrow="block"/>
                </v:line>
                <v:shapetype id="_x0000_t202" coordsize="21600,21600" o:spt="202" path="m,l,21600r21600,l21600,xe">
                  <v:stroke joinstyle="miter"/>
                  <v:path gradientshapeok="t" o:connecttype="rect"/>
                </v:shapetype>
                <v:shape id="Text Box 6" o:spid="_x0000_s1030" type="#_x0000_t202" style="position:absolute;left:21145;top:25984;width:5067;height:19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jozMIA&#10;AADaAAAADwAAAGRycy9kb3ducmV2LnhtbESP0WrCQBRE3wv+w3KFvjUbWwgldZXWEigWqaZ+wCV7&#10;zQazd0N2m8S/7wqCj8PMmWGW68m2YqDeN44VLJIUBHHldMO1guNv8fQKwgdkja1jUnAhD+vV7GGJ&#10;uXYjH2goQy1iCfscFZgQulxKXxmy6BPXEUfv5HqLIcq+lrrHMZbbVj6naSYtNhwXDHa0MVSdyz+r&#10;ICLHsdgX3Y/+HnefbvuRuWCUepxP728gAk3hHr7RX1rBC1yvxBsg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SOjMwgAAANoAAAAPAAAAAAAAAAAAAAAAAJgCAABkcnMvZG93&#10;bnJldi54bWxQSwUGAAAAAAQABAD1AAAAhwMAAAAA&#10;" filled="f" fillcolor="#767676" stroked="f">
                  <v:fill rotate="t" focus="50%" type="gradient"/>
                  <v:textbox inset="1.1775mm,.58878mm,1.1775mm,.58878mm">
                    <w:txbxContent>
                      <w:p w:rsidR="00F252E4" w:rsidRPr="00E85D1B" w:rsidRDefault="00F252E4" w:rsidP="00F252E4">
                        <w:pPr>
                          <w:autoSpaceDE w:val="0"/>
                          <w:autoSpaceDN w:val="0"/>
                          <w:adjustRightInd w:val="0"/>
                          <w:jc w:val="center"/>
                          <w:rPr>
                            <w:rFonts w:ascii="Arial" w:hAnsi="Arial" w:cs="宋体"/>
                            <w:color w:val="000000"/>
                            <w:sz w:val="20"/>
                            <w:szCs w:val="32"/>
                            <w:lang w:val="zh-CN"/>
                          </w:rPr>
                        </w:pPr>
                        <w:r w:rsidRPr="00E85D1B">
                          <w:rPr>
                            <w:rFonts w:ascii="Arial" w:hAnsi="Arial" w:cs="宋体" w:hint="eastAsia"/>
                            <w:color w:val="000000"/>
                            <w:sz w:val="20"/>
                            <w:szCs w:val="32"/>
                            <w:lang w:val="zh-CN"/>
                          </w:rPr>
                          <w:t>日期</w:t>
                        </w:r>
                      </w:p>
                    </w:txbxContent>
                  </v:textbox>
                </v:shape>
                <v:shape id="Text Box 7" o:spid="_x0000_s1031" type="#_x0000_t202" style="position:absolute;left:69;top:10858;width:3144;height:5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xr5MIA&#10;AADaAAAADwAAAGRycy9kb3ducmV2LnhtbESPzWrDMBCE74W+g9hCb7VsU0zqRgnFUCgUCrETyHGx&#10;NraJtTKW6p+3rwqBHIeZ+YbZ7hfTi4lG11lWkEQxCOLa6o4bBcfq82UDwnlkjb1lUrCSg/3u8WGL&#10;ubYzH2gqfSMChF2OClrvh1xKV7dk0EV2IA7exY4GfZBjI/WIc4CbXqZxnEmDHYeFFgcqWqqv5a9R&#10;cD5VP2mCLs3WgjO3FvPb93lW6vlp+XgH4Wnx9/Ct/aUVvML/lXAD5O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fGvkwgAAANoAAAAPAAAAAAAAAAAAAAAAAJgCAABkcnMvZG93&#10;bnJldi54bWxQSwUGAAAAAAQABAD1AAAAhwMAAAAA&#10;" filled="f" fillcolor="#767676" stroked="f">
                  <v:fill rotate="t" focus="50%" type="gradient"/>
                  <v:textbox style="layout-flow:vertical-ideographic" inset="1.1775mm,.58878mm,1.1775mm,.58878mm">
                    <w:txbxContent>
                      <w:p w:rsidR="00F252E4" w:rsidRPr="00E85D1B" w:rsidRDefault="00F252E4" w:rsidP="00F252E4">
                        <w:pPr>
                          <w:autoSpaceDE w:val="0"/>
                          <w:autoSpaceDN w:val="0"/>
                          <w:adjustRightInd w:val="0"/>
                          <w:jc w:val="center"/>
                          <w:rPr>
                            <w:rFonts w:ascii="Arial" w:hAnsi="Arial" w:cs="宋体"/>
                            <w:color w:val="000000"/>
                            <w:sz w:val="20"/>
                            <w:szCs w:val="32"/>
                            <w:lang w:val="zh-CN"/>
                          </w:rPr>
                        </w:pPr>
                        <w:r w:rsidRPr="00E85D1B">
                          <w:rPr>
                            <w:rFonts w:ascii="Arial" w:hAnsi="Arial" w:cs="宋体" w:hint="eastAsia"/>
                            <w:color w:val="000000"/>
                            <w:sz w:val="20"/>
                            <w:szCs w:val="32"/>
                            <w:lang w:val="zh-CN"/>
                          </w:rPr>
                          <w:t>价</w:t>
                        </w:r>
                        <w:r>
                          <w:rPr>
                            <w:rFonts w:ascii="Arial" w:hAnsi="Arial" w:cs="宋体" w:hint="eastAsia"/>
                            <w:color w:val="000000"/>
                            <w:sz w:val="20"/>
                            <w:szCs w:val="32"/>
                            <w:lang w:val="zh-CN"/>
                          </w:rPr>
                          <w:t>格</w:t>
                        </w:r>
                      </w:p>
                    </w:txbxContent>
                  </v:textbox>
                </v:shape>
                <v:line id="Line 8" o:spid="_x0000_s1032" style="position:absolute;visibility:visible;mso-wrap-style:square" from="37630,990" to="40690,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QRM8UAAADaAAAADwAAAGRycy9kb3ducmV2LnhtbESPT2vCQBTE74V+h+UJvdWNLQ0SXUVa&#10;CupB6h/Q4zP7TGKzb8PumqTfvisUehxm5jfMdN6bWrTkfGVZwWiYgCDOra64UHDYfz6PQfiArLG2&#10;TAp+yMN89vgwxUzbjrfU7kIhIoR9hgrKEJpMSp+XZNAPbUMcvYt1BkOUrpDaYRfhppYvSZJKgxXH&#10;hRIbei8p/97djILN61faLlbrZX9cpef8Y3s+XTun1NOgX0xABOrDf/ivvdQK3uB+Jd4AOf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RQRM8UAAADaAAAADwAAAAAAAAAA&#10;AAAAAAChAgAAZHJzL2Rvd25yZXYueG1sUEsFBgAAAAAEAAQA+QAAAJMDAAAAAA==&#10;"/>
                <v:line id="Line 9" o:spid="_x0000_s1033" style="position:absolute;visibility:visible;mso-wrap-style:square" from="37725,2800" to="40786,28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fLsAAAADaAAAADwAAAGRycy9kb3ducmV2LnhtbESPQYvCMBSE78L+h/AWvNl0FUSqUXRB&#10;8LAXu4t4fCTPtti8lCRq119vBMHjMDPfMItVb1txJR8axwq+shwEsXam4UrB3+92NAMRIrLB1jEp&#10;+KcAq+XHYIGFcTfe07WMlUgQDgUqqGPsCimDrsliyFxHnLyT8xZjkr6SxuMtwW0rx3k+lRYbTgs1&#10;dvRdkz6XF6ug3OmTu0/8+XDc/Gi9Rb/Hxis1/OzXcxCR+vgOv9o7o2AKzyvpBsjl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v9Hy7AAAAA2gAAAA8AAAAAAAAAAAAAAAAA&#10;oQIAAGRycy9kb3ducmV2LnhtbFBLBQYAAAAABAAEAPkAAACOAwAAAAA=&#10;" strokeweight="3pt"/>
                <v:shape id="Text Box 10" o:spid="_x0000_s1034" type="#_x0000_t202" style="position:absolute;left:39871;top:1752;width:9735;height:2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Puz8AA&#10;AADaAAAADwAAAGRycy9kb3ducmV2LnhtbESP3YrCMBSE7xd8h3AE79bUvdClGkVdCqLI+vcAh+bY&#10;FJuT0kTbffuNIHg5zHwzzGzR2Uo8qPGlYwWjYQKCOHe65ELB5Zx9foPwAVlj5ZgU/JGHxbz3McNU&#10;u5aP9DiFQsQS9ikqMCHUqZQ+N2TRD11NHL2rayyGKJtC6gbbWG4r+ZUkY2mx5LhgsKa1ofx2ulsF&#10;Ebm02SGrf/Wu3f+47WrsglFq0O+WUxCBuvAOv+iNVjCB55V4A+T8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nPuz8AAAADaAAAADwAAAAAAAAAAAAAAAACYAgAAZHJzL2Rvd25y&#10;ZXYueG1sUEsFBgAAAAAEAAQA9QAAAIUDAAAAAA==&#10;" filled="f" fillcolor="#767676" stroked="f">
                  <v:fill rotate="t" focus="50%" type="gradient"/>
                  <v:textbox inset="1.1775mm,.58878mm,1.1775mm,.58878mm">
                    <w:txbxContent>
                      <w:p w:rsidR="00F252E4" w:rsidRPr="00E85D1B" w:rsidRDefault="00F252E4" w:rsidP="00F252E4">
                        <w:pPr>
                          <w:autoSpaceDE w:val="0"/>
                          <w:autoSpaceDN w:val="0"/>
                          <w:adjustRightInd w:val="0"/>
                          <w:jc w:val="center"/>
                          <w:rPr>
                            <w:rFonts w:ascii="Arial" w:hAnsi="Arial" w:cs="宋体"/>
                            <w:color w:val="000000"/>
                            <w:sz w:val="20"/>
                            <w:szCs w:val="32"/>
                            <w:lang w:val="zh-CN"/>
                          </w:rPr>
                        </w:pPr>
                        <w:r>
                          <w:rPr>
                            <w:rFonts w:ascii="Arial" w:hAnsi="Arial" w:cs="宋体" w:hint="eastAsia"/>
                            <w:color w:val="000000"/>
                            <w:sz w:val="20"/>
                            <w:szCs w:val="32"/>
                            <w:lang w:val="zh-CN"/>
                          </w:rPr>
                          <w:t>现货指数</w:t>
                        </w:r>
                      </w:p>
                    </w:txbxContent>
                  </v:textbox>
                </v:shape>
                <v:shape id="Text Box 11" o:spid="_x0000_s1035" type="#_x0000_t202" style="position:absolute;left:39909;width:9697;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6vb4A&#10;AADaAAAADwAAAGRycy9kb3ducmV2LnhtbERPzWrCQBC+F3yHZYTe6kYPUqKrVCUgluJPfYAhO82G&#10;ZmdDdjXp23cOgseP73+5Hnyj7tTFOrCB6SQDRVwGW3Nl4PpdvL2DignZYhOYDPxRhPVq9LLE3Iae&#10;z3S/pEpJCMccDbiU2lzrWDryGCehJRbuJ3Qek8Cu0rbDXsJ9o2dZNtcea5YGhy1tHZW/l5s3IJZr&#10;X5yK9mg/+69dOGzmITljXsfDxwJUoiE9xQ/33hqQrXJFboBe/Q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fser2+AAAA2gAAAA8AAAAAAAAAAAAAAAAAmAIAAGRycy9kb3ducmV2&#10;LnhtbFBLBQYAAAAABAAEAPUAAACDAwAAAAA=&#10;" filled="f" fillcolor="#767676" stroked="f">
                  <v:fill rotate="t" focus="50%" type="gradient"/>
                  <v:textbox inset="1.1775mm,.58878mm,1.1775mm,.58878mm">
                    <w:txbxContent>
                      <w:p w:rsidR="00F252E4" w:rsidRPr="00E85D1B" w:rsidRDefault="00F252E4" w:rsidP="00F252E4">
                        <w:pPr>
                          <w:autoSpaceDE w:val="0"/>
                          <w:autoSpaceDN w:val="0"/>
                          <w:adjustRightInd w:val="0"/>
                          <w:jc w:val="center"/>
                          <w:rPr>
                            <w:rFonts w:ascii="Arial" w:hAnsi="Arial" w:cs="宋体"/>
                            <w:color w:val="000000"/>
                            <w:sz w:val="20"/>
                            <w:szCs w:val="32"/>
                            <w:lang w:val="zh-CN"/>
                          </w:rPr>
                        </w:pPr>
                        <w:r>
                          <w:rPr>
                            <w:rFonts w:ascii="Arial" w:hAnsi="Arial" w:cs="宋体" w:hint="eastAsia"/>
                            <w:color w:val="000000"/>
                            <w:sz w:val="20"/>
                            <w:szCs w:val="32"/>
                            <w:lang w:val="zh-CN"/>
                          </w:rPr>
                          <w:t>期货价格</w:t>
                        </w:r>
                      </w:p>
                    </w:txbxContent>
                  </v:textbox>
                </v:shape>
                <v:shape id="Freeform 12" o:spid="_x0000_s1036" style="position:absolute;left:5638;top:12719;width:34290;height:3136;visibility:visible;mso-wrap-style:square;v-text-anchor:top" coordsize="5400,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J5xsMA&#10;AADaAAAADwAAAGRycy9kb3ducmV2LnhtbESPQUsDMRSE74X+h/AEb21WC1LXZosUxB70YFtQb8/k&#10;7Wbp5iUksV3/vREKHoeZ+YZZrUc3iBPF1HtWcDOvQBBrb3ruFBz2T7MliJSRDQ6eScEPJVg308kK&#10;a+PP/EanXe5EgXCqUYHNOdRSJm3JYZr7QFy81keHucjYSRPxXOBukLdVdScd9lwWLAbaWNLH3bdT&#10;0H4c8j74oI+fL89frzEubNTvSl1fjY8PIDKN+T98aW+Ngnv4u1JugG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DJ5xsMAAADaAAAADwAAAAAAAAAAAAAAAACYAgAAZHJzL2Rv&#10;d25yZXYueG1sUEsFBgAAAAAEAAQA9QAAAIgDAAAAAA==&#10;" path="m,494c90,351,180,208,360,182v180,-26,420,182,720,156c1380,312,1800,26,2160,26v360,,660,312,1080,312c3660,338,4350,52,4680,26,5010,,5100,156,5220,182v120,26,150,,180,e" filled="f" strokeweight="3pt">
                  <v:path arrowok="t" o:connecttype="custom" o:connectlocs="0,313690;228600,115570;685800,214630;1371600,16510;2057400,214630;2971800,16510;3314700,115570;3429000,115570" o:connectangles="0,0,0,0,0,0,0,0"/>
                </v:shape>
                <v:shape id="Freeform 13" o:spid="_x0000_s1037" style="position:absolute;left:5715;top:8578;width:34290;height:9252;visibility:visible;mso-wrap-style:square;v-text-anchor:top" coordsize="5400,14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SX38QA&#10;AADbAAAADwAAAGRycy9kb3ducmV2LnhtbESPzW7CQAyE75V4h5WRuJUNHBAKLKg/QuoFqU15ADfr&#10;ZANZb8guEPr09QGpN1sznvm83g6+VVfqYxPYwGyagSIug224NnD43j0vQcWEbLENTAbuFGG7GT2t&#10;Mbfhxl90LVKtJIRjjgZcSl2udSwdeYzT0BGLVoXeY5K1r7Xt8SbhvtXzLFtojw1Lg8OO3hyVp+Li&#10;DZzOc338zPbV7ufoL0X8rdz7a2XMZDy8rEAlGtK/+XH9YQVf6OUXGUB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kl9/EAAAA2wAAAA8AAAAAAAAAAAAAAAAAmAIAAGRycy9k&#10;b3ducmV2LnhtbFBLBQYAAAAABAAEAPUAAACJAwAAAAA=&#10;" path="m,1118c75,1066,150,1014,180,962v30,-52,-60,-130,,-156c240,780,420,754,540,806v120,52,210,312,360,312c1050,1118,1320,884,1440,806v120,-78,90,-26,180,-156c1710,520,1830,,1980,26v150,26,360,650,540,780c2700,936,2910,780,3060,806v150,26,240,130,360,156c3540,988,3660,1014,3780,962v120,-52,240,-260,360,-312c4260,598,4380,520,4500,650v120,130,210,754,360,780c5010,1456,5310,910,5400,806e" filled="f">
                  <v:path arrowok="t" o:connecttype="custom" o:connectlocs="0,710418;114300,611290;114300,512162;342900,512162;571500,710418;914400,512162;1028700,413033;1257300,16521;1600200,512162;1943100,512162;2171700,611290;2400300,611290;2628900,413033;2857500,413033;3086100,908674;3429000,512162" o:connectangles="0,0,0,0,0,0,0,0,0,0,0,0,0,0,0,0"/>
                </v:shape>
                <v:line id="Line 14" o:spid="_x0000_s1038" style="position:absolute;visibility:visible;mso-wrap-style:square" from="20574,12877" to="20574,12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2uE8MAAADbAAAADwAAAGRycy9kb3ducmV2LnhtbERPTWvCQBC9F/wPywje6sYWQomuIoqg&#10;PZRqBT2O2TGJZmfD7pqk/75bKPQ2j/c5s0VvatGS85VlBZNxAoI4t7riQsHxa/P8BsIHZI21ZVLw&#10;TR4W88HTDDNtO95TewiFiCHsM1RQhtBkUvq8JIN+bBviyF2tMxgidIXUDrsYbmr5kiSpNFhxbCix&#10;oVVJ+f3wMAo+Xj/Tdrl73/anXXrJ1/vL+dY5pUbDfjkFEagP/+I/91bH+RP4/SUeIO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trhPDAAAA2wAAAA8AAAAAAAAAAAAA&#10;AAAAoQIAAGRycy9kb3ducmV2LnhtbFBLBQYAAAAABAAEAPkAAACRAwAAAAA=&#10;"/>
                <v:shape id="Freeform 15" o:spid="_x0000_s1039" style="position:absolute;left:5054;top:11112;width:34290;height:3137;visibility:visible;mso-wrap-style:square;v-text-anchor:top" coordsize="5400,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fcicEA&#10;AADbAAAADwAAAGRycy9kb3ducmV2LnhtbESPT2vCQBDF74LfYRmhN92YgkrqKiIUvHhoFHodspM/&#10;mJkN2W0Sv71bKPQ2w3u/N2/2x4lbNVDvGycG1qsEFEnhbCOVgfvtc7kD5QOKxdYJGXiSh+NhPttj&#10;Zt0oXzTkoVIxRHyGBuoQukxrX9TE6FeuI4la6XrGENe+0rbHMYZzq9Mk2WjGRuKFGjs611Q88h+O&#10;NWS3pSvdOR/KcVuV7/ytUzbmbTGdPkAFmsK/+Y++2Mil8PtLHEAf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e33InBAAAA2wAAAA8AAAAAAAAAAAAAAAAAmAIAAGRycy9kb3du&#10;cmV2LnhtbFBLBQYAAAAABAAEAPUAAACGAwAAAAA=&#10;" path="m,494c90,351,180,208,360,182v180,-26,420,182,720,156c1380,312,1800,26,2160,26v360,,660,312,1080,312c3660,338,4350,52,4680,26,5010,,5100,156,5220,182v120,26,150,,180,e" filled="f" strokeweight="3pt">
                  <v:stroke dashstyle="1 1" endcap="round"/>
                  <v:path arrowok="t" o:connecttype="custom" o:connectlocs="0,313690;228600,115570;685800,214630;1371600,16510;2057400,214630;2971800,16510;3314700,115570;3429000,115570" o:connectangles="0,0,0,0,0,0,0,0"/>
                </v:shape>
                <v:shape id="Freeform 16" o:spid="_x0000_s1040" style="position:absolute;left:6381;top:14084;width:34290;height:3137;visibility:visible;mso-wrap-style:square;v-text-anchor:top" coordsize="5400,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t5EsAA&#10;AADbAAAADwAAAGRycy9kb3ducmV2LnhtbESPT4vCQAzF7wt+hyHC3tapCirVUUQQvOxhq+A1dNI/&#10;2GRKZ2zrt3cWFvaW8N7v5WV3GLlRPXW+dmJgPktAkeTO1lIauF3PXxtQPqBYbJyQgRd5OOwnHztM&#10;rRvkh/oslCqGiE/RQBVCm2rt84oY/cy1JFErXMcY4tqV2nY4xHBu9CJJVpqxlnihwpZOFeWP7Mmx&#10;hmzW9E03zvpiWJfFku96wcZ8TsfjFlSgMfyb/+iLjdwSfn+JA+j9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Pt5EsAAAADbAAAADwAAAAAAAAAAAAAAAACYAgAAZHJzL2Rvd25y&#10;ZXYueG1sUEsFBgAAAAAEAAQA9QAAAIUDAAAAAA==&#10;" path="m,494c90,351,180,208,360,182v180,-26,420,182,720,156c1380,312,1800,26,2160,26v360,,660,312,1080,312c3660,338,4350,52,4680,26,5010,,5100,156,5220,182v120,26,150,,180,e" filled="f" strokeweight="3pt">
                  <v:stroke dashstyle="1 1" endcap="round"/>
                  <v:path arrowok="t" o:connecttype="custom" o:connectlocs="0,313690;228600,115570;685800,214630;1371600,16510;2057400,214630;2971800,16510;3314700,115570;3429000,115570" o:connectangles="0,0,0,0,0,0,0,0"/>
                </v:shape>
                <v:line id="Line 17" o:spid="_x0000_s1041" style="position:absolute;flip:y;visibility:visible;mso-wrap-style:square" from="8388,16065" to="8394,18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SOccQAAADbAAAADwAAAGRycy9kb3ducmV2LnhtbESPQWvCQBCF70L/wzIFL6FurFLa1FVq&#10;VSiIh0YPPQ7ZaRKanQ3ZUeO/dwuCtxne+968mS1616gTdaH2bGA8SkERF97WXBo47DdPr6CCIFts&#10;PJOBCwVYzB8GM8ysP/M3nXIpVQzhkKGBSqTNtA5FRQ7DyLfEUfv1nUOJa1dq2+E5hrtGP6fpi3ZY&#10;c7xQYUufFRV/+dHFGpsdryaTZOl0krzR+ke2qRZjho/9xzsooV7u5hv9ZSM3hf9f4gB6f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JI5xxAAAANsAAAAPAAAAAAAAAAAA&#10;AAAAAKECAABkcnMvZG93bnJldi54bWxQSwUGAAAAAAQABAD5AAAAkgMAAAAA&#10;">
                  <v:stroke endarrow="block"/>
                </v:line>
                <v:shape id="Text Box 18" o:spid="_x0000_s1042" type="#_x0000_t202" style="position:absolute;left:5054;top:18046;width:15520;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m1yMMA&#10;AADbAAAADwAAAGRycy9kb3ducmV2LnhtbESP0WrDMAxF3wf9B6PC3hang4WR1S1bR2B0lLVZP0DE&#10;ahwayyH2kvTv50KhbxL3nqur5XqyrRio941jBYskBUFcOd1wreD4Wzy9gvABWWPrmBRcyMN6NXtY&#10;Yq7dyAcaylCLGMI+RwUmhC6X0leGLPrEdcRRO7neYohrX0vd4xjDbSuf0zSTFhuOFwx2tDFUncs/&#10;qyAix7HYF92P/h53n277kblglHqcT+9vIAJN4W6+0V861n+B6y9xAL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Lm1yMMAAADbAAAADwAAAAAAAAAAAAAAAACYAgAAZHJzL2Rv&#10;d25yZXYueG1sUEsFBgAAAAAEAAQA9QAAAIgDAAAAAA==&#10;" filled="f" fillcolor="#767676" stroked="f">
                  <v:fill rotate="t" focus="50%" type="gradient"/>
                  <v:textbox inset="1.1775mm,.58878mm,1.1775mm,.58878mm">
                    <w:txbxContent>
                      <w:p w:rsidR="00F252E4" w:rsidRPr="00E85D1B" w:rsidRDefault="00F252E4" w:rsidP="00F252E4">
                        <w:pPr>
                          <w:autoSpaceDE w:val="0"/>
                          <w:autoSpaceDN w:val="0"/>
                          <w:adjustRightInd w:val="0"/>
                          <w:jc w:val="center"/>
                          <w:rPr>
                            <w:rFonts w:ascii="Arial" w:hAnsi="Arial" w:cs="宋体"/>
                            <w:color w:val="000000"/>
                            <w:sz w:val="20"/>
                            <w:szCs w:val="32"/>
                            <w:lang w:val="zh-CN"/>
                          </w:rPr>
                        </w:pPr>
                        <w:r w:rsidRPr="00C7061A">
                          <w:rPr>
                            <w:rFonts w:ascii="Arial" w:hAnsi="Arial" w:cs="宋体" w:hint="eastAsia"/>
                            <w:color w:val="000000"/>
                            <w:sz w:val="20"/>
                            <w:szCs w:val="32"/>
                            <w:lang w:val="zh-CN"/>
                          </w:rPr>
                          <w:t>无期现</w:t>
                        </w:r>
                        <w:r>
                          <w:rPr>
                            <w:rFonts w:ascii="Arial" w:hAnsi="Arial" w:cs="宋体" w:hint="eastAsia"/>
                            <w:color w:val="000000"/>
                            <w:sz w:val="20"/>
                            <w:szCs w:val="32"/>
                            <w:lang w:val="zh-CN"/>
                          </w:rPr>
                          <w:t>套利</w:t>
                        </w:r>
                        <w:r w:rsidRPr="00C7061A">
                          <w:rPr>
                            <w:rFonts w:ascii="Arial" w:hAnsi="Arial" w:cs="宋体" w:hint="eastAsia"/>
                            <w:color w:val="000000"/>
                            <w:sz w:val="20"/>
                            <w:szCs w:val="32"/>
                            <w:lang w:val="zh-CN"/>
                          </w:rPr>
                          <w:t>交易区间</w:t>
                        </w:r>
                        <w:r>
                          <w:rPr>
                            <w:rFonts w:ascii="Arial" w:hAnsi="Arial" w:cs="宋体" w:hint="eastAsia"/>
                            <w:color w:val="000000"/>
                            <w:sz w:val="20"/>
                            <w:szCs w:val="32"/>
                            <w:lang w:val="zh-CN"/>
                          </w:rPr>
                          <w:t>下限</w:t>
                        </w:r>
                      </w:p>
                      <w:p w:rsidR="00F252E4" w:rsidRPr="00C7061A" w:rsidRDefault="00F252E4" w:rsidP="00F252E4">
                        <w:pPr>
                          <w:rPr>
                            <w:szCs w:val="32"/>
                          </w:rPr>
                        </w:pPr>
                      </w:p>
                    </w:txbxContent>
                  </v:textbox>
                </v:shape>
                <v:shape id="Text Box 19" o:spid="_x0000_s1043" type="#_x0000_t202" style="position:absolute;left:25723;top:7150;width:15964;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srv8IA&#10;AADbAAAADwAAAGRycy9kb3ducmV2LnhtbESP3YrCMBCF7wXfIYzgnabrRZFqlHWlIMri+vMAQzPb&#10;FJtJaaKtb78RhL2b4ZzvzJnlure1eFDrK8cKPqYJCOLC6YpLBddLPpmD8AFZY+2YFDzJw3o1HCwx&#10;067jEz3OoRQxhH2GCkwITSalLwxZ9FPXEEft17UWQ1zbUuoWuxhuazlLklRarDheMNjQl6Hidr5b&#10;BRG5dvlP3hz1ofveuv0mdcEoNR71nwsQgfrwb37TOx3rp/D6JQ4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ayu/wgAAANsAAAAPAAAAAAAAAAAAAAAAAJgCAABkcnMvZG93&#10;bnJldi54bWxQSwUGAAAAAAQABAD1AAAAhwMAAAAA&#10;" filled="f" fillcolor="#767676" stroked="f">
                  <v:fill rotate="t" focus="50%" type="gradient"/>
                  <v:textbox inset="1.1775mm,.58878mm,1.1775mm,.58878mm">
                    <w:txbxContent>
                      <w:p w:rsidR="00F252E4" w:rsidRPr="00E85D1B" w:rsidRDefault="00F252E4" w:rsidP="00F252E4">
                        <w:pPr>
                          <w:autoSpaceDE w:val="0"/>
                          <w:autoSpaceDN w:val="0"/>
                          <w:adjustRightInd w:val="0"/>
                          <w:jc w:val="center"/>
                          <w:rPr>
                            <w:rFonts w:ascii="Arial" w:hAnsi="Arial" w:cs="宋体"/>
                            <w:color w:val="000000"/>
                            <w:sz w:val="20"/>
                            <w:szCs w:val="32"/>
                            <w:lang w:val="zh-CN"/>
                          </w:rPr>
                        </w:pPr>
                        <w:r w:rsidRPr="00C7061A">
                          <w:rPr>
                            <w:rFonts w:ascii="Arial" w:hAnsi="Arial" w:cs="宋体" w:hint="eastAsia"/>
                            <w:color w:val="000000"/>
                            <w:sz w:val="20"/>
                            <w:szCs w:val="32"/>
                            <w:lang w:val="zh-CN"/>
                          </w:rPr>
                          <w:t>无期现</w:t>
                        </w:r>
                        <w:r>
                          <w:rPr>
                            <w:rFonts w:ascii="Arial" w:hAnsi="Arial" w:cs="宋体" w:hint="eastAsia"/>
                            <w:color w:val="000000"/>
                            <w:sz w:val="20"/>
                            <w:szCs w:val="32"/>
                            <w:lang w:val="zh-CN"/>
                          </w:rPr>
                          <w:t>套利</w:t>
                        </w:r>
                        <w:r w:rsidRPr="00C7061A">
                          <w:rPr>
                            <w:rFonts w:ascii="Arial" w:hAnsi="Arial" w:cs="宋体" w:hint="eastAsia"/>
                            <w:color w:val="000000"/>
                            <w:sz w:val="20"/>
                            <w:szCs w:val="32"/>
                            <w:lang w:val="zh-CN"/>
                          </w:rPr>
                          <w:t>交易区间</w:t>
                        </w:r>
                        <w:r>
                          <w:rPr>
                            <w:rFonts w:ascii="Arial" w:hAnsi="Arial" w:cs="宋体" w:hint="eastAsia"/>
                            <w:color w:val="000000"/>
                            <w:sz w:val="20"/>
                            <w:szCs w:val="32"/>
                            <w:lang w:val="zh-CN"/>
                          </w:rPr>
                          <w:t>上限</w:t>
                        </w:r>
                      </w:p>
                    </w:txbxContent>
                  </v:textbox>
                </v:shape>
                <v:line id="Line 20" o:spid="_x0000_s1044" style="position:absolute;visibility:visible;mso-wrap-style:square" from="33724,9131" to="33731,11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CQSMIAAADbAAAADwAAAGRycy9kb3ducmV2LnhtbERPS2sCMRC+F/wPYYTealYPbt0apbgI&#10;HmrBB57HzXSzdDNZNnFN/30jFHqbj+85y3W0rRio941jBdNJBoK4crrhWsH5tH15BeEDssbWMSn4&#10;IQ/r1ehpiYV2dz7QcAy1SCHsC1RgQugKKX1lyKKfuI44cV+utxgS7Gupe7yncNvKWZbNpcWGU4PB&#10;jjaGqu/jzSrITXmQuSw/Tp/l0EwXcR8v14VSz+P4/gYiUAz/4j/3Tqf5OTx+SQf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VCQSMIAAADbAAAADwAAAAAAAAAAAAAA&#10;AAChAgAAZHJzL2Rvd25yZXYueG1sUEsFBgAAAAAEAAQA+QAAAJADAAAAAA==&#10;">
                  <v:stroke endarrow="block"/>
                </v:line>
                <v:oval id="Oval 21" o:spid="_x0000_s1045" style="position:absolute;left:15525;top:7924;width:5715;height:39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vNFsIA&#10;AADbAAAADwAAAGRycy9kb3ducmV2LnhtbESPTWvDMAyG74P9B6PBbovTso6Rxi1lZZAe23Ww3USs&#10;JmGxHGIvH/++OhR6k9D78SjfTq5VA/Wh8WxgkaSgiEtvG64MnL8+X95BhYhssfVMBmYKsN08PuSY&#10;WT/ykYZTrJSEcMjQQB1jl2kdypochsR3xHK7+N5hlLWvtO1xlHDX6mWavmmHDUtDjR191FT+nf6d&#10;9O6K37FJ/WLGzv5U3/sVvs4HY56fpt0aVKQp3sU3d2EFX2DlFxlAb6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G80WwgAAANsAAAAPAAAAAAAAAAAAAAAAAJgCAABkcnMvZG93&#10;bnJldi54bWxQSwUGAAAAAAQABAD1AAAAhwMAAAAA&#10;" filled="f">
                  <v:stroke dashstyle="dashDot"/>
                </v:oval>
                <v:oval id="Oval 22" o:spid="_x0000_s1046" style="position:absolute;left:34290;top:14859;width:5715;height:39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dojcIA&#10;AADbAAAADwAAAGRycy9kb3ducmV2LnhtbESPQYvCMBCF78L+hzAL3jStqKzVVGRF0KO6C+ttaMa2&#10;bDMpTbTtvzeC4G2G9+Z9b1brzlTiTo0rLSuIxxEI4szqknMFP+fd6AuE88gaK8ukoCcH6/RjsMJE&#10;25aPdD/5XIQQdgkqKLyvEyldVpBBN7Y1cdCutjHow9rkUjfYhnBTyUkUzaXBkgOhwJq+C8r+TzcT&#10;uJv9pS0jG/dY67/8dzvDaX9QavjZbZYgPHX+bX5d73Wov4DnL2EAm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V2iNwgAAANsAAAAPAAAAAAAAAAAAAAAAAJgCAABkcnMvZG93&#10;bnJldi54bWxQSwUGAAAAAAQABAD1AAAAhwMAAAAA&#10;" filled="f">
                  <v:stroke dashstyle="dashDot"/>
                </v:oval>
                <v:line id="Line 23" o:spid="_x0000_s1047" style="position:absolute;flip:y;visibility:visible;mso-wrap-style:square" from="35433,18535" to="35439,20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NCz8QAAADbAAAADwAAAGRycy9kb3ducmV2LnhtbESPwUrDQBCG74LvsIzQS2g3bUE0dhO0&#10;tiBID9YePA7ZMQlmZ0N2bOPbOwfB4/DP/803m2oKvTnTmLrIDpaLHAxxHX3HjYPT+35+ByYJssc+&#10;Mjn4oQRVeX21wcLHC7/R+SiNUQinAh20IkNhbapbCpgWcSDW7DOOAUXHsbF+xIvCQ29XeX5rA3as&#10;F1ocaNtS/XX8DqqxP/Dzep09BZtl97T7kNfcinOzm+nxAYzQJP/Lf+0X72Cl9vqLAsC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c0LPxAAAANsAAAAPAAAAAAAAAAAA&#10;AAAAAKECAABkcnMvZG93bnJldi54bWxQSwUGAAAAAAQABAD5AAAAkgMAAAAA&#10;">
                  <v:stroke endarrow="block"/>
                </v:line>
                <v:line id="Line 24" o:spid="_x0000_s1048" style="position:absolute;visibility:visible;mso-wrap-style:square" from="18288,5943" to="18294,7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lnGsQAAADbAAAADwAAAGRycy9kb3ducmV2LnhtbESPQWsCMRSE7wX/Q3iCt5pdD1pXo4hL&#10;wYMtqKXn5+a5Wdy8LJt0Tf99Uyj0OMzMN8x6G20rBup941hBPs1AEFdON1wr+Li8Pr+A8AFZY+uY&#10;FHyTh+1m9LTGQrsHn2g4h1okCPsCFZgQukJKXxmy6KeuI07ezfUWQ5J9LXWPjwS3rZxl2VxabDgt&#10;GOxob6i6n7+sgoUpT3Ihy+PlvRyafBnf4ud1qdRkHHcrEIFi+A//tQ9awS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mWcaxAAAANsAAAAPAAAAAAAAAAAA&#10;AAAAAKECAABkcnMvZG93bnJldi54bWxQSwUGAAAAAAQABAD5AAAAkgMAAAAA&#10;">
                  <v:stroke endarrow="block"/>
                </v:line>
                <v:shape id="Text Box 25" o:spid="_x0000_s1049" type="#_x0000_t202" style="position:absolute;left:9683;top:3962;width:15367;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znAcIA&#10;AADbAAAADwAAAGRycy9kb3ducmV2LnhtbESP3YrCMBSE7xd8h3AE79bUXohUo/hDQZRl158HODTH&#10;pticlCba+vYbYWEvh5lvhlmseluLJ7W+cqxgMk5AEBdOV1wquF7yzxkIH5A11o5JwYs8rJaDjwVm&#10;2nV8ouc5lCKWsM9QgQmhyaT0hSGLfuwa4ujdXGsxRNmWUrfYxXJbyzRJptJixXHBYENbQ8X9/LAK&#10;InLt8p+8+dbH7mvnDpupC0ap0bBfz0EE6sN/+I/eawVpCu8v8QfI5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POcBwgAAANsAAAAPAAAAAAAAAAAAAAAAAJgCAABkcnMvZG93&#10;bnJldi54bWxQSwUGAAAAAAQABAD1AAAAhwMAAAAA&#10;" filled="f" fillcolor="#767676" stroked="f">
                  <v:fill rotate="t" focus="50%" type="gradient"/>
                  <v:textbox inset="1.1775mm,.58878mm,1.1775mm,.58878mm">
                    <w:txbxContent>
                      <w:p w:rsidR="00F252E4" w:rsidRPr="00E85D1B" w:rsidRDefault="00F252E4" w:rsidP="00F252E4">
                        <w:pPr>
                          <w:autoSpaceDE w:val="0"/>
                          <w:autoSpaceDN w:val="0"/>
                          <w:adjustRightInd w:val="0"/>
                          <w:jc w:val="center"/>
                          <w:rPr>
                            <w:rFonts w:ascii="Arial" w:hAnsi="Arial" w:cs="宋体"/>
                            <w:color w:val="000000"/>
                            <w:sz w:val="20"/>
                            <w:szCs w:val="32"/>
                            <w:lang w:val="zh-CN"/>
                          </w:rPr>
                        </w:pPr>
                        <w:r>
                          <w:rPr>
                            <w:rFonts w:ascii="Arial" w:hAnsi="Arial" w:cs="宋体" w:hint="eastAsia"/>
                            <w:color w:val="000000"/>
                            <w:sz w:val="20"/>
                            <w:szCs w:val="32"/>
                            <w:lang w:val="zh-CN"/>
                          </w:rPr>
                          <w:t>正向期现套利交易机会</w:t>
                        </w:r>
                      </w:p>
                    </w:txbxContent>
                  </v:textbox>
                </v:shape>
                <v:shape id="Text Box 26" o:spid="_x0000_s1050" type="#_x0000_t202" style="position:absolute;left:28575;top:20027;width:16002;height:2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BCmsEA&#10;AADbAAAADwAAAGRycy9kb3ducmV2LnhtbESP3YrCMBSE7xd8h3AE79ZUBVmqUfyhsCjL+vcAh+bY&#10;FJuT0mRtfXuzIHg5zHwzzHzZ2UrcqfGlYwWjYQKCOHe65ELB5Zx9foHwAVlj5ZgUPMjDctH7mGOq&#10;XctHup9CIWIJ+xQVmBDqVEqfG7Loh64mjt7VNRZDlE0hdYNtLLeVHCfJVFosOS4YrGljKL+d/qyC&#10;iFza7JDVv3rf/mzdbj11wSg16HerGYhAXXiHX/S3VjCewP+X+APk4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ZwQprBAAAA2wAAAA8AAAAAAAAAAAAAAAAAmAIAAGRycy9kb3du&#10;cmV2LnhtbFBLBQYAAAAABAAEAPUAAACGAwAAAAA=&#10;" filled="f" fillcolor="#767676" stroked="f">
                  <v:fill rotate="t" focus="50%" type="gradient"/>
                  <v:textbox inset="1.1775mm,.58878mm,1.1775mm,.58878mm">
                    <w:txbxContent>
                      <w:p w:rsidR="00F252E4" w:rsidRPr="00E85D1B" w:rsidRDefault="00F252E4" w:rsidP="00F252E4">
                        <w:pPr>
                          <w:autoSpaceDE w:val="0"/>
                          <w:autoSpaceDN w:val="0"/>
                          <w:adjustRightInd w:val="0"/>
                          <w:jc w:val="center"/>
                          <w:rPr>
                            <w:rFonts w:ascii="Arial" w:hAnsi="Arial" w:cs="宋体"/>
                            <w:color w:val="000000"/>
                            <w:sz w:val="20"/>
                            <w:szCs w:val="32"/>
                            <w:lang w:val="zh-CN"/>
                          </w:rPr>
                        </w:pPr>
                        <w:r>
                          <w:rPr>
                            <w:rFonts w:ascii="Arial" w:hAnsi="Arial" w:cs="宋体" w:hint="eastAsia"/>
                            <w:color w:val="000000"/>
                            <w:sz w:val="20"/>
                            <w:szCs w:val="32"/>
                            <w:lang w:val="zh-CN"/>
                          </w:rPr>
                          <w:t>反向期现套利交易机会</w:t>
                        </w:r>
                      </w:p>
                      <w:p w:rsidR="00F252E4" w:rsidRPr="00C7061A" w:rsidRDefault="00F252E4" w:rsidP="00F252E4">
                        <w:pPr>
                          <w:rPr>
                            <w:szCs w:val="32"/>
                          </w:rPr>
                        </w:pPr>
                      </w:p>
                    </w:txbxContent>
                  </v:textbox>
                </v:shape>
                <w10:anchorlock/>
              </v:group>
            </w:pict>
          </mc:Fallback>
        </mc:AlternateContent>
      </w:r>
    </w:p>
    <w:p w:rsidR="00FE4471" w:rsidRPr="00F252E4" w:rsidRDefault="00FE4471" w:rsidP="00F435E2">
      <w:pPr>
        <w:rPr>
          <w:rFonts w:hint="eastAsia"/>
        </w:rPr>
      </w:pPr>
    </w:p>
    <w:p w:rsidR="005609E4" w:rsidRPr="00FE4471" w:rsidRDefault="00FE4471" w:rsidP="00FE4471">
      <w:pPr>
        <w:rPr>
          <w:rFonts w:asciiTheme="minorEastAsia" w:hAnsiTheme="minorEastAsia"/>
          <w:sz w:val="24"/>
          <w:szCs w:val="24"/>
        </w:rPr>
      </w:pPr>
      <w:r w:rsidRPr="00FE4471">
        <w:rPr>
          <w:rFonts w:asciiTheme="minorEastAsia" w:hAnsiTheme="minorEastAsia" w:hint="eastAsia"/>
          <w:sz w:val="24"/>
          <w:szCs w:val="24"/>
        </w:rPr>
        <w:t>2、</w:t>
      </w:r>
      <w:r w:rsidR="005609E4" w:rsidRPr="00FE4471">
        <w:rPr>
          <w:rFonts w:asciiTheme="minorEastAsia" w:hAnsiTheme="minorEastAsia" w:hint="eastAsia"/>
          <w:sz w:val="24"/>
          <w:szCs w:val="24"/>
        </w:rPr>
        <w:t>多因子</w:t>
      </w:r>
      <w:r w:rsidR="00B73995" w:rsidRPr="00FE4471">
        <w:rPr>
          <w:rFonts w:asciiTheme="minorEastAsia" w:hAnsiTheme="minorEastAsia"/>
          <w:sz w:val="24"/>
          <w:szCs w:val="24"/>
        </w:rPr>
        <w:t>A</w:t>
      </w:r>
      <w:r w:rsidR="005609E4" w:rsidRPr="00FE4471">
        <w:rPr>
          <w:rFonts w:asciiTheme="minorEastAsia" w:hAnsiTheme="minorEastAsia" w:hint="eastAsia"/>
          <w:sz w:val="24"/>
          <w:szCs w:val="24"/>
        </w:rPr>
        <w:t>lpha</w:t>
      </w:r>
      <w:r w:rsidR="005609E4" w:rsidRPr="00FE4471">
        <w:rPr>
          <w:rFonts w:asciiTheme="minorEastAsia" w:hAnsiTheme="minorEastAsia"/>
          <w:sz w:val="24"/>
          <w:szCs w:val="24"/>
        </w:rPr>
        <w:t>策略</w:t>
      </w:r>
    </w:p>
    <w:p w:rsidR="00034567" w:rsidRPr="00FE4471" w:rsidRDefault="00034567" w:rsidP="00034567">
      <w:pPr>
        <w:pStyle w:val="a5"/>
        <w:spacing w:line="360" w:lineRule="auto"/>
        <w:ind w:firstLine="480"/>
        <w:jc w:val="left"/>
        <w:rPr>
          <w:rFonts w:asciiTheme="minorEastAsia" w:hAnsiTheme="minorEastAsia"/>
          <w:sz w:val="24"/>
          <w:szCs w:val="24"/>
        </w:rPr>
      </w:pPr>
      <w:r w:rsidRPr="00FE4471">
        <w:rPr>
          <w:rFonts w:asciiTheme="minorEastAsia" w:hAnsiTheme="minorEastAsia" w:hint="eastAsia"/>
          <w:sz w:val="24"/>
          <w:szCs w:val="24"/>
        </w:rPr>
        <w:t>多因子Alpha策略来源于市场中性的股票多空策略，它是基于经典的CAP</w:t>
      </w:r>
      <w:r w:rsidRPr="00FE4471">
        <w:rPr>
          <w:rFonts w:asciiTheme="minorEastAsia" w:hAnsiTheme="minorEastAsia"/>
          <w:sz w:val="24"/>
          <w:szCs w:val="24"/>
        </w:rPr>
        <w:t>M</w:t>
      </w:r>
      <w:r w:rsidRPr="00FE4471">
        <w:rPr>
          <w:rFonts w:asciiTheme="minorEastAsia" w:hAnsiTheme="minorEastAsia" w:hint="eastAsia"/>
          <w:sz w:val="24"/>
          <w:szCs w:val="24"/>
        </w:rPr>
        <w:t xml:space="preserve">（Capital </w:t>
      </w:r>
      <w:r w:rsidR="00ED6A37">
        <w:rPr>
          <w:rFonts w:asciiTheme="minorEastAsia" w:hAnsiTheme="minorEastAsia"/>
          <w:sz w:val="24"/>
          <w:szCs w:val="24"/>
        </w:rPr>
        <w:t>A</w:t>
      </w:r>
      <w:r w:rsidR="00ED6A37">
        <w:rPr>
          <w:rFonts w:asciiTheme="minorEastAsia" w:hAnsiTheme="minorEastAsia" w:hint="eastAsia"/>
          <w:sz w:val="24"/>
          <w:szCs w:val="24"/>
        </w:rPr>
        <w:t xml:space="preserve">sset </w:t>
      </w:r>
      <w:r w:rsidR="00ED6A37">
        <w:rPr>
          <w:rFonts w:asciiTheme="minorEastAsia" w:hAnsiTheme="minorEastAsia"/>
          <w:sz w:val="24"/>
          <w:szCs w:val="24"/>
        </w:rPr>
        <w:t>P</w:t>
      </w:r>
      <w:r w:rsidR="00ED6A37">
        <w:rPr>
          <w:rFonts w:asciiTheme="minorEastAsia" w:hAnsiTheme="minorEastAsia" w:hint="eastAsia"/>
          <w:sz w:val="24"/>
          <w:szCs w:val="24"/>
        </w:rPr>
        <w:t xml:space="preserve">ricing </w:t>
      </w:r>
      <w:r w:rsidR="00ED6A37">
        <w:rPr>
          <w:rFonts w:asciiTheme="minorEastAsia" w:hAnsiTheme="minorEastAsia"/>
          <w:sz w:val="24"/>
          <w:szCs w:val="24"/>
        </w:rPr>
        <w:t>M</w:t>
      </w:r>
      <w:r w:rsidRPr="00FE4471">
        <w:rPr>
          <w:rFonts w:asciiTheme="minorEastAsia" w:hAnsiTheme="minorEastAsia" w:hint="eastAsia"/>
          <w:sz w:val="24"/>
          <w:szCs w:val="24"/>
        </w:rPr>
        <w:t>odel 资本资产定价模型）理论，基本思想是通过</w:t>
      </w:r>
      <w:r w:rsidRPr="00FE4471">
        <w:rPr>
          <w:rFonts w:asciiTheme="minorEastAsia" w:hAnsiTheme="minorEastAsia" w:hint="eastAsia"/>
          <w:sz w:val="24"/>
          <w:szCs w:val="24"/>
        </w:rPr>
        <w:lastRenderedPageBreak/>
        <w:t>卖空期货等衍生品，将投资组合的超额收益从组合中分离出来，这样组合投资者就不用承担或者承担较少的系统性风险。</w:t>
      </w:r>
    </w:p>
    <w:p w:rsidR="00034567" w:rsidRPr="00577653" w:rsidRDefault="00034567" w:rsidP="00577653">
      <w:pPr>
        <w:spacing w:line="360" w:lineRule="auto"/>
        <w:ind w:firstLineChars="600" w:firstLine="1440"/>
        <w:jc w:val="left"/>
        <w:rPr>
          <w:rFonts w:asciiTheme="minorEastAsia" w:hAnsiTheme="minorEastAsia"/>
          <w:sz w:val="24"/>
          <w:szCs w:val="24"/>
        </w:rPr>
      </w:pPr>
      <w:r w:rsidRPr="00577653">
        <w:rPr>
          <w:rFonts w:asciiTheme="minorEastAsia" w:hAnsiTheme="minorEastAsia" w:hint="eastAsia"/>
          <w:sz w:val="24"/>
          <w:szCs w:val="24"/>
        </w:rPr>
        <w:t>CAPM</w:t>
      </w:r>
      <w:r w:rsidR="00577653" w:rsidRPr="00577653">
        <w:rPr>
          <w:rFonts w:asciiTheme="minorEastAsia" w:hAnsiTheme="minorEastAsia" w:hint="eastAsia"/>
          <w:sz w:val="24"/>
          <w:szCs w:val="24"/>
        </w:rPr>
        <w:t>模型</w:t>
      </w:r>
      <w:r w:rsidR="00577653" w:rsidRPr="00577653">
        <w:rPr>
          <w:rFonts w:asciiTheme="minorEastAsia" w:hAnsiTheme="minorEastAsia"/>
          <w:sz w:val="24"/>
          <w:szCs w:val="24"/>
        </w:rPr>
        <w:t>的</w:t>
      </w:r>
      <w:r w:rsidRPr="00577653">
        <w:rPr>
          <w:rFonts w:asciiTheme="minorEastAsia" w:hAnsiTheme="minorEastAsia" w:hint="eastAsia"/>
          <w:sz w:val="24"/>
          <w:szCs w:val="24"/>
        </w:rPr>
        <w:t xml:space="preserve">表达式为 </w:t>
      </w:r>
      <w:r w:rsidRPr="00FE4471">
        <w:rPr>
          <w:rFonts w:hint="eastAsia"/>
        </w:rPr>
        <w:object w:dxaOrig="2600" w:dyaOrig="380">
          <v:shape id="_x0000_i1025" type="#_x0000_t75" style="width:129.75pt;height:18.75pt" o:ole="">
            <v:imagedata r:id="rId7" o:title=""/>
          </v:shape>
          <o:OLEObject Type="Embed" ProgID="Equation.DSMT4" ShapeID="_x0000_i1025" DrawAspect="Content" ObjectID="_1472648247" r:id="rId8"/>
        </w:object>
      </w:r>
      <w:r w:rsidR="00577653">
        <w:rPr>
          <w:rFonts w:asciiTheme="minorEastAsia" w:hAnsiTheme="minorEastAsia" w:hint="eastAsia"/>
          <w:sz w:val="24"/>
          <w:szCs w:val="24"/>
        </w:rPr>
        <w:t>，</w:t>
      </w:r>
    </w:p>
    <w:p w:rsidR="00034567" w:rsidRPr="00FE4471" w:rsidRDefault="00034567" w:rsidP="00577653">
      <w:pPr>
        <w:pStyle w:val="a5"/>
        <w:spacing w:line="360" w:lineRule="auto"/>
        <w:ind w:firstLineChars="225" w:firstLine="540"/>
        <w:jc w:val="left"/>
        <w:rPr>
          <w:rFonts w:asciiTheme="minorEastAsia" w:hAnsiTheme="minorEastAsia" w:hint="eastAsia"/>
          <w:sz w:val="24"/>
          <w:szCs w:val="24"/>
        </w:rPr>
      </w:pPr>
      <w:r w:rsidRPr="00FE4471">
        <w:rPr>
          <w:rFonts w:asciiTheme="minorEastAsia" w:hAnsiTheme="minorEastAsia" w:hint="eastAsia"/>
          <w:sz w:val="24"/>
          <w:szCs w:val="24"/>
        </w:rPr>
        <w:t>其中</w:t>
      </w:r>
      <w:r w:rsidRPr="00FE4471">
        <w:rPr>
          <w:rFonts w:asciiTheme="minorEastAsia" w:hAnsiTheme="minorEastAsia" w:hint="eastAsia"/>
          <w:sz w:val="24"/>
          <w:szCs w:val="24"/>
        </w:rPr>
        <w:object w:dxaOrig="540" w:dyaOrig="360">
          <v:shape id="_x0000_i1026" type="#_x0000_t75" style="width:27pt;height:18pt" o:ole="">
            <v:imagedata r:id="rId9" o:title=""/>
          </v:shape>
          <o:OLEObject Type="Embed" ProgID="Equation.DSMT4" ShapeID="_x0000_i1026" DrawAspect="Content" ObjectID="_1472648248" r:id="rId10"/>
        </w:object>
      </w:r>
      <w:r w:rsidRPr="00FE4471">
        <w:rPr>
          <w:rFonts w:asciiTheme="minorEastAsia" w:hAnsiTheme="minorEastAsia" w:hint="eastAsia"/>
          <w:sz w:val="24"/>
          <w:szCs w:val="24"/>
        </w:rPr>
        <w:t>为股票</w:t>
      </w:r>
      <w:r w:rsidRPr="00FE4471">
        <w:rPr>
          <w:rFonts w:asciiTheme="minorEastAsia" w:hAnsiTheme="minorEastAsia" w:hint="eastAsia"/>
          <w:sz w:val="24"/>
          <w:szCs w:val="24"/>
        </w:rPr>
        <w:object w:dxaOrig="139" w:dyaOrig="260">
          <v:shape id="_x0000_i1027" type="#_x0000_t75" style="width:6.75pt;height:12.75pt" o:ole="">
            <v:imagedata r:id="rId11" o:title=""/>
          </v:shape>
          <o:OLEObject Type="Embed" ProgID="Equation.DSMT4" ShapeID="_x0000_i1027" DrawAspect="Content" ObjectID="_1472648249" r:id="rId12"/>
        </w:object>
      </w:r>
      <w:r w:rsidRPr="00FE4471">
        <w:rPr>
          <w:rFonts w:asciiTheme="minorEastAsia" w:hAnsiTheme="minorEastAsia" w:hint="eastAsia"/>
          <w:sz w:val="24"/>
          <w:szCs w:val="24"/>
        </w:rPr>
        <w:t>的期望收益，</w:t>
      </w:r>
      <w:r w:rsidRPr="00FE4471">
        <w:rPr>
          <w:rFonts w:asciiTheme="minorEastAsia" w:hAnsiTheme="minorEastAsia" w:hint="eastAsia"/>
          <w:sz w:val="24"/>
          <w:szCs w:val="24"/>
        </w:rPr>
        <w:object w:dxaOrig="620" w:dyaOrig="360">
          <v:shape id="_x0000_i1028" type="#_x0000_t75" style="width:30.75pt;height:18pt" o:ole="">
            <v:imagedata r:id="rId13" o:title=""/>
          </v:shape>
          <o:OLEObject Type="Embed" ProgID="Equation.DSMT4" ShapeID="_x0000_i1028" DrawAspect="Content" ObjectID="_1472648250" r:id="rId14"/>
        </w:object>
      </w:r>
      <w:r w:rsidRPr="00FE4471">
        <w:rPr>
          <w:rFonts w:asciiTheme="minorEastAsia" w:hAnsiTheme="minorEastAsia" w:hint="eastAsia"/>
          <w:sz w:val="24"/>
          <w:szCs w:val="24"/>
        </w:rPr>
        <w:t>为市场指数的期望收益。</w:t>
      </w:r>
      <w:r w:rsidRPr="00FE4471">
        <w:rPr>
          <w:rFonts w:asciiTheme="minorEastAsia" w:hAnsiTheme="minorEastAsia" w:hint="eastAsia"/>
          <w:sz w:val="24"/>
          <w:szCs w:val="24"/>
        </w:rPr>
        <w:object w:dxaOrig="240" w:dyaOrig="380">
          <v:shape id="_x0000_i1029" type="#_x0000_t75" style="width:12pt;height:18.75pt" o:ole="">
            <v:imagedata r:id="rId15" o:title=""/>
          </v:shape>
          <o:OLEObject Type="Embed" ProgID="Equation.DSMT4" ShapeID="_x0000_i1029" DrawAspect="Content" ObjectID="_1472648251" r:id="rId16"/>
        </w:object>
      </w:r>
      <w:r w:rsidRPr="00FE4471">
        <w:rPr>
          <w:rFonts w:asciiTheme="minorEastAsia" w:hAnsiTheme="minorEastAsia" w:hint="eastAsia"/>
          <w:sz w:val="24"/>
          <w:szCs w:val="24"/>
        </w:rPr>
        <w:t>为无风险收益率，</w:t>
      </w:r>
      <w:r w:rsidRPr="00FE4471">
        <w:rPr>
          <w:rFonts w:asciiTheme="minorEastAsia" w:hAnsiTheme="minorEastAsia" w:hint="eastAsia"/>
          <w:sz w:val="24"/>
          <w:szCs w:val="24"/>
        </w:rPr>
        <w:object w:dxaOrig="260" w:dyaOrig="360">
          <v:shape id="_x0000_i1030" type="#_x0000_t75" style="width:12.75pt;height:18pt" o:ole="">
            <v:imagedata r:id="rId17" o:title=""/>
          </v:shape>
          <o:OLEObject Type="Embed" ProgID="Equation.DSMT4" ShapeID="_x0000_i1030" DrawAspect="Content" ObjectID="_1472648252" r:id="rId18"/>
        </w:object>
      </w:r>
      <w:r w:rsidRPr="00FE4471">
        <w:rPr>
          <w:rFonts w:asciiTheme="minorEastAsia" w:hAnsiTheme="minorEastAsia" w:hint="eastAsia"/>
          <w:sz w:val="24"/>
          <w:szCs w:val="24"/>
        </w:rPr>
        <w:t>是股票</w:t>
      </w:r>
      <w:r w:rsidRPr="00FE4471">
        <w:rPr>
          <w:rFonts w:asciiTheme="minorEastAsia" w:hAnsiTheme="minorEastAsia" w:hint="eastAsia"/>
          <w:sz w:val="24"/>
          <w:szCs w:val="24"/>
        </w:rPr>
        <w:object w:dxaOrig="139" w:dyaOrig="260">
          <v:shape id="_x0000_i1031" type="#_x0000_t75" style="width:6.75pt;height:12.75pt" o:ole="">
            <v:imagedata r:id="rId11" o:title=""/>
          </v:shape>
          <o:OLEObject Type="Embed" ProgID="Equation.DSMT4" ShapeID="_x0000_i1031" DrawAspect="Content" ObjectID="_1472648253" r:id="rId19"/>
        </w:object>
      </w:r>
      <w:r w:rsidRPr="00FE4471">
        <w:rPr>
          <w:rFonts w:asciiTheme="minorEastAsia" w:hAnsiTheme="minorEastAsia" w:hint="eastAsia"/>
          <w:sz w:val="24"/>
          <w:szCs w:val="24"/>
        </w:rPr>
        <w:t>的</w:t>
      </w:r>
      <w:r w:rsidR="00577653">
        <w:rPr>
          <w:rFonts w:asciiTheme="minorEastAsia" w:hAnsiTheme="minorEastAsia"/>
          <w:sz w:val="24"/>
          <w:szCs w:val="24"/>
        </w:rPr>
        <w:t>B</w:t>
      </w:r>
      <w:r w:rsidRPr="00FE4471">
        <w:rPr>
          <w:rFonts w:asciiTheme="minorEastAsia" w:hAnsiTheme="minorEastAsia" w:hint="eastAsia"/>
          <w:sz w:val="24"/>
          <w:szCs w:val="24"/>
        </w:rPr>
        <w:t>eta值，代表证券</w:t>
      </w:r>
      <w:r w:rsidRPr="00FE4471">
        <w:rPr>
          <w:rFonts w:asciiTheme="minorEastAsia" w:hAnsiTheme="minorEastAsia" w:hint="eastAsia"/>
          <w:sz w:val="24"/>
          <w:szCs w:val="24"/>
        </w:rPr>
        <w:object w:dxaOrig="139" w:dyaOrig="260">
          <v:shape id="_x0000_i1032" type="#_x0000_t75" style="width:6.75pt;height:12.75pt" o:ole="">
            <v:imagedata r:id="rId11" o:title=""/>
          </v:shape>
          <o:OLEObject Type="Embed" ProgID="Equation.DSMT4" ShapeID="_x0000_i1032" DrawAspect="Content" ObjectID="_1472648254" r:id="rId20"/>
        </w:object>
      </w:r>
      <w:r w:rsidRPr="00FE4471">
        <w:rPr>
          <w:rFonts w:asciiTheme="minorEastAsia" w:hAnsiTheme="minorEastAsia" w:hint="eastAsia"/>
          <w:sz w:val="24"/>
          <w:szCs w:val="24"/>
        </w:rPr>
        <w:t>的系统</w:t>
      </w:r>
      <w:r w:rsidR="00767BCA" w:rsidRPr="00FE4471">
        <w:rPr>
          <w:rFonts w:asciiTheme="minorEastAsia" w:hAnsiTheme="minorEastAsia" w:hint="eastAsia"/>
          <w:sz w:val="24"/>
          <w:szCs w:val="24"/>
        </w:rPr>
        <w:t>性</w:t>
      </w:r>
      <w:r w:rsidRPr="00FE4471">
        <w:rPr>
          <w:rFonts w:asciiTheme="minorEastAsia" w:hAnsiTheme="minorEastAsia" w:hint="eastAsia"/>
          <w:sz w:val="24"/>
          <w:szCs w:val="24"/>
        </w:rPr>
        <w:t>风险</w:t>
      </w:r>
      <w:r w:rsidR="00577653">
        <w:rPr>
          <w:rFonts w:asciiTheme="minorEastAsia" w:hAnsiTheme="minorEastAsia" w:hint="eastAsia"/>
          <w:sz w:val="24"/>
          <w:szCs w:val="24"/>
        </w:rPr>
        <w:t>。</w:t>
      </w:r>
    </w:p>
    <w:p w:rsidR="00034567" w:rsidRPr="00FE4471" w:rsidRDefault="00034567" w:rsidP="00B2538F">
      <w:pPr>
        <w:pStyle w:val="a5"/>
        <w:spacing w:line="360" w:lineRule="auto"/>
        <w:ind w:firstLineChars="225" w:firstLine="540"/>
        <w:jc w:val="left"/>
        <w:rPr>
          <w:rFonts w:asciiTheme="minorEastAsia" w:hAnsiTheme="minorEastAsia"/>
          <w:sz w:val="24"/>
          <w:szCs w:val="24"/>
        </w:rPr>
      </w:pPr>
      <w:r w:rsidRPr="00FE4471">
        <w:rPr>
          <w:rFonts w:asciiTheme="minorEastAsia" w:hAnsiTheme="minorEastAsia" w:hint="eastAsia"/>
          <w:sz w:val="24"/>
          <w:szCs w:val="24"/>
        </w:rPr>
        <w:t>我们可以根据CAPM模型估计出股票投资的超额收益率，表达式为</w:t>
      </w:r>
      <w:r w:rsidRPr="00FE4471">
        <w:rPr>
          <w:rFonts w:asciiTheme="minorEastAsia" w:hAnsiTheme="minorEastAsia" w:hint="eastAsia"/>
          <w:sz w:val="24"/>
          <w:szCs w:val="24"/>
        </w:rPr>
        <w:object w:dxaOrig="2760" w:dyaOrig="380">
          <v:shape id="_x0000_i1033" type="#_x0000_t75" style="width:138pt;height:18.75pt" o:ole="">
            <v:imagedata r:id="rId21" o:title=""/>
          </v:shape>
          <o:OLEObject Type="Embed" ProgID="Equation.DSMT4" ShapeID="_x0000_i1033" DrawAspect="Content" ObjectID="_1472648255" r:id="rId22"/>
        </w:object>
      </w:r>
      <w:r w:rsidRPr="00FE4471">
        <w:rPr>
          <w:rFonts w:asciiTheme="minorEastAsia" w:hAnsiTheme="minorEastAsia" w:hint="eastAsia"/>
          <w:sz w:val="24"/>
          <w:szCs w:val="24"/>
        </w:rPr>
        <w:t>，</w:t>
      </w:r>
      <w:r w:rsidRPr="00FE4471">
        <w:rPr>
          <w:rFonts w:asciiTheme="minorEastAsia" w:hAnsiTheme="minorEastAsia" w:hint="eastAsia"/>
          <w:sz w:val="24"/>
          <w:szCs w:val="24"/>
        </w:rPr>
        <w:object w:dxaOrig="260" w:dyaOrig="360">
          <v:shape id="_x0000_i1034" type="#_x0000_t75" style="width:12.75pt;height:18pt" o:ole="">
            <v:imagedata r:id="rId23" o:title=""/>
          </v:shape>
          <o:OLEObject Type="Embed" ProgID="Equation.DSMT4" ShapeID="_x0000_i1034" DrawAspect="Content" ObjectID="_1472648256" r:id="rId24"/>
        </w:object>
      </w:r>
      <w:r w:rsidRPr="00FE4471">
        <w:rPr>
          <w:rFonts w:asciiTheme="minorEastAsia" w:hAnsiTheme="minorEastAsia" w:hint="eastAsia"/>
          <w:sz w:val="24"/>
          <w:szCs w:val="24"/>
        </w:rPr>
        <w:t>代表股票</w:t>
      </w:r>
      <w:r w:rsidRPr="00FE4471">
        <w:rPr>
          <w:rFonts w:asciiTheme="minorEastAsia" w:hAnsiTheme="minorEastAsia" w:hint="eastAsia"/>
          <w:sz w:val="24"/>
          <w:szCs w:val="24"/>
        </w:rPr>
        <w:object w:dxaOrig="139" w:dyaOrig="260">
          <v:shape id="_x0000_i1035" type="#_x0000_t75" style="width:6.75pt;height:12.75pt" o:ole="">
            <v:imagedata r:id="rId11" o:title=""/>
          </v:shape>
          <o:OLEObject Type="Embed" ProgID="Equation.DSMT4" ShapeID="_x0000_i1035" DrawAspect="Content" ObjectID="_1472648257" r:id="rId25"/>
        </w:object>
      </w:r>
      <w:r w:rsidRPr="00FE4471">
        <w:rPr>
          <w:rFonts w:asciiTheme="minorEastAsia" w:hAnsiTheme="minorEastAsia" w:hint="eastAsia"/>
          <w:sz w:val="24"/>
          <w:szCs w:val="24"/>
        </w:rPr>
        <w:t>的Alpha为超额收益率。</w:t>
      </w:r>
      <w:r w:rsidR="00EF5F8D">
        <w:rPr>
          <w:rFonts w:asciiTheme="minorEastAsia" w:hAnsiTheme="minorEastAsia" w:hint="eastAsia"/>
          <w:sz w:val="24"/>
          <w:szCs w:val="24"/>
        </w:rPr>
        <w:t>由</w:t>
      </w:r>
      <w:r w:rsidRPr="00FE4471">
        <w:rPr>
          <w:rFonts w:asciiTheme="minorEastAsia" w:hAnsiTheme="minorEastAsia" w:hint="eastAsia"/>
          <w:sz w:val="24"/>
          <w:szCs w:val="24"/>
        </w:rPr>
        <w:t>上式可知</w:t>
      </w:r>
      <w:r w:rsidRPr="00FE4471">
        <w:rPr>
          <w:rFonts w:asciiTheme="minorEastAsia" w:hAnsiTheme="minorEastAsia" w:hint="eastAsia"/>
          <w:sz w:val="24"/>
          <w:szCs w:val="24"/>
        </w:rPr>
        <w:object w:dxaOrig="4020" w:dyaOrig="380">
          <v:shape id="_x0000_i1036" type="#_x0000_t75" style="width:201pt;height:18.75pt" o:ole="">
            <v:imagedata r:id="rId26" o:title=""/>
          </v:shape>
          <o:OLEObject Type="Embed" ProgID="Equation.DSMT4" ShapeID="_x0000_i1036" DrawAspect="Content" ObjectID="_1472648258" r:id="rId27"/>
        </w:object>
      </w:r>
      <w:r w:rsidRPr="00FE4471">
        <w:rPr>
          <w:rFonts w:asciiTheme="minorEastAsia" w:hAnsiTheme="minorEastAsia" w:hint="eastAsia"/>
          <w:sz w:val="24"/>
          <w:szCs w:val="24"/>
        </w:rPr>
        <w:t>，其具体含义就是股票</w:t>
      </w:r>
      <w:r w:rsidRPr="00FE4471">
        <w:rPr>
          <w:rFonts w:asciiTheme="minorEastAsia" w:hAnsiTheme="minorEastAsia" w:hint="eastAsia"/>
          <w:sz w:val="24"/>
          <w:szCs w:val="24"/>
        </w:rPr>
        <w:object w:dxaOrig="139" w:dyaOrig="260">
          <v:shape id="_x0000_i1037" type="#_x0000_t75" style="width:6.75pt;height:12.75pt" o:ole="">
            <v:imagedata r:id="rId11" o:title=""/>
          </v:shape>
          <o:OLEObject Type="Embed" ProgID="Equation.DSMT4" ShapeID="_x0000_i1037" DrawAspect="Content" ObjectID="_1472648259" r:id="rId28"/>
        </w:object>
      </w:r>
      <w:r w:rsidRPr="00FE4471">
        <w:rPr>
          <w:rFonts w:asciiTheme="minorEastAsia" w:hAnsiTheme="minorEastAsia" w:hint="eastAsia"/>
          <w:sz w:val="24"/>
          <w:szCs w:val="24"/>
        </w:rPr>
        <w:t>的实际收益超过</w:t>
      </w:r>
      <w:r w:rsidR="00EF5F8D">
        <w:rPr>
          <w:rFonts w:asciiTheme="minorEastAsia" w:hAnsiTheme="minorEastAsia" w:hint="eastAsia"/>
          <w:sz w:val="24"/>
          <w:szCs w:val="24"/>
        </w:rPr>
        <w:t>其</w:t>
      </w:r>
      <w:r w:rsidRPr="00FE4471">
        <w:rPr>
          <w:rFonts w:asciiTheme="minorEastAsia" w:hAnsiTheme="minorEastAsia" w:hint="eastAsia"/>
          <w:sz w:val="24"/>
          <w:szCs w:val="24"/>
        </w:rPr>
        <w:t>市场风险对应的期望收益的部分，因此</w:t>
      </w:r>
      <w:r w:rsidR="00EF5F8D">
        <w:rPr>
          <w:rFonts w:asciiTheme="minorEastAsia" w:hAnsiTheme="minorEastAsia" w:hint="eastAsia"/>
          <w:sz w:val="24"/>
          <w:szCs w:val="24"/>
        </w:rPr>
        <w:t>这</w:t>
      </w:r>
      <w:r w:rsidRPr="00FE4471">
        <w:rPr>
          <w:rFonts w:asciiTheme="minorEastAsia" w:hAnsiTheme="minorEastAsia" w:hint="eastAsia"/>
          <w:sz w:val="24"/>
          <w:szCs w:val="24"/>
        </w:rPr>
        <w:t>是与投资者的选股能力直接相关的收益。</w:t>
      </w:r>
    </w:p>
    <w:p w:rsidR="00034567" w:rsidRPr="00FE4471" w:rsidRDefault="00034567" w:rsidP="00B2538F">
      <w:pPr>
        <w:pStyle w:val="a5"/>
        <w:spacing w:line="360" w:lineRule="auto"/>
        <w:ind w:firstLine="480"/>
        <w:jc w:val="left"/>
        <w:rPr>
          <w:rFonts w:asciiTheme="minorEastAsia" w:hAnsiTheme="minorEastAsia"/>
          <w:sz w:val="24"/>
          <w:szCs w:val="24"/>
        </w:rPr>
      </w:pPr>
      <w:r w:rsidRPr="00FE4471">
        <w:rPr>
          <w:rFonts w:asciiTheme="minorEastAsia" w:hAnsiTheme="minorEastAsia" w:hint="eastAsia"/>
          <w:sz w:val="24"/>
          <w:szCs w:val="24"/>
        </w:rPr>
        <w:t>根据以上模型，我们就可以将任意投资组合的收益分解为两个部分：市场收益和超额收益。那么我们就可以通过卖空股指期货来对冲市场收益的这部分系统</w:t>
      </w:r>
      <w:r w:rsidR="006B639B">
        <w:rPr>
          <w:rFonts w:asciiTheme="minorEastAsia" w:hAnsiTheme="minorEastAsia" w:hint="eastAsia"/>
          <w:sz w:val="24"/>
          <w:szCs w:val="24"/>
        </w:rPr>
        <w:t>性</w:t>
      </w:r>
      <w:r w:rsidRPr="00FE4471">
        <w:rPr>
          <w:rFonts w:asciiTheme="minorEastAsia" w:hAnsiTheme="minorEastAsia" w:hint="eastAsia"/>
          <w:sz w:val="24"/>
          <w:szCs w:val="24"/>
        </w:rPr>
        <w:t>风险，期货空头头寸就等于投资组合的Beta值。</w:t>
      </w:r>
    </w:p>
    <w:p w:rsidR="00B73995" w:rsidRPr="00FE4471" w:rsidRDefault="00B73995" w:rsidP="006B639B">
      <w:pPr>
        <w:pStyle w:val="a5"/>
        <w:spacing w:line="360" w:lineRule="auto"/>
        <w:ind w:firstLineChars="225" w:firstLine="540"/>
        <w:jc w:val="left"/>
        <w:rPr>
          <w:rFonts w:asciiTheme="minorEastAsia" w:hAnsiTheme="minorEastAsia"/>
          <w:sz w:val="24"/>
          <w:szCs w:val="24"/>
        </w:rPr>
      </w:pPr>
      <w:r w:rsidRPr="00FE4471">
        <w:rPr>
          <w:rFonts w:asciiTheme="minorEastAsia" w:hAnsiTheme="minorEastAsia" w:hint="eastAsia"/>
          <w:sz w:val="24"/>
          <w:szCs w:val="24"/>
        </w:rPr>
        <w:t>多因子Alpha</w:t>
      </w:r>
      <w:r w:rsidR="006B639B">
        <w:rPr>
          <w:rFonts w:asciiTheme="minorEastAsia" w:hAnsiTheme="minorEastAsia" w:hint="eastAsia"/>
          <w:sz w:val="24"/>
          <w:szCs w:val="24"/>
        </w:rPr>
        <w:t>策略的投资目的是无论未来市场上涨还是下跌，我们都希望</w:t>
      </w:r>
      <w:r w:rsidRPr="00FE4471">
        <w:rPr>
          <w:rFonts w:asciiTheme="minorEastAsia" w:hAnsiTheme="minorEastAsia" w:hint="eastAsia"/>
          <w:sz w:val="24"/>
          <w:szCs w:val="24"/>
        </w:rPr>
        <w:t>能够获得正的收益，所以前提是要保证股票多头组合有长期稳定的正Alpha，这是Alpha策略的关键所在。</w:t>
      </w:r>
    </w:p>
    <w:p w:rsidR="00034567" w:rsidRPr="00B73995" w:rsidRDefault="00034567" w:rsidP="00B73995">
      <w:pPr>
        <w:spacing w:line="360" w:lineRule="auto"/>
        <w:jc w:val="left"/>
        <w:rPr>
          <w:rFonts w:ascii="楷体_GB2312" w:eastAsia="楷体_GB2312"/>
          <w:b/>
          <w:sz w:val="24"/>
          <w:szCs w:val="24"/>
        </w:rPr>
      </w:pPr>
    </w:p>
    <w:p w:rsidR="00034567" w:rsidRPr="00B2538F" w:rsidRDefault="00034567" w:rsidP="00B2538F">
      <w:pPr>
        <w:spacing w:line="360" w:lineRule="auto"/>
        <w:jc w:val="left"/>
        <w:rPr>
          <w:rFonts w:ascii="楷体_GB2312" w:eastAsia="楷体_GB2312"/>
          <w:b/>
          <w:sz w:val="24"/>
          <w:szCs w:val="24"/>
        </w:rPr>
      </w:pPr>
      <w:r w:rsidRPr="00B2538F">
        <w:rPr>
          <w:rFonts w:ascii="楷体_GB2312" w:eastAsia="楷体_GB2312" w:hint="eastAsia"/>
          <w:b/>
          <w:sz w:val="24"/>
          <w:szCs w:val="24"/>
        </w:rPr>
        <w:t>图</w:t>
      </w:r>
      <w:r w:rsidR="00B2538F" w:rsidRPr="00B2538F">
        <w:rPr>
          <w:rFonts w:ascii="楷体_GB2312" w:eastAsia="楷体_GB2312" w:hint="eastAsia"/>
          <w:b/>
          <w:sz w:val="24"/>
          <w:szCs w:val="24"/>
        </w:rPr>
        <w:t>2</w:t>
      </w:r>
      <w:r w:rsidRPr="00B2538F">
        <w:rPr>
          <w:rFonts w:ascii="楷体_GB2312" w:eastAsia="楷体_GB2312" w:hint="eastAsia"/>
          <w:b/>
          <w:sz w:val="24"/>
          <w:szCs w:val="24"/>
        </w:rPr>
        <w:t>：Alpha策略图示</w:t>
      </w:r>
    </w:p>
    <w:p w:rsidR="00034567" w:rsidRPr="00034567" w:rsidRDefault="00034567" w:rsidP="00B2538F">
      <w:pPr>
        <w:pStyle w:val="a5"/>
        <w:spacing w:line="360" w:lineRule="auto"/>
        <w:ind w:left="360" w:firstLineChars="0" w:firstLine="0"/>
        <w:jc w:val="left"/>
        <w:rPr>
          <w:sz w:val="24"/>
          <w:szCs w:val="24"/>
        </w:rPr>
      </w:pPr>
      <w:r>
        <w:rPr>
          <w:noProof/>
        </w:rPr>
        <mc:AlternateContent>
          <mc:Choice Requires="wps">
            <w:drawing>
              <wp:anchor distT="0" distB="0" distL="114300" distR="114300" simplePos="0" relativeHeight="251660288" behindDoc="0" locked="0" layoutInCell="1" allowOverlap="1">
                <wp:simplePos x="0" y="0"/>
                <wp:positionH relativeFrom="column">
                  <wp:posOffset>447675</wp:posOffset>
                </wp:positionH>
                <wp:positionV relativeFrom="paragraph">
                  <wp:posOffset>283845</wp:posOffset>
                </wp:positionV>
                <wp:extent cx="1076325" cy="445770"/>
                <wp:effectExtent l="9525" t="7620" r="9525" b="13335"/>
                <wp:wrapNone/>
                <wp:docPr id="35" name="圆角矩形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6325" cy="445770"/>
                        </a:xfrm>
                        <a:prstGeom prst="roundRect">
                          <a:avLst>
                            <a:gd name="adj" fmla="val 16667"/>
                          </a:avLst>
                        </a:prstGeom>
                        <a:solidFill>
                          <a:srgbClr val="FFFFFF"/>
                        </a:solidFill>
                        <a:ln w="9525">
                          <a:solidFill>
                            <a:srgbClr val="000000"/>
                          </a:solidFill>
                          <a:round/>
                          <a:headEnd/>
                          <a:tailEnd/>
                        </a:ln>
                      </wps:spPr>
                      <wps:txbx>
                        <w:txbxContent>
                          <w:p w:rsidR="00034567" w:rsidRPr="008B3ACD" w:rsidRDefault="00034567" w:rsidP="00034567">
                            <w:pPr>
                              <w:rPr>
                                <w:rFonts w:ascii="楷体_GB2312" w:eastAsia="楷体_GB2312"/>
                              </w:rPr>
                            </w:pPr>
                            <w:r w:rsidRPr="008B3ACD">
                              <w:rPr>
                                <w:rFonts w:ascii="楷体_GB2312" w:eastAsia="楷体_GB2312" w:hint="eastAsia"/>
                              </w:rPr>
                              <w:t>股票多头组合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圆角矩形 35" o:spid="_x0000_s1051" style="position:absolute;left:0;text-align:left;margin-left:35.25pt;margin-top:22.35pt;width:84.75pt;height:3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">
                <v:textbox>
                  <w:txbxContent>
                    <w:p w:rsidR="00034567" w:rsidRPr="008B3ACD" w:rsidRDefault="00034567" w:rsidP="00034567">
                      <w:pPr>
                        <w:rPr>
                          <w:rFonts w:ascii="楷体_GB2312" w:eastAsia="楷体_GB2312"/>
                        </w:rPr>
                      </w:pPr>
                      <w:r w:rsidRPr="008B3ACD">
                        <w:rPr>
                          <w:rFonts w:ascii="楷体_GB2312" w:eastAsia="楷体_GB2312" w:hint="eastAsia"/>
                        </w:rPr>
                        <w:t>股票多头组合</w:t>
                      </w:r>
                    </w:p>
                  </w:txbxContent>
                </v:textbox>
              </v:roundrect>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304800</wp:posOffset>
                </wp:positionH>
                <wp:positionV relativeFrom="paragraph">
                  <wp:posOffset>-1905</wp:posOffset>
                </wp:positionV>
                <wp:extent cx="4810125" cy="19050"/>
                <wp:effectExtent l="9525" t="7620" r="9525" b="11430"/>
                <wp:wrapNone/>
                <wp:docPr id="34" name="直接箭头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1012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D36B84" id="_x0000_t32" coordsize="21600,21600" o:spt="32" o:oned="t" path="m,l21600,21600e" filled="f">
                <v:path arrowok="t" fillok="f" o:connecttype="none"/>
                <o:lock v:ext="edit" shapetype="t"/>
              </v:shapetype>
              <v:shape id="直接箭头连接符 34" o:spid="_x0000_s1026" type="#_x0000_t32" style="position:absolute;left:0;text-align:left;margin-left:24pt;margin-top:-.15pt;width:378.75pt;height:1.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"/>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1524000</wp:posOffset>
                </wp:positionH>
                <wp:positionV relativeFrom="paragraph">
                  <wp:posOffset>226695</wp:posOffset>
                </wp:positionV>
                <wp:extent cx="542925" cy="180975"/>
                <wp:effectExtent l="9525" t="55245" r="38100" b="11430"/>
                <wp:wrapNone/>
                <wp:docPr id="33" name="直接箭头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2925" cy="180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D6DE55" id="直接箭头连接符 33" o:spid="_x0000_s1026" type="#_x0000_t32" style="position:absolute;left:0;text-align:left;margin-left:120pt;margin-top:17.85pt;width:42.75pt;height:14.2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">
                <v:stroke endarrow="block"/>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2066925</wp:posOffset>
                </wp:positionH>
                <wp:positionV relativeFrom="paragraph">
                  <wp:posOffset>102870</wp:posOffset>
                </wp:positionV>
                <wp:extent cx="619125" cy="304800"/>
                <wp:effectExtent l="9525" t="7620" r="9525" b="11430"/>
                <wp:wrapNone/>
                <wp:docPr id="32" name="圆角矩形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 cy="304800"/>
                        </a:xfrm>
                        <a:prstGeom prst="roundRect">
                          <a:avLst>
                            <a:gd name="adj" fmla="val 16667"/>
                          </a:avLst>
                        </a:prstGeom>
                        <a:solidFill>
                          <a:srgbClr val="FFFFFF"/>
                        </a:solidFill>
                        <a:ln w="9525">
                          <a:solidFill>
                            <a:srgbClr val="000000"/>
                          </a:solidFill>
                          <a:round/>
                          <a:headEnd/>
                          <a:tailEnd/>
                        </a:ln>
                      </wps:spPr>
                      <wps:txbx>
                        <w:txbxContent>
                          <w:p w:rsidR="00034567" w:rsidRDefault="00034567" w:rsidP="00034567">
                            <w:r>
                              <w:rPr>
                                <w:rFonts w:hint="eastAsia"/>
                              </w:rPr>
                              <w:t>Alpha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圆角矩形 32" o:spid="_x0000_s1052" style="position:absolute;left:0;text-align:left;margin-left:162.75pt;margin-top:8.1pt;width:48.7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">
                <v:textbox>
                  <w:txbxContent>
                    <w:p w:rsidR="00034567" w:rsidRDefault="00034567" w:rsidP="00034567">
                      <w:r>
                        <w:rPr>
                          <w:rFonts w:hint="eastAsia"/>
                        </w:rPr>
                        <w:t>Alpha</w:t>
                      </w:r>
                    </w:p>
                  </w:txbxContent>
                </v:textbox>
              </v:roundrect>
            </w:pict>
          </mc:Fallback>
        </mc:AlternateContent>
      </w:r>
    </w:p>
    <w:p w:rsidR="00034567" w:rsidRPr="00034567" w:rsidRDefault="00034567" w:rsidP="00B2538F">
      <w:pPr>
        <w:pStyle w:val="a5"/>
        <w:spacing w:line="360" w:lineRule="auto"/>
        <w:ind w:left="360" w:firstLineChars="0" w:firstLine="0"/>
        <w:jc w:val="left"/>
        <w:rPr>
          <w:sz w:val="24"/>
          <w:szCs w:val="24"/>
        </w:rPr>
      </w:pPr>
      <w:r>
        <w:rPr>
          <w:noProof/>
        </w:rPr>
        <mc:AlternateContent>
          <mc:Choice Requires="wps">
            <w:drawing>
              <wp:anchor distT="0" distB="0" distL="114300" distR="114300" simplePos="0" relativeHeight="251668480" behindDoc="0" locked="0" layoutInCell="1" allowOverlap="1">
                <wp:simplePos x="0" y="0"/>
                <wp:positionH relativeFrom="column">
                  <wp:posOffset>3990975</wp:posOffset>
                </wp:positionH>
                <wp:positionV relativeFrom="paragraph">
                  <wp:posOffset>215265</wp:posOffset>
                </wp:positionV>
                <wp:extent cx="971550" cy="428625"/>
                <wp:effectExtent l="9525" t="5715" r="9525" b="13335"/>
                <wp:wrapNone/>
                <wp:docPr id="31" name="圆角矩形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428625"/>
                        </a:xfrm>
                        <a:prstGeom prst="roundRect">
                          <a:avLst>
                            <a:gd name="adj" fmla="val 16667"/>
                          </a:avLst>
                        </a:prstGeom>
                        <a:solidFill>
                          <a:srgbClr val="FFFFFF"/>
                        </a:solidFill>
                        <a:ln w="9525">
                          <a:solidFill>
                            <a:srgbClr val="000000"/>
                          </a:solidFill>
                          <a:round/>
                          <a:headEnd/>
                          <a:tailEnd/>
                        </a:ln>
                      </wps:spPr>
                      <wps:txbx>
                        <w:txbxContent>
                          <w:p w:rsidR="00034567" w:rsidRDefault="00034567" w:rsidP="00034567">
                            <w:r w:rsidRPr="008B3ACD">
                              <w:rPr>
                                <w:rFonts w:ascii="楷体_GB2312" w:eastAsia="楷体_GB2312" w:hint="eastAsia"/>
                              </w:rPr>
                              <w:t>组合</w:t>
                            </w:r>
                            <w:r>
                              <w:rPr>
                                <w:rFonts w:hint="eastAsia"/>
                              </w:rPr>
                              <w:t>Alpha</w:t>
                            </w:r>
                          </w:p>
                          <w:p w:rsidR="00034567" w:rsidRPr="005464F4" w:rsidRDefault="00034567" w:rsidP="0003456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圆角矩形 31" o:spid="_x0000_s1053" style="position:absolute;left:0;text-align:left;margin-left:314.25pt;margin-top:16.95pt;width:76.5pt;height:3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">
                <v:textbox>
                  <w:txbxContent>
                    <w:p w:rsidR="00034567" w:rsidRDefault="00034567" w:rsidP="00034567">
                      <w:r w:rsidRPr="008B3ACD">
                        <w:rPr>
                          <w:rFonts w:ascii="楷体_GB2312" w:eastAsia="楷体_GB2312" w:hint="eastAsia"/>
                        </w:rPr>
                        <w:t>组合</w:t>
                      </w:r>
                      <w:r>
                        <w:rPr>
                          <w:rFonts w:hint="eastAsia"/>
                        </w:rPr>
                        <w:t>Alpha</w:t>
                      </w:r>
                    </w:p>
                    <w:p w:rsidR="00034567" w:rsidRPr="005464F4" w:rsidRDefault="00034567" w:rsidP="00034567"/>
                  </w:txbxContent>
                </v:textbox>
              </v:roundrect>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3095625</wp:posOffset>
                </wp:positionH>
                <wp:positionV relativeFrom="paragraph">
                  <wp:posOffset>272415</wp:posOffset>
                </wp:positionV>
                <wp:extent cx="752475" cy="371475"/>
                <wp:effectExtent l="9525" t="24765" r="19050" b="13335"/>
                <wp:wrapNone/>
                <wp:docPr id="30" name="右箭头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 cy="371475"/>
                        </a:xfrm>
                        <a:prstGeom prst="rightArrow">
                          <a:avLst>
                            <a:gd name="adj1" fmla="val 50000"/>
                            <a:gd name="adj2" fmla="val 5064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6E573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30" o:spid="_x0000_s1026" type="#_x0000_t13" style="position:absolute;left:0;text-align:left;margin-left:243.75pt;margin-top:21.45pt;width:59.25pt;height:2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"/>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1828800</wp:posOffset>
                </wp:positionH>
                <wp:positionV relativeFrom="paragraph">
                  <wp:posOffset>158115</wp:posOffset>
                </wp:positionV>
                <wp:extent cx="1085850" cy="1066800"/>
                <wp:effectExtent l="9525" t="5715" r="9525" b="13335"/>
                <wp:wrapNone/>
                <wp:docPr id="29" name="矩形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1066800"/>
                        </a:xfrm>
                        <a:prstGeom prst="rect">
                          <a:avLst/>
                        </a:prstGeom>
                        <a:solidFill>
                          <a:srgbClr val="FFFFFF"/>
                        </a:solidFill>
                        <a:ln w="9525">
                          <a:solidFill>
                            <a:srgbClr val="000000"/>
                          </a:solidFill>
                          <a:prstDash val="dashDot"/>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75E70" id="矩形 29" o:spid="_x0000_s1026" style="position:absolute;left:0;text-align:left;margin-left:2in;margin-top:12.45pt;width:85.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">
                <v:stroke dashstyle="dashDot"/>
              </v:rect>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2066925</wp:posOffset>
                </wp:positionH>
                <wp:positionV relativeFrom="paragraph">
                  <wp:posOffset>215265</wp:posOffset>
                </wp:positionV>
                <wp:extent cx="619125" cy="304800"/>
                <wp:effectExtent l="9525" t="5715" r="9525" b="13335"/>
                <wp:wrapNone/>
                <wp:docPr id="28" name="圆角矩形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 cy="304800"/>
                        </a:xfrm>
                        <a:prstGeom prst="roundRect">
                          <a:avLst>
                            <a:gd name="adj" fmla="val 16667"/>
                          </a:avLst>
                        </a:prstGeom>
                        <a:solidFill>
                          <a:srgbClr val="FFFFFF"/>
                        </a:solidFill>
                        <a:ln w="9525">
                          <a:solidFill>
                            <a:srgbClr val="000000"/>
                          </a:solidFill>
                          <a:round/>
                          <a:headEnd/>
                          <a:tailEnd/>
                        </a:ln>
                      </wps:spPr>
                      <wps:txbx>
                        <w:txbxContent>
                          <w:p w:rsidR="00034567" w:rsidRDefault="00034567" w:rsidP="00034567">
                            <w:r>
                              <w:rPr>
                                <w:rFonts w:hint="eastAsia"/>
                              </w:rPr>
                              <w:t>Beta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圆角矩形 28" o:spid="_x0000_s1054" style="position:absolute;left:0;text-align:left;margin-left:162.75pt;margin-top:16.95pt;width:48.7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">
                <v:textbox>
                  <w:txbxContent>
                    <w:p w:rsidR="00034567" w:rsidRDefault="00034567" w:rsidP="00034567">
                      <w:r>
                        <w:rPr>
                          <w:rFonts w:hint="eastAsia"/>
                        </w:rPr>
                        <w:t>Beta</w:t>
                      </w:r>
                    </w:p>
                  </w:txbxContent>
                </v:textbox>
              </v:roundrect>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1524000</wp:posOffset>
                </wp:positionH>
                <wp:positionV relativeFrom="paragraph">
                  <wp:posOffset>215265</wp:posOffset>
                </wp:positionV>
                <wp:extent cx="542925" cy="142875"/>
                <wp:effectExtent l="9525" t="5715" r="28575" b="60960"/>
                <wp:wrapNone/>
                <wp:docPr id="27" name="直接箭头连接符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142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F6049D" id="直接箭头连接符 27" o:spid="_x0000_s1026" type="#_x0000_t32" style="position:absolute;left:0;text-align:left;margin-left:120pt;margin-top:16.95pt;width:42.75pt;height:1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">
                <v:stroke endarrow="block"/>
              </v:shape>
            </w:pict>
          </mc:Fallback>
        </mc:AlternateContent>
      </w:r>
    </w:p>
    <w:p w:rsidR="00034567" w:rsidRPr="00034567" w:rsidRDefault="00034567" w:rsidP="00B2538F">
      <w:pPr>
        <w:pStyle w:val="a5"/>
        <w:spacing w:line="360" w:lineRule="auto"/>
        <w:ind w:left="360" w:firstLineChars="0" w:firstLine="0"/>
        <w:jc w:val="left"/>
        <w:rPr>
          <w:sz w:val="24"/>
          <w:szCs w:val="24"/>
        </w:rPr>
      </w:pPr>
    </w:p>
    <w:p w:rsidR="00034567" w:rsidRPr="00034567" w:rsidRDefault="00034567" w:rsidP="00B2538F">
      <w:pPr>
        <w:pStyle w:val="a5"/>
        <w:spacing w:line="360" w:lineRule="auto"/>
        <w:ind w:left="360" w:firstLineChars="0" w:firstLine="0"/>
        <w:jc w:val="left"/>
        <w:rPr>
          <w:sz w:val="24"/>
          <w:szCs w:val="24"/>
        </w:rPr>
      </w:pPr>
      <w:r>
        <w:rPr>
          <w:noProof/>
        </w:rPr>
        <mc:AlternateContent>
          <mc:Choice Requires="wps">
            <w:drawing>
              <wp:anchor distT="0" distB="0" distL="114300" distR="114300" simplePos="0" relativeHeight="251665408" behindDoc="0" locked="0" layoutInCell="1" allowOverlap="1">
                <wp:simplePos x="0" y="0"/>
                <wp:positionH relativeFrom="column">
                  <wp:posOffset>447675</wp:posOffset>
                </wp:positionH>
                <wp:positionV relativeFrom="paragraph">
                  <wp:posOffset>97155</wp:posOffset>
                </wp:positionV>
                <wp:extent cx="1076325" cy="474345"/>
                <wp:effectExtent l="9525" t="11430" r="9525" b="9525"/>
                <wp:wrapNone/>
                <wp:docPr id="26" name="圆角矩形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6325" cy="474345"/>
                        </a:xfrm>
                        <a:prstGeom prst="roundRect">
                          <a:avLst>
                            <a:gd name="adj" fmla="val 16667"/>
                          </a:avLst>
                        </a:prstGeom>
                        <a:solidFill>
                          <a:srgbClr val="FFFFFF"/>
                        </a:solidFill>
                        <a:ln w="9525">
                          <a:solidFill>
                            <a:srgbClr val="000000"/>
                          </a:solidFill>
                          <a:round/>
                          <a:headEnd/>
                          <a:tailEnd/>
                        </a:ln>
                      </wps:spPr>
                      <wps:txbx>
                        <w:txbxContent>
                          <w:p w:rsidR="00034567" w:rsidRPr="008B3ACD" w:rsidRDefault="00034567" w:rsidP="00034567">
                            <w:pPr>
                              <w:rPr>
                                <w:rFonts w:ascii="楷体_GB2312" w:eastAsia="楷体_GB2312"/>
                              </w:rPr>
                            </w:pPr>
                            <w:r w:rsidRPr="008B3ACD">
                              <w:rPr>
                                <w:rFonts w:ascii="楷体_GB2312" w:eastAsia="楷体_GB2312" w:hint="eastAsia"/>
                              </w:rPr>
                              <w:t>股指期货空头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圆角矩形 26" o:spid="_x0000_s1055" style="position:absolute;left:0;text-align:left;margin-left:35.25pt;margin-top:7.65pt;width:84.75pt;height:37.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">
                <v:textbox>
                  <w:txbxContent>
                    <w:p w:rsidR="00034567" w:rsidRPr="008B3ACD" w:rsidRDefault="00034567" w:rsidP="00034567">
                      <w:pPr>
                        <w:rPr>
                          <w:rFonts w:ascii="楷体_GB2312" w:eastAsia="楷体_GB2312"/>
                        </w:rPr>
                      </w:pPr>
                      <w:r w:rsidRPr="008B3ACD">
                        <w:rPr>
                          <w:rFonts w:ascii="楷体_GB2312" w:eastAsia="楷体_GB2312" w:hint="eastAsia"/>
                        </w:rPr>
                        <w:t>股指期货空头</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column">
                  <wp:posOffset>2066925</wp:posOffset>
                </wp:positionH>
                <wp:positionV relativeFrom="paragraph">
                  <wp:posOffset>163830</wp:posOffset>
                </wp:positionV>
                <wp:extent cx="619125" cy="304800"/>
                <wp:effectExtent l="9525" t="11430" r="9525" b="7620"/>
                <wp:wrapNone/>
                <wp:docPr id="25" name="圆角矩形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 cy="304800"/>
                        </a:xfrm>
                        <a:prstGeom prst="roundRect">
                          <a:avLst>
                            <a:gd name="adj" fmla="val 16667"/>
                          </a:avLst>
                        </a:prstGeom>
                        <a:solidFill>
                          <a:srgbClr val="FFFFFF"/>
                        </a:solidFill>
                        <a:ln w="9525">
                          <a:solidFill>
                            <a:srgbClr val="000000"/>
                          </a:solidFill>
                          <a:round/>
                          <a:headEnd/>
                          <a:tailEnd/>
                        </a:ln>
                      </wps:spPr>
                      <wps:txbx>
                        <w:txbxContent>
                          <w:p w:rsidR="00034567" w:rsidRDefault="00034567" w:rsidP="00034567">
                            <w:r w:rsidRPr="00B90537">
                              <w:rPr>
                                <w:rFonts w:ascii="宋体" w:hAnsi="宋体" w:hint="eastAsia"/>
                              </w:rPr>
                              <w:t>-</w:t>
                            </w:r>
                            <w:r>
                              <w:rPr>
                                <w:rFonts w:hint="eastAsia"/>
                              </w:rPr>
                              <w:t>Beta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圆角矩形 25" o:spid="_x0000_s1056" style="position:absolute;left:0;text-align:left;margin-left:162.75pt;margin-top:12.9pt;width:48.7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">
                <v:textbox>
                  <w:txbxContent>
                    <w:p w:rsidR="00034567" w:rsidRDefault="00034567" w:rsidP="00034567">
                      <w:r w:rsidRPr="00B90537">
                        <w:rPr>
                          <w:rFonts w:ascii="宋体" w:hAnsi="宋体" w:hint="eastAsia"/>
                        </w:rPr>
                        <w:t>-</w:t>
                      </w:r>
                      <w:r>
                        <w:rPr>
                          <w:rFonts w:hint="eastAsia"/>
                        </w:rPr>
                        <w:t>Beta</w:t>
                      </w:r>
                    </w:p>
                  </w:txbxContent>
                </v:textbox>
              </v:roundrect>
            </w:pict>
          </mc:Fallback>
        </mc:AlternateContent>
      </w:r>
    </w:p>
    <w:p w:rsidR="005609E4" w:rsidRDefault="005609E4" w:rsidP="00F252E4"/>
    <w:p w:rsidR="00B2538F" w:rsidRDefault="00B2538F" w:rsidP="00F252E4"/>
    <w:p w:rsidR="00B2538F" w:rsidRDefault="00B2538F" w:rsidP="00F252E4"/>
    <w:p w:rsidR="00B73995" w:rsidRPr="00077AD6" w:rsidRDefault="00B73995" w:rsidP="00B73995">
      <w:pPr>
        <w:spacing w:line="360" w:lineRule="auto"/>
        <w:ind w:firstLineChars="200" w:firstLine="420"/>
        <w:rPr>
          <w:rFonts w:asciiTheme="minorEastAsia" w:hAnsiTheme="minorEastAsia"/>
          <w:sz w:val="24"/>
          <w:szCs w:val="24"/>
        </w:rPr>
      </w:pPr>
      <w:r>
        <w:rPr>
          <w:rFonts w:hint="eastAsia"/>
        </w:rPr>
        <w:t xml:space="preserve"> </w:t>
      </w:r>
      <w:r w:rsidR="00767BCA" w:rsidRPr="00077AD6">
        <w:rPr>
          <w:rFonts w:asciiTheme="minorEastAsia" w:hAnsiTheme="minorEastAsia" w:hint="eastAsia"/>
          <w:sz w:val="24"/>
          <w:szCs w:val="24"/>
        </w:rPr>
        <w:t>这里</w:t>
      </w:r>
      <w:r w:rsidR="00767BCA" w:rsidRPr="00077AD6">
        <w:rPr>
          <w:rFonts w:asciiTheme="minorEastAsia" w:hAnsiTheme="minorEastAsia"/>
          <w:sz w:val="24"/>
          <w:szCs w:val="24"/>
        </w:rPr>
        <w:t>构建</w:t>
      </w:r>
      <w:r w:rsidRPr="00077AD6">
        <w:rPr>
          <w:rFonts w:asciiTheme="minorEastAsia" w:hAnsiTheme="minorEastAsia" w:hint="eastAsia"/>
          <w:sz w:val="24"/>
          <w:szCs w:val="24"/>
        </w:rPr>
        <w:t>股票多头</w:t>
      </w:r>
      <w:r w:rsidR="00767BCA" w:rsidRPr="00077AD6">
        <w:rPr>
          <w:rFonts w:asciiTheme="minorEastAsia" w:hAnsiTheme="minorEastAsia"/>
          <w:sz w:val="24"/>
          <w:szCs w:val="24"/>
        </w:rPr>
        <w:t>组合的一种方</w:t>
      </w:r>
      <w:r w:rsidR="00767BCA" w:rsidRPr="00077AD6">
        <w:rPr>
          <w:rFonts w:asciiTheme="minorEastAsia" w:hAnsiTheme="minorEastAsia" w:hint="eastAsia"/>
          <w:sz w:val="24"/>
          <w:szCs w:val="24"/>
        </w:rPr>
        <w:t>法</w:t>
      </w:r>
      <w:r w:rsidR="00767BCA" w:rsidRPr="00077AD6">
        <w:rPr>
          <w:rFonts w:asciiTheme="minorEastAsia" w:hAnsiTheme="minorEastAsia"/>
          <w:sz w:val="24"/>
          <w:szCs w:val="24"/>
        </w:rPr>
        <w:t>是多因子模型。</w:t>
      </w:r>
      <w:r w:rsidRPr="00077AD6">
        <w:rPr>
          <w:rFonts w:asciiTheme="minorEastAsia" w:hAnsiTheme="minorEastAsia"/>
          <w:sz w:val="24"/>
          <w:szCs w:val="24"/>
        </w:rPr>
        <w:t>多因子模型</w:t>
      </w:r>
      <w:r w:rsidRPr="00077AD6">
        <w:rPr>
          <w:rFonts w:asciiTheme="minorEastAsia" w:hAnsiTheme="minorEastAsia" w:hint="eastAsia"/>
          <w:sz w:val="24"/>
          <w:szCs w:val="24"/>
        </w:rPr>
        <w:t>是</w:t>
      </w:r>
      <w:r w:rsidRPr="00077AD6">
        <w:rPr>
          <w:rFonts w:asciiTheme="minorEastAsia" w:hAnsiTheme="minorEastAsia"/>
          <w:sz w:val="24"/>
          <w:szCs w:val="24"/>
        </w:rPr>
        <w:t>将选股的</w:t>
      </w:r>
      <w:r w:rsidR="00767BCA" w:rsidRPr="00077AD6">
        <w:rPr>
          <w:rFonts w:asciiTheme="minorEastAsia" w:hAnsiTheme="minorEastAsia" w:hint="eastAsia"/>
          <w:sz w:val="24"/>
          <w:szCs w:val="24"/>
        </w:rPr>
        <w:t>思想通过具体指标、参数设计体现到具体的模型中，让模型跟踪来市场，根据市场变化进行选股。</w:t>
      </w:r>
      <w:r w:rsidRPr="00077AD6">
        <w:rPr>
          <w:rFonts w:asciiTheme="minorEastAsia" w:hAnsiTheme="minorEastAsia" w:hint="eastAsia"/>
          <w:sz w:val="24"/>
          <w:szCs w:val="24"/>
        </w:rPr>
        <w:t>第一步是投研人员根据自身对市场的理解，包括宏观基本面分析、技术面分析等形成一定的投资逻辑或投资理念，并将投资理念转化为一些量</w:t>
      </w:r>
      <w:r w:rsidRPr="00077AD6">
        <w:rPr>
          <w:rFonts w:asciiTheme="minorEastAsia" w:hAnsiTheme="minorEastAsia" w:hint="eastAsia"/>
          <w:sz w:val="24"/>
          <w:szCs w:val="24"/>
        </w:rPr>
        <w:lastRenderedPageBreak/>
        <w:t>化指标因子和选股规则，形成量化选股策略，之后再去验证它的有效性。第二步是数据分析处理。当投资理念转化为量化指标因子后，我们会通过资讯数据提供商（万得、朝阳永续等）获得全市场所有个股相应指标因子的历史基础数据，然后再对这些数据进行过滤清洗和分析计算。第三步是策略回溯。它的目的是验证投研人员的投资策略在历史上是否有效，能否获得正Alpha收益。</w:t>
      </w:r>
    </w:p>
    <w:p w:rsidR="00767BCA" w:rsidRPr="00034567" w:rsidRDefault="00767BCA" w:rsidP="00F252E4"/>
    <w:p w:rsidR="005609E4" w:rsidRPr="00B117F1" w:rsidRDefault="005609E4" w:rsidP="00B117F1">
      <w:pPr>
        <w:pStyle w:val="a5"/>
        <w:numPr>
          <w:ilvl w:val="0"/>
          <w:numId w:val="7"/>
        </w:numPr>
        <w:ind w:firstLineChars="0"/>
        <w:rPr>
          <w:sz w:val="24"/>
          <w:szCs w:val="24"/>
        </w:rPr>
      </w:pPr>
      <w:r w:rsidRPr="00B117F1">
        <w:rPr>
          <w:rFonts w:hint="eastAsia"/>
          <w:sz w:val="24"/>
          <w:szCs w:val="24"/>
        </w:rPr>
        <w:t>事件性策略</w:t>
      </w:r>
    </w:p>
    <w:p w:rsidR="005609E4" w:rsidRPr="00B117F1" w:rsidRDefault="005609E4" w:rsidP="005609E4">
      <w:pPr>
        <w:pStyle w:val="a5"/>
        <w:ind w:left="360" w:firstLineChars="0" w:firstLine="0"/>
        <w:rPr>
          <w:sz w:val="24"/>
          <w:szCs w:val="24"/>
        </w:rPr>
      </w:pPr>
    </w:p>
    <w:p w:rsidR="00B117F1" w:rsidRPr="00B117F1" w:rsidRDefault="00B117F1" w:rsidP="005609E4">
      <w:pPr>
        <w:pStyle w:val="a5"/>
        <w:ind w:left="360" w:firstLineChars="0" w:firstLine="0"/>
        <w:rPr>
          <w:sz w:val="24"/>
          <w:szCs w:val="24"/>
        </w:rPr>
      </w:pPr>
    </w:p>
    <w:p w:rsidR="00B117F1" w:rsidRPr="00B117F1" w:rsidRDefault="00B117F1" w:rsidP="005609E4">
      <w:pPr>
        <w:pStyle w:val="a5"/>
        <w:ind w:left="360" w:firstLineChars="0" w:firstLine="0"/>
        <w:rPr>
          <w:rFonts w:hint="eastAsia"/>
          <w:sz w:val="24"/>
          <w:szCs w:val="24"/>
        </w:rPr>
      </w:pPr>
    </w:p>
    <w:p w:rsidR="005609E4" w:rsidRPr="00B117F1" w:rsidRDefault="005609E4" w:rsidP="00B117F1">
      <w:pPr>
        <w:pStyle w:val="a5"/>
        <w:numPr>
          <w:ilvl w:val="0"/>
          <w:numId w:val="7"/>
        </w:numPr>
        <w:ind w:firstLineChars="0"/>
        <w:rPr>
          <w:sz w:val="24"/>
          <w:szCs w:val="24"/>
        </w:rPr>
      </w:pPr>
      <w:r w:rsidRPr="00B117F1">
        <w:rPr>
          <w:rFonts w:hint="eastAsia"/>
          <w:sz w:val="24"/>
          <w:szCs w:val="24"/>
        </w:rPr>
        <w:t>择时</w:t>
      </w:r>
      <w:r w:rsidRPr="00B117F1">
        <w:rPr>
          <w:sz w:val="24"/>
          <w:szCs w:val="24"/>
        </w:rPr>
        <w:t>策略</w:t>
      </w:r>
    </w:p>
    <w:p w:rsidR="005609E4" w:rsidRPr="009D5D8F" w:rsidRDefault="00F859AE" w:rsidP="009D5D8F">
      <w:pPr>
        <w:pStyle w:val="a5"/>
        <w:ind w:firstLine="480"/>
        <w:rPr>
          <w:rFonts w:hint="eastAsia"/>
          <w:sz w:val="24"/>
          <w:szCs w:val="24"/>
        </w:rPr>
      </w:pPr>
      <w:r w:rsidRPr="009D5D8F">
        <w:rPr>
          <w:sz w:val="24"/>
          <w:szCs w:val="24"/>
        </w:rPr>
        <w:t>择时</w:t>
      </w:r>
      <w:r w:rsidRPr="009D5D8F">
        <w:rPr>
          <w:sz w:val="24"/>
          <w:szCs w:val="24"/>
        </w:rPr>
        <w:t>是指利用某种方法来判断大势的走势情况，</w:t>
      </w:r>
      <w:r w:rsidR="00C515E8" w:rsidRPr="009D5D8F">
        <w:rPr>
          <w:rFonts w:hint="eastAsia"/>
          <w:sz w:val="24"/>
          <w:szCs w:val="24"/>
        </w:rPr>
        <w:t>从而对投资</w:t>
      </w:r>
      <w:r w:rsidR="00C515E8" w:rsidRPr="009D5D8F">
        <w:rPr>
          <w:sz w:val="24"/>
          <w:szCs w:val="24"/>
        </w:rPr>
        <w:t>进行指导和参考</w:t>
      </w:r>
      <w:r w:rsidRPr="009D5D8F">
        <w:rPr>
          <w:sz w:val="24"/>
          <w:szCs w:val="24"/>
        </w:rPr>
        <w:t>。</w:t>
      </w:r>
      <w:r w:rsidR="00C515E8" w:rsidRPr="009D5D8F">
        <w:rPr>
          <w:rFonts w:hint="eastAsia"/>
          <w:sz w:val="24"/>
          <w:szCs w:val="24"/>
        </w:rPr>
        <w:t>在传统</w:t>
      </w:r>
      <w:r w:rsidR="00C515E8" w:rsidRPr="009D5D8F">
        <w:rPr>
          <w:sz w:val="24"/>
          <w:szCs w:val="24"/>
        </w:rPr>
        <w:t>的主动型</w:t>
      </w:r>
      <w:r w:rsidR="00C515E8" w:rsidRPr="009D5D8F">
        <w:rPr>
          <w:rFonts w:hint="eastAsia"/>
          <w:sz w:val="24"/>
          <w:szCs w:val="24"/>
        </w:rPr>
        <w:t>投资中</w:t>
      </w:r>
      <w:r w:rsidR="00C515E8" w:rsidRPr="009D5D8F">
        <w:rPr>
          <w:sz w:val="24"/>
          <w:szCs w:val="24"/>
        </w:rPr>
        <w:t>，投资经理一般</w:t>
      </w:r>
      <w:r w:rsidR="00C515E8" w:rsidRPr="009D5D8F">
        <w:rPr>
          <w:rFonts w:hint="eastAsia"/>
          <w:sz w:val="24"/>
          <w:szCs w:val="24"/>
        </w:rPr>
        <w:t>依靠</w:t>
      </w:r>
      <w:r w:rsidR="00C515E8" w:rsidRPr="009D5D8F">
        <w:rPr>
          <w:sz w:val="24"/>
          <w:szCs w:val="24"/>
        </w:rPr>
        <w:t>主观</w:t>
      </w:r>
      <w:r w:rsidR="00C515E8" w:rsidRPr="009D5D8F">
        <w:rPr>
          <w:rFonts w:hint="eastAsia"/>
          <w:sz w:val="24"/>
          <w:szCs w:val="24"/>
        </w:rPr>
        <w:t>来</w:t>
      </w:r>
      <w:r w:rsidR="00C515E8" w:rsidRPr="009D5D8F">
        <w:rPr>
          <w:sz w:val="24"/>
          <w:szCs w:val="24"/>
        </w:rPr>
        <w:t>判断大盘的涨跌</w:t>
      </w:r>
      <w:r w:rsidR="00FA6482">
        <w:rPr>
          <w:rFonts w:hint="eastAsia"/>
          <w:sz w:val="24"/>
          <w:szCs w:val="24"/>
        </w:rPr>
        <w:t>以</w:t>
      </w:r>
      <w:bookmarkStart w:id="0" w:name="_GoBack"/>
      <w:bookmarkEnd w:id="0"/>
      <w:r w:rsidR="00C515E8" w:rsidRPr="009D5D8F">
        <w:rPr>
          <w:sz w:val="24"/>
          <w:szCs w:val="24"/>
        </w:rPr>
        <w:t>决定自己的仓位。</w:t>
      </w:r>
    </w:p>
    <w:p w:rsidR="00B117F1" w:rsidRDefault="00B117F1" w:rsidP="00F859AE">
      <w:pPr>
        <w:rPr>
          <w:rFonts w:hint="eastAsia"/>
        </w:rPr>
      </w:pPr>
    </w:p>
    <w:p w:rsidR="005609E4" w:rsidRPr="00B117F1" w:rsidRDefault="005609E4" w:rsidP="00B117F1">
      <w:pPr>
        <w:pStyle w:val="a5"/>
        <w:numPr>
          <w:ilvl w:val="0"/>
          <w:numId w:val="1"/>
        </w:numPr>
        <w:ind w:firstLineChars="0"/>
        <w:rPr>
          <w:sz w:val="32"/>
          <w:szCs w:val="32"/>
        </w:rPr>
      </w:pPr>
      <w:r w:rsidRPr="00B117F1">
        <w:rPr>
          <w:sz w:val="32"/>
          <w:szCs w:val="32"/>
        </w:rPr>
        <w:t>收益敏感性分析</w:t>
      </w:r>
    </w:p>
    <w:p w:rsidR="00B117F1" w:rsidRDefault="00B117F1" w:rsidP="00B117F1">
      <w:pPr>
        <w:pStyle w:val="a5"/>
        <w:ind w:left="420" w:firstLineChars="0" w:firstLine="0"/>
        <w:rPr>
          <w:sz w:val="24"/>
          <w:szCs w:val="24"/>
        </w:rPr>
      </w:pPr>
    </w:p>
    <w:p w:rsidR="00B117F1" w:rsidRDefault="00B117F1" w:rsidP="00F84A24">
      <w:pPr>
        <w:pStyle w:val="a5"/>
        <w:ind w:firstLine="480"/>
        <w:rPr>
          <w:sz w:val="24"/>
          <w:szCs w:val="24"/>
        </w:rPr>
      </w:pPr>
      <w:r>
        <w:rPr>
          <w:rFonts w:hint="eastAsia"/>
          <w:sz w:val="24"/>
          <w:szCs w:val="24"/>
        </w:rPr>
        <w:t>因为</w:t>
      </w:r>
      <w:r>
        <w:rPr>
          <w:sz w:val="24"/>
          <w:szCs w:val="24"/>
        </w:rPr>
        <w:t>量化投资追求的是稳定的绝对</w:t>
      </w:r>
      <w:r>
        <w:rPr>
          <w:rFonts w:hint="eastAsia"/>
          <w:sz w:val="24"/>
          <w:szCs w:val="24"/>
        </w:rPr>
        <w:t>收益</w:t>
      </w:r>
      <w:r>
        <w:rPr>
          <w:sz w:val="24"/>
          <w:szCs w:val="24"/>
        </w:rPr>
        <w:t>，</w:t>
      </w:r>
      <w:r w:rsidR="00F84A24">
        <w:rPr>
          <w:rFonts w:hint="eastAsia"/>
          <w:sz w:val="24"/>
          <w:szCs w:val="24"/>
        </w:rPr>
        <w:t>所以</w:t>
      </w:r>
      <w:r w:rsidR="00F84A24">
        <w:rPr>
          <w:sz w:val="24"/>
          <w:szCs w:val="24"/>
        </w:rPr>
        <w:t>可以通过杠杆的方式来放大</w:t>
      </w:r>
      <w:r w:rsidR="00F84A24">
        <w:rPr>
          <w:rFonts w:hint="eastAsia"/>
          <w:sz w:val="24"/>
          <w:szCs w:val="24"/>
        </w:rPr>
        <w:t>收</w:t>
      </w:r>
      <w:r w:rsidR="00F84A24">
        <w:rPr>
          <w:sz w:val="24"/>
          <w:szCs w:val="24"/>
        </w:rPr>
        <w:t>益。</w:t>
      </w:r>
    </w:p>
    <w:p w:rsidR="00F84A24" w:rsidRPr="00F84A24" w:rsidRDefault="00F84A24" w:rsidP="00F84A24">
      <w:pPr>
        <w:tabs>
          <w:tab w:val="center" w:pos="4153"/>
          <w:tab w:val="right" w:pos="8306"/>
        </w:tabs>
        <w:snapToGrid w:val="0"/>
        <w:spacing w:line="360" w:lineRule="auto"/>
        <w:ind w:firstLineChars="200" w:firstLine="480"/>
        <w:rPr>
          <w:rFonts w:asciiTheme="minorEastAsia" w:hAnsiTheme="minorEastAsia"/>
          <w:sz w:val="24"/>
          <w:szCs w:val="24"/>
        </w:rPr>
      </w:pPr>
      <w:r w:rsidRPr="00F84A24">
        <w:rPr>
          <w:rFonts w:asciiTheme="minorEastAsia" w:hAnsiTheme="minorEastAsia" w:hint="eastAsia"/>
          <w:sz w:val="24"/>
          <w:szCs w:val="24"/>
        </w:rPr>
        <w:t>目前</w:t>
      </w:r>
      <w:r w:rsidRPr="00F84A24">
        <w:rPr>
          <w:rFonts w:asciiTheme="minorEastAsia" w:hAnsiTheme="minorEastAsia"/>
          <w:sz w:val="24"/>
          <w:szCs w:val="24"/>
        </w:rPr>
        <w:t>正在发行的</w:t>
      </w:r>
      <w:r w:rsidRPr="00F84A24">
        <w:rPr>
          <w:rFonts w:asciiTheme="minorEastAsia" w:hAnsiTheme="minorEastAsia" w:hint="eastAsia"/>
          <w:sz w:val="24"/>
          <w:szCs w:val="24"/>
        </w:rPr>
        <w:t>嘉合</w:t>
      </w:r>
      <w:r w:rsidRPr="00F84A24">
        <w:rPr>
          <w:rFonts w:asciiTheme="minorEastAsia" w:hAnsiTheme="minorEastAsia"/>
          <w:sz w:val="24"/>
          <w:szCs w:val="24"/>
        </w:rPr>
        <w:t>鑫源量化对冲一号资产管理</w:t>
      </w:r>
      <w:r w:rsidRPr="00F84A24">
        <w:rPr>
          <w:rFonts w:asciiTheme="minorEastAsia" w:hAnsiTheme="minorEastAsia" w:hint="eastAsia"/>
          <w:sz w:val="24"/>
          <w:szCs w:val="24"/>
        </w:rPr>
        <w:t>计划</w:t>
      </w:r>
      <w:r w:rsidRPr="00F84A24">
        <w:rPr>
          <w:rFonts w:asciiTheme="minorEastAsia" w:hAnsiTheme="minorEastAsia" w:hint="eastAsia"/>
          <w:sz w:val="24"/>
          <w:szCs w:val="24"/>
        </w:rPr>
        <w:t>就是</w:t>
      </w:r>
      <w:r w:rsidRPr="00F84A24">
        <w:rPr>
          <w:rFonts w:asciiTheme="minorEastAsia" w:hAnsiTheme="minorEastAsia"/>
          <w:sz w:val="24"/>
          <w:szCs w:val="24"/>
        </w:rPr>
        <w:t>采用分级的方法</w:t>
      </w:r>
      <w:r w:rsidRPr="00F84A24">
        <w:rPr>
          <w:rFonts w:asciiTheme="minorEastAsia" w:hAnsiTheme="minorEastAsia" w:hint="eastAsia"/>
          <w:sz w:val="24"/>
          <w:szCs w:val="24"/>
        </w:rPr>
        <w:t>给予</w:t>
      </w:r>
      <w:r w:rsidRPr="00F84A24">
        <w:rPr>
          <w:rFonts w:asciiTheme="minorEastAsia" w:hAnsiTheme="minorEastAsia"/>
          <w:sz w:val="24"/>
          <w:szCs w:val="24"/>
        </w:rPr>
        <w:t>不同风险承受能力的客户</w:t>
      </w:r>
      <w:r w:rsidR="00F62B9E">
        <w:rPr>
          <w:rFonts w:asciiTheme="minorEastAsia" w:hAnsiTheme="minorEastAsia" w:hint="eastAsia"/>
          <w:sz w:val="24"/>
          <w:szCs w:val="24"/>
        </w:rPr>
        <w:t>相应</w:t>
      </w:r>
      <w:r w:rsidRPr="00F84A24">
        <w:rPr>
          <w:rFonts w:asciiTheme="minorEastAsia" w:hAnsiTheme="minorEastAsia"/>
          <w:sz w:val="24"/>
          <w:szCs w:val="24"/>
        </w:rPr>
        <w:t>的回报。</w:t>
      </w:r>
      <w:r w:rsidRPr="00F84A24">
        <w:rPr>
          <w:rFonts w:asciiTheme="minorEastAsia" w:hAnsiTheme="minorEastAsia" w:hint="eastAsia"/>
          <w:sz w:val="24"/>
          <w:szCs w:val="24"/>
        </w:rPr>
        <w:t>该</w:t>
      </w:r>
      <w:r w:rsidRPr="00F84A24">
        <w:rPr>
          <w:rFonts w:asciiTheme="minorEastAsia" w:hAnsiTheme="minorEastAsia"/>
          <w:sz w:val="24"/>
          <w:szCs w:val="24"/>
        </w:rPr>
        <w:t>资产管理计划优先级份额和进取级份额之比不超过</w:t>
      </w:r>
      <w:r w:rsidRPr="00F84A24">
        <w:rPr>
          <w:rFonts w:asciiTheme="minorEastAsia" w:hAnsiTheme="minorEastAsia" w:hint="eastAsia"/>
          <w:sz w:val="24"/>
          <w:szCs w:val="24"/>
        </w:rPr>
        <w:t>4</w:t>
      </w:r>
      <w:r w:rsidRPr="00F84A24">
        <w:rPr>
          <w:rFonts w:asciiTheme="minorEastAsia" w:hAnsiTheme="minorEastAsia"/>
          <w:sz w:val="24"/>
          <w:szCs w:val="24"/>
        </w:rPr>
        <w:t>:1</w:t>
      </w:r>
      <w:r w:rsidRPr="00F84A24">
        <w:rPr>
          <w:rFonts w:asciiTheme="minorEastAsia" w:hAnsiTheme="minorEastAsia" w:hint="eastAsia"/>
          <w:sz w:val="24"/>
          <w:szCs w:val="24"/>
        </w:rPr>
        <w:t>，其中</w:t>
      </w:r>
      <w:r w:rsidRPr="00F84A24">
        <w:rPr>
          <w:rFonts w:asciiTheme="minorEastAsia" w:hAnsiTheme="minorEastAsia" w:hint="eastAsia"/>
          <w:sz w:val="24"/>
          <w:szCs w:val="24"/>
        </w:rPr>
        <w:t>优先级约定</w:t>
      </w:r>
      <w:r w:rsidRPr="00F84A24">
        <w:rPr>
          <w:rFonts w:asciiTheme="minorEastAsia" w:hAnsiTheme="minorEastAsia"/>
          <w:sz w:val="24"/>
          <w:szCs w:val="24"/>
        </w:rPr>
        <w:t>收益为</w:t>
      </w:r>
      <w:r w:rsidRPr="00F84A24">
        <w:rPr>
          <w:rFonts w:asciiTheme="minorEastAsia" w:hAnsiTheme="minorEastAsia" w:hint="eastAsia"/>
          <w:sz w:val="24"/>
          <w:szCs w:val="24"/>
        </w:rPr>
        <w:t>6.5</w:t>
      </w:r>
      <w:r w:rsidRPr="00F84A24">
        <w:rPr>
          <w:rFonts w:asciiTheme="minorEastAsia" w:hAnsiTheme="minorEastAsia"/>
          <w:sz w:val="24"/>
          <w:szCs w:val="24"/>
        </w:rPr>
        <w:t>%</w:t>
      </w:r>
      <w:r w:rsidRPr="00F84A24">
        <w:rPr>
          <w:rFonts w:asciiTheme="minorEastAsia" w:hAnsiTheme="minorEastAsia" w:hint="eastAsia"/>
          <w:sz w:val="24"/>
          <w:szCs w:val="24"/>
        </w:rPr>
        <w:t>，</w:t>
      </w:r>
      <w:r>
        <w:rPr>
          <w:rFonts w:asciiTheme="minorEastAsia" w:hAnsiTheme="minorEastAsia" w:hint="eastAsia"/>
          <w:sz w:val="24"/>
          <w:szCs w:val="24"/>
        </w:rPr>
        <w:t>而</w:t>
      </w:r>
      <w:r w:rsidRPr="00F84A24">
        <w:rPr>
          <w:rFonts w:asciiTheme="minorEastAsia" w:hAnsiTheme="minorEastAsia"/>
          <w:sz w:val="24"/>
          <w:szCs w:val="24"/>
        </w:rPr>
        <w:t>进取级以其</w:t>
      </w:r>
      <w:r w:rsidRPr="00F84A24">
        <w:rPr>
          <w:rFonts w:asciiTheme="minorEastAsia" w:hAnsiTheme="minorEastAsia" w:hint="eastAsia"/>
          <w:sz w:val="24"/>
          <w:szCs w:val="24"/>
        </w:rPr>
        <w:t>所持的份额资产</w:t>
      </w:r>
      <w:r w:rsidRPr="00F84A24">
        <w:rPr>
          <w:rFonts w:asciiTheme="minorEastAsia" w:hAnsiTheme="minorEastAsia"/>
          <w:sz w:val="24"/>
          <w:szCs w:val="24"/>
        </w:rPr>
        <w:t>为限</w:t>
      </w:r>
      <w:r w:rsidRPr="00F84A24">
        <w:rPr>
          <w:rFonts w:asciiTheme="minorEastAsia" w:hAnsiTheme="minorEastAsia" w:hint="eastAsia"/>
          <w:sz w:val="24"/>
          <w:szCs w:val="24"/>
        </w:rPr>
        <w:t>承担亏损</w:t>
      </w:r>
      <w:r w:rsidRPr="00F84A24">
        <w:rPr>
          <w:rFonts w:asciiTheme="minorEastAsia" w:hAnsiTheme="minorEastAsia"/>
          <w:sz w:val="24"/>
          <w:szCs w:val="24"/>
        </w:rPr>
        <w:t>。</w:t>
      </w:r>
    </w:p>
    <w:p w:rsidR="00F84A24" w:rsidRPr="00F84A24" w:rsidRDefault="00F84A24" w:rsidP="00F84A24">
      <w:pPr>
        <w:tabs>
          <w:tab w:val="center" w:pos="4153"/>
          <w:tab w:val="right" w:pos="8306"/>
        </w:tabs>
        <w:snapToGrid w:val="0"/>
        <w:spacing w:line="360" w:lineRule="auto"/>
        <w:ind w:firstLineChars="200" w:firstLine="480"/>
        <w:rPr>
          <w:rFonts w:asciiTheme="minorEastAsia" w:hAnsiTheme="minorEastAsia"/>
          <w:sz w:val="24"/>
          <w:szCs w:val="24"/>
        </w:rPr>
      </w:pPr>
      <w:r w:rsidRPr="00F84A24">
        <w:rPr>
          <w:rFonts w:asciiTheme="minorEastAsia" w:hAnsiTheme="minorEastAsia"/>
          <w:sz w:val="24"/>
          <w:szCs w:val="24"/>
        </w:rPr>
        <w:t>优先级份额与进取级份额收益分配占比如下：</w:t>
      </w:r>
    </w:p>
    <w:p w:rsidR="00F84A24" w:rsidRPr="00F84A24" w:rsidRDefault="00F84A24" w:rsidP="00F84A24">
      <w:pPr>
        <w:tabs>
          <w:tab w:val="center" w:pos="4153"/>
          <w:tab w:val="right" w:pos="8306"/>
        </w:tabs>
        <w:snapToGrid w:val="0"/>
        <w:spacing w:line="360" w:lineRule="auto"/>
        <w:ind w:firstLineChars="200" w:firstLine="480"/>
        <w:rPr>
          <w:rFonts w:asciiTheme="minorEastAsia" w:hAnsiTheme="minorEastAsia"/>
          <w:sz w:val="24"/>
          <w:szCs w:val="24"/>
        </w:rPr>
      </w:pPr>
      <w:r w:rsidRPr="00F84A24">
        <w:rPr>
          <w:rFonts w:asciiTheme="minorEastAsia" w:hAnsiTheme="minorEastAsia"/>
          <w:sz w:val="24"/>
          <w:szCs w:val="24"/>
        </w:rPr>
        <w:t>假设</w:t>
      </w:r>
      <w:r>
        <w:rPr>
          <w:rFonts w:asciiTheme="minorEastAsia" w:hAnsiTheme="minorEastAsia" w:hint="eastAsia"/>
          <w:sz w:val="24"/>
          <w:szCs w:val="24"/>
        </w:rPr>
        <w:t>该</w:t>
      </w:r>
      <w:r w:rsidRPr="00F84A24">
        <w:rPr>
          <w:rFonts w:asciiTheme="minorEastAsia" w:hAnsiTheme="minorEastAsia"/>
          <w:sz w:val="24"/>
          <w:szCs w:val="24"/>
        </w:rPr>
        <w:t>计划自运作起始日满1年时，扣除业绩报酬（如有）后的收益率为X，那么</w:t>
      </w:r>
    </w:p>
    <w:p w:rsidR="00F84A24" w:rsidRPr="00F84A24" w:rsidRDefault="00F84A24" w:rsidP="00F84A24">
      <w:pPr>
        <w:tabs>
          <w:tab w:val="center" w:pos="4153"/>
          <w:tab w:val="right" w:pos="8306"/>
        </w:tabs>
        <w:snapToGrid w:val="0"/>
        <w:spacing w:line="360" w:lineRule="auto"/>
        <w:ind w:firstLineChars="150" w:firstLine="360"/>
        <w:rPr>
          <w:rFonts w:asciiTheme="minorEastAsia" w:hAnsiTheme="minorEastAsia"/>
          <w:sz w:val="24"/>
          <w:szCs w:val="24"/>
        </w:rPr>
      </w:pPr>
      <w:r>
        <w:rPr>
          <w:rFonts w:asciiTheme="minorEastAsia" w:hAnsiTheme="minorEastAsia" w:hint="eastAsia"/>
          <w:sz w:val="24"/>
          <w:szCs w:val="24"/>
        </w:rPr>
        <w:t>当</w:t>
      </w:r>
      <w:r w:rsidRPr="00F84A24">
        <w:rPr>
          <w:rFonts w:asciiTheme="minorEastAsia" w:hAnsiTheme="minorEastAsia"/>
          <w:sz w:val="24"/>
          <w:szCs w:val="24"/>
        </w:rPr>
        <w:t>0%&lt;X≤</w:t>
      </w:r>
      <w:r w:rsidRPr="00F84A24">
        <w:rPr>
          <w:rFonts w:asciiTheme="minorEastAsia" w:hAnsiTheme="minorEastAsia" w:hint="eastAsia"/>
          <w:sz w:val="24"/>
          <w:szCs w:val="24"/>
        </w:rPr>
        <w:t>6.5</w:t>
      </w:r>
      <w:r w:rsidRPr="00F84A24">
        <w:rPr>
          <w:rFonts w:asciiTheme="minorEastAsia" w:hAnsiTheme="minorEastAsia"/>
          <w:sz w:val="24"/>
          <w:szCs w:val="24"/>
        </w:rPr>
        <w:t>%</w:t>
      </w:r>
      <w:r>
        <w:rPr>
          <w:rFonts w:asciiTheme="minorEastAsia" w:hAnsiTheme="minorEastAsia" w:hint="eastAsia"/>
          <w:sz w:val="24"/>
          <w:szCs w:val="24"/>
        </w:rPr>
        <w:t>时</w:t>
      </w:r>
      <w:r w:rsidRPr="00F84A24">
        <w:rPr>
          <w:rFonts w:asciiTheme="minorEastAsia" w:hAnsiTheme="minorEastAsia"/>
          <w:sz w:val="24"/>
          <w:szCs w:val="24"/>
        </w:rPr>
        <w:t>，</w:t>
      </w:r>
      <w:r w:rsidRPr="00F84A24">
        <w:rPr>
          <w:rFonts w:asciiTheme="minorEastAsia" w:hAnsiTheme="minorEastAsia" w:hint="eastAsia"/>
          <w:sz w:val="24"/>
          <w:szCs w:val="24"/>
        </w:rPr>
        <w:t>优先级</w:t>
      </w:r>
      <w:r w:rsidRPr="00F84A24">
        <w:rPr>
          <w:rFonts w:asciiTheme="minorEastAsia" w:hAnsiTheme="minorEastAsia"/>
          <w:sz w:val="24"/>
          <w:szCs w:val="24"/>
        </w:rPr>
        <w:t>份额收益为</w:t>
      </w:r>
      <w:r w:rsidRPr="00F84A24">
        <w:rPr>
          <w:rFonts w:asciiTheme="minorEastAsia" w:hAnsiTheme="minorEastAsia" w:hint="eastAsia"/>
          <w:sz w:val="24"/>
          <w:szCs w:val="24"/>
        </w:rPr>
        <w:t>6.5</w:t>
      </w:r>
      <w:r w:rsidRPr="00F84A24">
        <w:rPr>
          <w:rFonts w:asciiTheme="minorEastAsia" w:hAnsiTheme="minorEastAsia"/>
          <w:sz w:val="24"/>
          <w:szCs w:val="24"/>
        </w:rPr>
        <w:t>%，</w:t>
      </w:r>
      <w:r w:rsidRPr="00F84A24">
        <w:rPr>
          <w:rFonts w:asciiTheme="minorEastAsia" w:hAnsiTheme="minorEastAsia" w:hint="eastAsia"/>
          <w:sz w:val="24"/>
          <w:szCs w:val="24"/>
        </w:rPr>
        <w:t>进取级份额</w:t>
      </w:r>
      <w:r w:rsidRPr="00F84A24">
        <w:rPr>
          <w:rFonts w:asciiTheme="minorEastAsia" w:hAnsiTheme="minorEastAsia"/>
          <w:sz w:val="24"/>
          <w:szCs w:val="24"/>
        </w:rPr>
        <w:t>承担补偿责任；</w:t>
      </w:r>
    </w:p>
    <w:p w:rsidR="00F84A24" w:rsidRDefault="00F84A24" w:rsidP="00F84A24">
      <w:pPr>
        <w:pStyle w:val="a5"/>
        <w:ind w:firstLineChars="150" w:firstLine="360"/>
        <w:rPr>
          <w:rFonts w:asciiTheme="minorEastAsia" w:hAnsiTheme="minorEastAsia"/>
          <w:sz w:val="24"/>
          <w:szCs w:val="24"/>
        </w:rPr>
      </w:pPr>
      <w:r>
        <w:rPr>
          <w:rFonts w:asciiTheme="minorEastAsia" w:hAnsiTheme="minorEastAsia" w:hint="eastAsia"/>
          <w:sz w:val="24"/>
          <w:szCs w:val="24"/>
        </w:rPr>
        <w:t>当</w:t>
      </w:r>
      <w:r w:rsidRPr="00F84A24">
        <w:rPr>
          <w:rFonts w:asciiTheme="minorEastAsia" w:hAnsiTheme="minorEastAsia" w:hint="eastAsia"/>
          <w:sz w:val="24"/>
          <w:szCs w:val="24"/>
        </w:rPr>
        <w:t>6.5</w:t>
      </w:r>
      <w:r w:rsidRPr="00F84A24">
        <w:rPr>
          <w:rFonts w:asciiTheme="minorEastAsia" w:hAnsiTheme="minorEastAsia"/>
          <w:sz w:val="24"/>
          <w:szCs w:val="24"/>
        </w:rPr>
        <w:t>%&lt;X</w:t>
      </w:r>
      <w:r>
        <w:rPr>
          <w:rFonts w:asciiTheme="minorEastAsia" w:hAnsiTheme="minorEastAsia" w:hint="eastAsia"/>
          <w:sz w:val="24"/>
          <w:szCs w:val="24"/>
        </w:rPr>
        <w:t>时</w:t>
      </w:r>
      <w:r w:rsidRPr="00F84A24">
        <w:rPr>
          <w:rFonts w:asciiTheme="minorEastAsia" w:hAnsiTheme="minorEastAsia"/>
          <w:sz w:val="24"/>
          <w:szCs w:val="24"/>
        </w:rPr>
        <w:t>，</w:t>
      </w:r>
      <w:r w:rsidRPr="00F84A24">
        <w:rPr>
          <w:rFonts w:asciiTheme="minorEastAsia" w:hAnsiTheme="minorEastAsia" w:hint="eastAsia"/>
          <w:sz w:val="24"/>
          <w:szCs w:val="24"/>
        </w:rPr>
        <w:t>优先级</w:t>
      </w:r>
      <w:r w:rsidRPr="00F84A24">
        <w:rPr>
          <w:rFonts w:asciiTheme="minorEastAsia" w:hAnsiTheme="minorEastAsia"/>
          <w:sz w:val="24"/>
          <w:szCs w:val="24"/>
        </w:rPr>
        <w:t>份额收益为</w:t>
      </w:r>
      <w:r w:rsidRPr="00F84A24">
        <w:rPr>
          <w:rFonts w:asciiTheme="minorEastAsia" w:hAnsiTheme="minorEastAsia" w:hint="eastAsia"/>
          <w:sz w:val="24"/>
          <w:szCs w:val="24"/>
        </w:rPr>
        <w:t>6.5</w:t>
      </w:r>
      <w:r w:rsidRPr="00F84A24">
        <w:rPr>
          <w:rFonts w:asciiTheme="minorEastAsia" w:hAnsiTheme="minorEastAsia"/>
          <w:sz w:val="24"/>
          <w:szCs w:val="24"/>
        </w:rPr>
        <w:t>%，</w:t>
      </w:r>
      <w:r w:rsidRPr="00F84A24">
        <w:rPr>
          <w:rFonts w:asciiTheme="minorEastAsia" w:hAnsiTheme="minorEastAsia" w:hint="eastAsia"/>
          <w:sz w:val="24"/>
          <w:szCs w:val="24"/>
        </w:rPr>
        <w:t>进取级份额享受</w:t>
      </w:r>
      <w:r w:rsidRPr="00F84A24">
        <w:rPr>
          <w:rFonts w:asciiTheme="minorEastAsia" w:hAnsiTheme="minorEastAsia"/>
          <w:sz w:val="24"/>
          <w:szCs w:val="24"/>
        </w:rPr>
        <w:t>超</w:t>
      </w:r>
      <w:r w:rsidRPr="00F84A24">
        <w:rPr>
          <w:rFonts w:asciiTheme="minorEastAsia" w:hAnsiTheme="minorEastAsia" w:hint="eastAsia"/>
          <w:sz w:val="24"/>
          <w:szCs w:val="24"/>
        </w:rPr>
        <w:t>过6.5</w:t>
      </w:r>
      <w:r w:rsidRPr="00F84A24">
        <w:rPr>
          <w:rFonts w:asciiTheme="minorEastAsia" w:hAnsiTheme="minorEastAsia"/>
          <w:sz w:val="24"/>
          <w:szCs w:val="24"/>
        </w:rPr>
        <w:t>%的收益</w:t>
      </w:r>
      <w:r>
        <w:rPr>
          <w:rFonts w:asciiTheme="minorEastAsia" w:hAnsiTheme="minorEastAsia" w:hint="eastAsia"/>
          <w:sz w:val="24"/>
          <w:szCs w:val="24"/>
        </w:rPr>
        <w:t>。</w:t>
      </w:r>
    </w:p>
    <w:p w:rsidR="009549DF" w:rsidRPr="00D44652" w:rsidRDefault="009549DF" w:rsidP="00D44652">
      <w:pPr>
        <w:rPr>
          <w:rFonts w:asciiTheme="minorEastAsia" w:hAnsiTheme="minorEastAsia" w:hint="eastAsia"/>
          <w:sz w:val="24"/>
          <w:szCs w:val="24"/>
        </w:rPr>
      </w:pPr>
    </w:p>
    <w:p w:rsidR="00F84A24" w:rsidRDefault="00F84A24" w:rsidP="00F84A24">
      <w:pPr>
        <w:pStyle w:val="a5"/>
        <w:ind w:firstLineChars="150" w:firstLine="360"/>
        <w:rPr>
          <w:rFonts w:asciiTheme="minorEastAsia" w:hAnsiTheme="minorEastAsia" w:hint="eastAsia"/>
          <w:sz w:val="24"/>
          <w:szCs w:val="24"/>
        </w:rPr>
      </w:pPr>
      <w:r>
        <w:rPr>
          <w:rFonts w:asciiTheme="minorEastAsia" w:hAnsiTheme="minorEastAsia" w:hint="eastAsia"/>
          <w:sz w:val="24"/>
          <w:szCs w:val="24"/>
        </w:rPr>
        <w:t>表1</w:t>
      </w:r>
      <w:r>
        <w:rPr>
          <w:rFonts w:asciiTheme="minorEastAsia" w:hAnsiTheme="minorEastAsia"/>
          <w:sz w:val="24"/>
          <w:szCs w:val="24"/>
        </w:rPr>
        <w:t xml:space="preserve"> </w:t>
      </w:r>
      <w:r>
        <w:rPr>
          <w:rFonts w:asciiTheme="minorEastAsia" w:hAnsiTheme="minorEastAsia" w:hint="eastAsia"/>
          <w:sz w:val="24"/>
          <w:szCs w:val="24"/>
        </w:rPr>
        <w:t>不同</w:t>
      </w:r>
      <w:r>
        <w:rPr>
          <w:rFonts w:asciiTheme="minorEastAsia" w:hAnsiTheme="minorEastAsia"/>
          <w:sz w:val="24"/>
          <w:szCs w:val="24"/>
        </w:rPr>
        <w:t>的</w:t>
      </w:r>
      <w:r w:rsidR="00FB5D93">
        <w:rPr>
          <w:rFonts w:asciiTheme="minorEastAsia" w:hAnsiTheme="minorEastAsia"/>
          <w:sz w:val="24"/>
          <w:szCs w:val="24"/>
        </w:rPr>
        <w:t>扣除业绩报酬（如有）后的收益</w:t>
      </w:r>
      <w:r w:rsidR="00FB5D93">
        <w:rPr>
          <w:rFonts w:asciiTheme="minorEastAsia" w:hAnsiTheme="minorEastAsia" w:hint="eastAsia"/>
          <w:sz w:val="24"/>
          <w:szCs w:val="24"/>
        </w:rPr>
        <w:t>分配</w:t>
      </w:r>
      <w:r w:rsidR="00FB5D93">
        <w:rPr>
          <w:rFonts w:asciiTheme="minorEastAsia" w:hAnsiTheme="minorEastAsia"/>
          <w:sz w:val="24"/>
          <w:szCs w:val="24"/>
        </w:rPr>
        <w:t>敏感性分析</w:t>
      </w:r>
    </w:p>
    <w:tbl>
      <w:tblPr>
        <w:tblStyle w:val="a8"/>
        <w:tblW w:w="0" w:type="auto"/>
        <w:tblLook w:val="04A0" w:firstRow="1" w:lastRow="0" w:firstColumn="1" w:lastColumn="0" w:noHBand="0" w:noVBand="1"/>
      </w:tblPr>
      <w:tblGrid>
        <w:gridCol w:w="3539"/>
        <w:gridCol w:w="2410"/>
        <w:gridCol w:w="2347"/>
      </w:tblGrid>
      <w:tr w:rsidR="009549DF" w:rsidTr="00FB5D93">
        <w:tc>
          <w:tcPr>
            <w:tcW w:w="3539" w:type="dxa"/>
          </w:tcPr>
          <w:p w:rsidR="00FB5D93" w:rsidRPr="006F575F" w:rsidRDefault="009549DF" w:rsidP="00FB5D93">
            <w:pPr>
              <w:pStyle w:val="a5"/>
              <w:ind w:firstLineChars="0" w:firstLine="0"/>
              <w:jc w:val="center"/>
              <w:rPr>
                <w:rFonts w:asciiTheme="minorEastAsia" w:hAnsiTheme="minorEastAsia"/>
                <w:sz w:val="24"/>
                <w:szCs w:val="24"/>
              </w:rPr>
            </w:pPr>
            <w:r w:rsidRPr="006F575F">
              <w:rPr>
                <w:rFonts w:asciiTheme="minorEastAsia" w:hAnsiTheme="minorEastAsia"/>
                <w:sz w:val="24"/>
                <w:szCs w:val="24"/>
              </w:rPr>
              <w:t>扣除业绩报酬（如有）后的</w:t>
            </w:r>
          </w:p>
          <w:p w:rsidR="009549DF" w:rsidRPr="006F575F" w:rsidRDefault="009549DF"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sz w:val="24"/>
                <w:szCs w:val="24"/>
              </w:rPr>
              <w:t>收益率</w:t>
            </w:r>
          </w:p>
        </w:tc>
        <w:tc>
          <w:tcPr>
            <w:tcW w:w="2410" w:type="dxa"/>
          </w:tcPr>
          <w:p w:rsidR="009549DF" w:rsidRPr="006F575F" w:rsidRDefault="009549DF"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sz w:val="24"/>
                <w:szCs w:val="24"/>
              </w:rPr>
              <w:t>优先级份额</w:t>
            </w:r>
            <w:r w:rsidRPr="006F575F">
              <w:rPr>
                <w:rFonts w:asciiTheme="minorEastAsia" w:hAnsiTheme="minorEastAsia" w:hint="eastAsia"/>
                <w:sz w:val="24"/>
                <w:szCs w:val="24"/>
              </w:rPr>
              <w:t>收益率</w:t>
            </w:r>
          </w:p>
        </w:tc>
        <w:tc>
          <w:tcPr>
            <w:tcW w:w="2347" w:type="dxa"/>
          </w:tcPr>
          <w:p w:rsidR="009549DF" w:rsidRPr="006F575F" w:rsidRDefault="009549DF"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sz w:val="24"/>
                <w:szCs w:val="24"/>
              </w:rPr>
              <w:t>进取级份额收益</w:t>
            </w:r>
            <w:r w:rsidRPr="006F575F">
              <w:rPr>
                <w:rFonts w:asciiTheme="minorEastAsia" w:hAnsiTheme="minorEastAsia" w:hint="eastAsia"/>
                <w:sz w:val="24"/>
                <w:szCs w:val="24"/>
              </w:rPr>
              <w:t>率</w:t>
            </w:r>
          </w:p>
        </w:tc>
      </w:tr>
      <w:tr w:rsidR="009549DF" w:rsidTr="00FB5D93">
        <w:tc>
          <w:tcPr>
            <w:tcW w:w="3539" w:type="dxa"/>
          </w:tcPr>
          <w:p w:rsidR="009549DF" w:rsidRPr="006F575F" w:rsidRDefault="00FB5D9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sz w:val="24"/>
                <w:szCs w:val="24"/>
              </w:rPr>
              <w:t>0%</w:t>
            </w:r>
          </w:p>
        </w:tc>
        <w:tc>
          <w:tcPr>
            <w:tcW w:w="2410" w:type="dxa"/>
          </w:tcPr>
          <w:p w:rsidR="009549DF" w:rsidRPr="006F575F" w:rsidRDefault="00FB5D9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hint="eastAsia"/>
                <w:sz w:val="24"/>
                <w:szCs w:val="24"/>
              </w:rPr>
              <w:t>6.5</w:t>
            </w:r>
            <w:r w:rsidRPr="006F575F">
              <w:rPr>
                <w:rFonts w:asciiTheme="minorEastAsia" w:hAnsiTheme="minorEastAsia"/>
                <w:sz w:val="24"/>
                <w:szCs w:val="24"/>
              </w:rPr>
              <w:t>%</w:t>
            </w:r>
          </w:p>
        </w:tc>
        <w:tc>
          <w:tcPr>
            <w:tcW w:w="2347" w:type="dxa"/>
          </w:tcPr>
          <w:p w:rsidR="009549DF" w:rsidRPr="006F575F" w:rsidRDefault="00FB5D9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hint="eastAsia"/>
                <w:sz w:val="24"/>
                <w:szCs w:val="24"/>
              </w:rPr>
              <w:t>-</w:t>
            </w:r>
            <w:r w:rsidRPr="006F575F">
              <w:rPr>
                <w:rFonts w:asciiTheme="minorEastAsia" w:hAnsiTheme="minorEastAsia"/>
                <w:sz w:val="24"/>
                <w:szCs w:val="24"/>
              </w:rPr>
              <w:t>2</w:t>
            </w:r>
            <w:r w:rsidRPr="006F575F">
              <w:rPr>
                <w:rFonts w:asciiTheme="minorEastAsia" w:hAnsiTheme="minorEastAsia" w:hint="eastAsia"/>
                <w:sz w:val="24"/>
                <w:szCs w:val="24"/>
              </w:rPr>
              <w:t>6</w:t>
            </w:r>
            <w:r w:rsidRPr="006F575F">
              <w:rPr>
                <w:rFonts w:asciiTheme="minorEastAsia" w:hAnsiTheme="minorEastAsia"/>
                <w:sz w:val="24"/>
                <w:szCs w:val="24"/>
              </w:rPr>
              <w:t>%</w:t>
            </w:r>
          </w:p>
        </w:tc>
      </w:tr>
      <w:tr w:rsidR="009549DF" w:rsidTr="00FB5D93">
        <w:tc>
          <w:tcPr>
            <w:tcW w:w="3539" w:type="dxa"/>
          </w:tcPr>
          <w:p w:rsidR="009549DF" w:rsidRPr="006F575F" w:rsidRDefault="00FB5D9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sz w:val="24"/>
                <w:szCs w:val="24"/>
              </w:rPr>
              <w:t>5%</w:t>
            </w:r>
          </w:p>
        </w:tc>
        <w:tc>
          <w:tcPr>
            <w:tcW w:w="2410" w:type="dxa"/>
          </w:tcPr>
          <w:p w:rsidR="009549DF" w:rsidRPr="006F575F" w:rsidRDefault="00FB5D9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hint="eastAsia"/>
                <w:sz w:val="24"/>
                <w:szCs w:val="24"/>
              </w:rPr>
              <w:t>6.5</w:t>
            </w:r>
            <w:r w:rsidRPr="006F575F">
              <w:rPr>
                <w:rFonts w:asciiTheme="minorEastAsia" w:hAnsiTheme="minorEastAsia"/>
                <w:sz w:val="24"/>
                <w:szCs w:val="24"/>
              </w:rPr>
              <w:t>%</w:t>
            </w:r>
          </w:p>
        </w:tc>
        <w:tc>
          <w:tcPr>
            <w:tcW w:w="2347" w:type="dxa"/>
          </w:tcPr>
          <w:p w:rsidR="009549DF" w:rsidRPr="006F575F" w:rsidRDefault="00FB5D9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hint="eastAsia"/>
                <w:sz w:val="24"/>
                <w:szCs w:val="24"/>
              </w:rPr>
              <w:t>-1</w:t>
            </w:r>
            <w:r w:rsidRPr="006F575F">
              <w:rPr>
                <w:rFonts w:asciiTheme="minorEastAsia" w:hAnsiTheme="minorEastAsia"/>
                <w:sz w:val="24"/>
                <w:szCs w:val="24"/>
              </w:rPr>
              <w:t>%</w:t>
            </w:r>
          </w:p>
        </w:tc>
      </w:tr>
      <w:tr w:rsidR="009549DF" w:rsidTr="00FB5D93">
        <w:tc>
          <w:tcPr>
            <w:tcW w:w="3539" w:type="dxa"/>
          </w:tcPr>
          <w:p w:rsidR="009549DF" w:rsidRPr="006F575F" w:rsidRDefault="00FB5D9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hint="eastAsia"/>
                <w:sz w:val="24"/>
                <w:szCs w:val="24"/>
              </w:rPr>
              <w:t>6.5</w:t>
            </w:r>
            <w:r w:rsidRPr="006F575F">
              <w:rPr>
                <w:rFonts w:asciiTheme="minorEastAsia" w:hAnsiTheme="minorEastAsia"/>
                <w:sz w:val="24"/>
                <w:szCs w:val="24"/>
              </w:rPr>
              <w:t>%</w:t>
            </w:r>
          </w:p>
        </w:tc>
        <w:tc>
          <w:tcPr>
            <w:tcW w:w="2410" w:type="dxa"/>
          </w:tcPr>
          <w:p w:rsidR="009549DF" w:rsidRPr="006F575F" w:rsidRDefault="00FB5D9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hint="eastAsia"/>
                <w:sz w:val="24"/>
                <w:szCs w:val="24"/>
              </w:rPr>
              <w:t>6.5</w:t>
            </w:r>
            <w:r w:rsidRPr="006F575F">
              <w:rPr>
                <w:rFonts w:asciiTheme="minorEastAsia" w:hAnsiTheme="minorEastAsia"/>
                <w:sz w:val="24"/>
                <w:szCs w:val="24"/>
              </w:rPr>
              <w:t>%</w:t>
            </w:r>
          </w:p>
        </w:tc>
        <w:tc>
          <w:tcPr>
            <w:tcW w:w="2347" w:type="dxa"/>
          </w:tcPr>
          <w:p w:rsidR="009549DF" w:rsidRPr="006F575F" w:rsidRDefault="00FB5D9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hint="eastAsia"/>
                <w:sz w:val="24"/>
                <w:szCs w:val="24"/>
              </w:rPr>
              <w:t>6.5</w:t>
            </w:r>
            <w:r w:rsidRPr="006F575F">
              <w:rPr>
                <w:rFonts w:asciiTheme="minorEastAsia" w:hAnsiTheme="minorEastAsia"/>
                <w:sz w:val="24"/>
                <w:szCs w:val="24"/>
              </w:rPr>
              <w:t>%</w:t>
            </w:r>
          </w:p>
        </w:tc>
      </w:tr>
      <w:tr w:rsidR="009549DF" w:rsidTr="00FB5D93">
        <w:tc>
          <w:tcPr>
            <w:tcW w:w="3539" w:type="dxa"/>
          </w:tcPr>
          <w:p w:rsidR="009549DF" w:rsidRPr="006F575F" w:rsidRDefault="00FB5D9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hint="eastAsia"/>
                <w:sz w:val="24"/>
                <w:szCs w:val="24"/>
              </w:rPr>
              <w:t>10%</w:t>
            </w:r>
          </w:p>
        </w:tc>
        <w:tc>
          <w:tcPr>
            <w:tcW w:w="2410" w:type="dxa"/>
          </w:tcPr>
          <w:p w:rsidR="009549DF" w:rsidRPr="006F575F" w:rsidRDefault="00FB5D9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hint="eastAsia"/>
                <w:sz w:val="24"/>
                <w:szCs w:val="24"/>
              </w:rPr>
              <w:t>6.5</w:t>
            </w:r>
            <w:r w:rsidRPr="006F575F">
              <w:rPr>
                <w:rFonts w:asciiTheme="minorEastAsia" w:hAnsiTheme="minorEastAsia"/>
                <w:sz w:val="24"/>
                <w:szCs w:val="24"/>
              </w:rPr>
              <w:t>%</w:t>
            </w:r>
          </w:p>
        </w:tc>
        <w:tc>
          <w:tcPr>
            <w:tcW w:w="2347" w:type="dxa"/>
          </w:tcPr>
          <w:p w:rsidR="009549DF" w:rsidRPr="006F575F" w:rsidRDefault="00FB5D9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hint="eastAsia"/>
                <w:sz w:val="24"/>
                <w:szCs w:val="24"/>
              </w:rPr>
              <w:t>24</w:t>
            </w:r>
            <w:r w:rsidRPr="006F575F">
              <w:rPr>
                <w:rFonts w:asciiTheme="minorEastAsia" w:hAnsiTheme="minorEastAsia"/>
                <w:sz w:val="24"/>
                <w:szCs w:val="24"/>
              </w:rPr>
              <w:t>%</w:t>
            </w:r>
          </w:p>
        </w:tc>
      </w:tr>
      <w:tr w:rsidR="00995013" w:rsidTr="00FB5D93">
        <w:tc>
          <w:tcPr>
            <w:tcW w:w="3539" w:type="dxa"/>
          </w:tcPr>
          <w:p w:rsidR="00995013" w:rsidRPr="006F575F" w:rsidRDefault="0099501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hint="eastAsia"/>
                <w:sz w:val="24"/>
                <w:szCs w:val="24"/>
              </w:rPr>
              <w:t>15</w:t>
            </w:r>
            <w:r w:rsidRPr="006F575F">
              <w:rPr>
                <w:rFonts w:asciiTheme="minorEastAsia" w:hAnsiTheme="minorEastAsia"/>
                <w:sz w:val="24"/>
                <w:szCs w:val="24"/>
              </w:rPr>
              <w:t>%</w:t>
            </w:r>
          </w:p>
        </w:tc>
        <w:tc>
          <w:tcPr>
            <w:tcW w:w="2410" w:type="dxa"/>
          </w:tcPr>
          <w:p w:rsidR="00995013" w:rsidRPr="006F575F" w:rsidRDefault="0099501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hint="eastAsia"/>
                <w:sz w:val="24"/>
                <w:szCs w:val="24"/>
              </w:rPr>
              <w:t>6.5</w:t>
            </w:r>
            <w:r w:rsidRPr="006F575F">
              <w:rPr>
                <w:rFonts w:asciiTheme="minorEastAsia" w:hAnsiTheme="minorEastAsia"/>
                <w:sz w:val="24"/>
                <w:szCs w:val="24"/>
              </w:rPr>
              <w:t>%</w:t>
            </w:r>
          </w:p>
        </w:tc>
        <w:tc>
          <w:tcPr>
            <w:tcW w:w="2347" w:type="dxa"/>
          </w:tcPr>
          <w:p w:rsidR="00995013" w:rsidRPr="006F575F" w:rsidRDefault="0099501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hint="eastAsia"/>
                <w:sz w:val="24"/>
                <w:szCs w:val="24"/>
              </w:rPr>
              <w:t>49</w:t>
            </w:r>
            <w:r w:rsidRPr="006F575F">
              <w:rPr>
                <w:rFonts w:asciiTheme="minorEastAsia" w:hAnsiTheme="minorEastAsia"/>
                <w:sz w:val="24"/>
                <w:szCs w:val="24"/>
              </w:rPr>
              <w:t>%</w:t>
            </w:r>
          </w:p>
        </w:tc>
      </w:tr>
      <w:tr w:rsidR="00995013" w:rsidTr="00FB5D93">
        <w:tc>
          <w:tcPr>
            <w:tcW w:w="3539" w:type="dxa"/>
          </w:tcPr>
          <w:p w:rsidR="00995013" w:rsidRPr="006F575F" w:rsidRDefault="0099501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hint="eastAsia"/>
                <w:sz w:val="24"/>
                <w:szCs w:val="24"/>
              </w:rPr>
              <w:lastRenderedPageBreak/>
              <w:t>20</w:t>
            </w:r>
            <w:r w:rsidRPr="006F575F">
              <w:rPr>
                <w:rFonts w:asciiTheme="minorEastAsia" w:hAnsiTheme="minorEastAsia"/>
                <w:sz w:val="24"/>
                <w:szCs w:val="24"/>
              </w:rPr>
              <w:t>%</w:t>
            </w:r>
          </w:p>
        </w:tc>
        <w:tc>
          <w:tcPr>
            <w:tcW w:w="2410" w:type="dxa"/>
          </w:tcPr>
          <w:p w:rsidR="00995013" w:rsidRPr="006F575F" w:rsidRDefault="0099501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hint="eastAsia"/>
                <w:sz w:val="24"/>
                <w:szCs w:val="24"/>
              </w:rPr>
              <w:t>6.5</w:t>
            </w:r>
            <w:r w:rsidRPr="006F575F">
              <w:rPr>
                <w:rFonts w:asciiTheme="minorEastAsia" w:hAnsiTheme="minorEastAsia"/>
                <w:sz w:val="24"/>
                <w:szCs w:val="24"/>
              </w:rPr>
              <w:t>%</w:t>
            </w:r>
          </w:p>
        </w:tc>
        <w:tc>
          <w:tcPr>
            <w:tcW w:w="2347" w:type="dxa"/>
          </w:tcPr>
          <w:p w:rsidR="00995013" w:rsidRPr="006F575F" w:rsidRDefault="00995013" w:rsidP="00FB5D93">
            <w:pPr>
              <w:pStyle w:val="a5"/>
              <w:ind w:firstLineChars="0" w:firstLine="0"/>
              <w:jc w:val="center"/>
              <w:rPr>
                <w:rFonts w:asciiTheme="minorEastAsia" w:hAnsiTheme="minorEastAsia" w:hint="eastAsia"/>
                <w:sz w:val="24"/>
                <w:szCs w:val="24"/>
              </w:rPr>
            </w:pPr>
            <w:r w:rsidRPr="006F575F">
              <w:rPr>
                <w:rFonts w:asciiTheme="minorEastAsia" w:hAnsiTheme="minorEastAsia" w:hint="eastAsia"/>
                <w:sz w:val="24"/>
                <w:szCs w:val="24"/>
              </w:rPr>
              <w:t>74</w:t>
            </w:r>
            <w:r w:rsidRPr="006F575F">
              <w:rPr>
                <w:rFonts w:asciiTheme="minorEastAsia" w:hAnsiTheme="minorEastAsia"/>
                <w:sz w:val="24"/>
                <w:szCs w:val="24"/>
              </w:rPr>
              <w:t>%</w:t>
            </w:r>
          </w:p>
        </w:tc>
      </w:tr>
    </w:tbl>
    <w:p w:rsidR="009549DF" w:rsidRPr="00F84A24" w:rsidRDefault="009549DF" w:rsidP="00F84A24">
      <w:pPr>
        <w:pStyle w:val="a5"/>
        <w:ind w:firstLineChars="150" w:firstLine="360"/>
        <w:rPr>
          <w:rFonts w:asciiTheme="minorEastAsia" w:hAnsiTheme="minorEastAsia" w:hint="eastAsia"/>
          <w:sz w:val="24"/>
          <w:szCs w:val="24"/>
        </w:rPr>
      </w:pPr>
    </w:p>
    <w:sectPr w:rsidR="009549DF" w:rsidRPr="00F84A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4169" w:rsidRDefault="00CD4169" w:rsidP="005609E4">
      <w:r>
        <w:separator/>
      </w:r>
    </w:p>
  </w:endnote>
  <w:endnote w:type="continuationSeparator" w:id="0">
    <w:p w:rsidR="00CD4169" w:rsidRDefault="00CD4169" w:rsidP="00560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4169" w:rsidRDefault="00CD4169" w:rsidP="005609E4">
      <w:r>
        <w:separator/>
      </w:r>
    </w:p>
  </w:footnote>
  <w:footnote w:type="continuationSeparator" w:id="0">
    <w:p w:rsidR="00CD4169" w:rsidRDefault="00CD4169" w:rsidP="005609E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C5EFD"/>
    <w:multiLevelType w:val="hybridMultilevel"/>
    <w:tmpl w:val="4AF86DF4"/>
    <w:lvl w:ilvl="0" w:tplc="F70662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7851A46"/>
    <w:multiLevelType w:val="hybridMultilevel"/>
    <w:tmpl w:val="7478AF88"/>
    <w:lvl w:ilvl="0" w:tplc="EB42CA0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838719F"/>
    <w:multiLevelType w:val="hybridMultilevel"/>
    <w:tmpl w:val="219003E2"/>
    <w:lvl w:ilvl="0" w:tplc="E2DEF6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FE360AA"/>
    <w:multiLevelType w:val="hybridMultilevel"/>
    <w:tmpl w:val="7548B8A2"/>
    <w:lvl w:ilvl="0" w:tplc="12B40580">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53617AE"/>
    <w:multiLevelType w:val="hybridMultilevel"/>
    <w:tmpl w:val="96360F54"/>
    <w:lvl w:ilvl="0" w:tplc="F59E6150">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78C3C4F"/>
    <w:multiLevelType w:val="hybridMultilevel"/>
    <w:tmpl w:val="4C3AB102"/>
    <w:lvl w:ilvl="0" w:tplc="7FCE8148">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6068467C"/>
    <w:multiLevelType w:val="hybridMultilevel"/>
    <w:tmpl w:val="1504783C"/>
    <w:lvl w:ilvl="0" w:tplc="D944813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2"/>
  </w:num>
  <w:num w:numId="3">
    <w:abstractNumId w:val="0"/>
  </w:num>
  <w:num w:numId="4">
    <w:abstractNumId w:val="5"/>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BED"/>
    <w:rsid w:val="00034567"/>
    <w:rsid w:val="00077AD6"/>
    <w:rsid w:val="0010673A"/>
    <w:rsid w:val="001136BD"/>
    <w:rsid w:val="00137E56"/>
    <w:rsid w:val="00235A02"/>
    <w:rsid w:val="00254B94"/>
    <w:rsid w:val="0029095F"/>
    <w:rsid w:val="0029109A"/>
    <w:rsid w:val="00363A2C"/>
    <w:rsid w:val="004F0E2D"/>
    <w:rsid w:val="005609E4"/>
    <w:rsid w:val="00567C02"/>
    <w:rsid w:val="00577653"/>
    <w:rsid w:val="00616E8D"/>
    <w:rsid w:val="00636456"/>
    <w:rsid w:val="006B639B"/>
    <w:rsid w:val="006F575F"/>
    <w:rsid w:val="00767BCA"/>
    <w:rsid w:val="0081261D"/>
    <w:rsid w:val="00831235"/>
    <w:rsid w:val="00831820"/>
    <w:rsid w:val="008319DB"/>
    <w:rsid w:val="008D274D"/>
    <w:rsid w:val="00922B1C"/>
    <w:rsid w:val="009549DF"/>
    <w:rsid w:val="00995013"/>
    <w:rsid w:val="009D5D8F"/>
    <w:rsid w:val="00B117F1"/>
    <w:rsid w:val="00B2538F"/>
    <w:rsid w:val="00B31BED"/>
    <w:rsid w:val="00B73995"/>
    <w:rsid w:val="00C515E8"/>
    <w:rsid w:val="00C57E38"/>
    <w:rsid w:val="00C91CBA"/>
    <w:rsid w:val="00CD4169"/>
    <w:rsid w:val="00D44652"/>
    <w:rsid w:val="00D45BA3"/>
    <w:rsid w:val="00D67808"/>
    <w:rsid w:val="00EA6343"/>
    <w:rsid w:val="00ED6A37"/>
    <w:rsid w:val="00EF5F8D"/>
    <w:rsid w:val="00F252E4"/>
    <w:rsid w:val="00F435E2"/>
    <w:rsid w:val="00F62B9E"/>
    <w:rsid w:val="00F84A24"/>
    <w:rsid w:val="00F859AE"/>
    <w:rsid w:val="00F90F53"/>
    <w:rsid w:val="00FA6482"/>
    <w:rsid w:val="00FB5D93"/>
    <w:rsid w:val="00FC0D90"/>
    <w:rsid w:val="00FC2E3C"/>
    <w:rsid w:val="00FE4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E0EA756-D254-4360-8ED1-2A771A2C8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609E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609E4"/>
    <w:rPr>
      <w:sz w:val="18"/>
      <w:szCs w:val="18"/>
    </w:rPr>
  </w:style>
  <w:style w:type="paragraph" w:styleId="a4">
    <w:name w:val="footer"/>
    <w:basedOn w:val="a"/>
    <w:link w:val="Char0"/>
    <w:uiPriority w:val="99"/>
    <w:unhideWhenUsed/>
    <w:rsid w:val="005609E4"/>
    <w:pPr>
      <w:tabs>
        <w:tab w:val="center" w:pos="4153"/>
        <w:tab w:val="right" w:pos="8306"/>
      </w:tabs>
      <w:snapToGrid w:val="0"/>
      <w:jc w:val="left"/>
    </w:pPr>
    <w:rPr>
      <w:sz w:val="18"/>
      <w:szCs w:val="18"/>
    </w:rPr>
  </w:style>
  <w:style w:type="character" w:customStyle="1" w:styleId="Char0">
    <w:name w:val="页脚 Char"/>
    <w:basedOn w:val="a0"/>
    <w:link w:val="a4"/>
    <w:uiPriority w:val="99"/>
    <w:rsid w:val="005609E4"/>
    <w:rPr>
      <w:sz w:val="18"/>
      <w:szCs w:val="18"/>
    </w:rPr>
  </w:style>
  <w:style w:type="paragraph" w:styleId="a5">
    <w:name w:val="List Paragraph"/>
    <w:basedOn w:val="a"/>
    <w:uiPriority w:val="34"/>
    <w:qFormat/>
    <w:rsid w:val="005609E4"/>
    <w:pPr>
      <w:ind w:firstLineChars="200" w:firstLine="420"/>
    </w:pPr>
  </w:style>
  <w:style w:type="character" w:styleId="a6">
    <w:name w:val="Hyperlink"/>
    <w:basedOn w:val="a0"/>
    <w:uiPriority w:val="99"/>
    <w:semiHidden/>
    <w:unhideWhenUsed/>
    <w:rsid w:val="00D67808"/>
    <w:rPr>
      <w:color w:val="0000FF"/>
      <w:u w:val="single"/>
    </w:rPr>
  </w:style>
  <w:style w:type="paragraph" w:styleId="a7">
    <w:name w:val="Balloon Text"/>
    <w:basedOn w:val="a"/>
    <w:link w:val="Char1"/>
    <w:uiPriority w:val="99"/>
    <w:semiHidden/>
    <w:unhideWhenUsed/>
    <w:rsid w:val="00F84A24"/>
    <w:rPr>
      <w:rFonts w:ascii="Times New Roman" w:eastAsia="宋体" w:hAnsi="Times New Roman" w:cs="Times New Roman"/>
      <w:sz w:val="18"/>
      <w:szCs w:val="18"/>
    </w:rPr>
  </w:style>
  <w:style w:type="character" w:customStyle="1" w:styleId="Char1">
    <w:name w:val="批注框文本 Char"/>
    <w:basedOn w:val="a0"/>
    <w:link w:val="a7"/>
    <w:uiPriority w:val="99"/>
    <w:semiHidden/>
    <w:rsid w:val="00F84A24"/>
    <w:rPr>
      <w:rFonts w:ascii="Times New Roman" w:eastAsia="宋体" w:hAnsi="Times New Roman" w:cs="Times New Roman"/>
      <w:sz w:val="18"/>
      <w:szCs w:val="18"/>
    </w:rPr>
  </w:style>
  <w:style w:type="table" w:styleId="a8">
    <w:name w:val="Table Grid"/>
    <w:basedOn w:val="a1"/>
    <w:uiPriority w:val="39"/>
    <w:rsid w:val="009549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9.wmf"/><Relationship Id="rId3" Type="http://schemas.openxmlformats.org/officeDocument/2006/relationships/settings" Target="settings.xml"/><Relationship Id="rId21" Type="http://schemas.openxmlformats.org/officeDocument/2006/relationships/image" Target="media/image7.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oleObject" Target="embeddings/oleObject11.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8.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10.bin"/><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8.wmf"/><Relationship Id="rId28" Type="http://schemas.openxmlformats.org/officeDocument/2006/relationships/oleObject" Target="embeddings/oleObject13.bin"/><Relationship Id="rId10" Type="http://schemas.openxmlformats.org/officeDocument/2006/relationships/oleObject" Target="embeddings/oleObject2.bin"/><Relationship Id="rId19" Type="http://schemas.openxmlformats.org/officeDocument/2006/relationships/oleObject" Target="embeddings/oleObject7.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9.bin"/><Relationship Id="rId27" Type="http://schemas.openxmlformats.org/officeDocument/2006/relationships/oleObject" Target="embeddings/oleObject12.bin"/><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5</Pages>
  <Words>438</Words>
  <Characters>2502</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陈潇</dc:creator>
  <cp:keywords/>
  <dc:description/>
  <cp:lastModifiedBy>陈潇</cp:lastModifiedBy>
  <cp:revision>36</cp:revision>
  <dcterms:created xsi:type="dcterms:W3CDTF">2014-09-18T05:14:00Z</dcterms:created>
  <dcterms:modified xsi:type="dcterms:W3CDTF">2014-09-19T08:03:00Z</dcterms:modified>
</cp:coreProperties>
</file>