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rial" w:hAnsi="Arial"/>
          <w:b/>
          <w:sz w:val="32"/>
        </w:rPr>
        <w:t>Universidad Peruana de Ciencias Aplicadas</w:t>
      </w:r>
    </w:p>
    <w:p>
      <w:pPr>
        <w:spacing w:before="360"/>
        <w:jc w:val="center"/>
      </w:pPr>
      <w:r>
        <w:rPr>
          <w:rFonts w:ascii="Arial" w:hAnsi="Arial"/>
          <w:b/>
          <w:color w:val="C8102E"/>
          <w:sz w:val="50"/>
        </w:rPr>
        <w:t>Auditoría interna - Startup CargoSystems</w:t>
      </w:r>
    </w:p>
    <w:p>
      <w:pPr>
        <w:spacing w:after="40"/>
        <w:jc w:val="center"/>
      </w:pPr>
      <w:r>
        <w:rPr>
          <w:rFonts w:ascii="Arial" w:hAnsi="Arial"/>
          <w:b/>
          <w:sz w:val="28"/>
        </w:rPr>
        <w:t>Diseño de Experimentos de Ingeniería de Software</w:t>
      </w:r>
    </w:p>
    <w:p>
      <w:pPr>
        <w:spacing w:after="40"/>
        <w:jc w:val="center"/>
      </w:pPr>
      <w:r>
        <w:rPr>
          <w:rFonts w:ascii="Arial" w:hAnsi="Arial"/>
          <w:b w:val="0"/>
          <w:sz w:val="22"/>
        </w:rPr>
        <w:t>Código del curso: 1ASI0732</w:t>
      </w:r>
    </w:p>
    <w:p>
      <w:pPr>
        <w:spacing w:after="40"/>
        <w:jc w:val="center"/>
      </w:pPr>
      <w:r>
        <w:rPr>
          <w:rFonts w:ascii="Arial" w:hAnsi="Arial"/>
          <w:b w:val="0"/>
          <w:sz w:val="22"/>
        </w:rPr>
        <w:t>NRC: 12278</w:t>
      </w:r>
    </w:p>
    <w:p>
      <w:pPr>
        <w:spacing w:after="40"/>
        <w:jc w:val="center"/>
      </w:pPr>
      <w:r>
        <w:rPr>
          <w:rFonts w:ascii="Arial" w:hAnsi="Arial"/>
          <w:b w:val="0"/>
          <w:sz w:val="22"/>
        </w:rPr>
        <w:t>Grupo: 5</w:t>
      </w:r>
    </w:p>
    <w:p>
      <w:pPr>
        <w:spacing w:after="40"/>
        <w:jc w:val="center"/>
      </w:pPr>
      <w:r>
        <w:rPr>
          <w:rFonts w:ascii="Arial" w:hAnsi="Arial"/>
          <w:b w:val="0"/>
          <w:sz w:val="22"/>
        </w:rPr>
        <w:t>Profesor: Julio Manuel Noriega Melendez</w:t>
      </w:r>
    </w:p>
    <w:p>
      <w:pPr>
        <w:spacing w:before="280" w:after="80"/>
      </w:pPr>
      <w:r>
        <w:rPr>
          <w:b/>
          <w:color w:val="C8102E"/>
          <w:sz w:val="23"/>
        </w:rPr>
        <w:t>Equipo auditor</w:t>
      </w:r>
    </w:p>
    <w:tbl>
      <w:tblPr>
        <w:tblW w:type="auto" w:w="0"/>
        <w:jc w:val="center"/>
        <w:tblLayout w:type="fixed"/>
        <w:tblLook w:firstColumn="1" w:firstRow="1" w:lastColumn="0" w:lastRow="0" w:noHBand="0" w:noVBand="1" w:val="04A0"/>
        <w:tblBorders>
          <w:top w:val="single" w:sz="7" w:space="0" w:color="777777"/>
          <w:left w:val="single" w:sz="7" w:space="0" w:color="777777"/>
          <w:bottom w:val="single" w:sz="7" w:space="0" w:color="777777"/>
          <w:right w:val="single" w:sz="7" w:space="0" w:color="777777"/>
          <w:insideH w:val="single" w:sz="7" w:space="0" w:color="777777"/>
          <w:insideV w:val="single" w:sz="7" w:space="0" w:color="777777"/>
        </w:tblBorders>
      </w:tblPr>
      <w:tblGrid>
        <w:gridCol w:w="9858"/>
      </w:tblGrid>
      <w:tr>
        <w:tc>
          <w:tcPr>
            <w:tcW w:type="dxa" w:w="8504"/>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21"/>
              </w:rPr>
              <w:t>Startup: Jobsy</w:t>
            </w:r>
          </w:p>
        </w:tc>
      </w:tr>
      <w:tr>
        <w:tc>
          <w:tcPr>
            <w:tcW w:type="dxa" w:w="8504"/>
            <w:vAlign w:val="center"/>
            <w:tcMar>
              <w:top w:w="70" w:type="dxa"/>
              <w:start w:w="90" w:type="dxa"/>
              <w:bottom w:w="70" w:type="dxa"/>
              <w:end w:w="90" w:type="dxa"/>
            </w:tcMar>
          </w:tcPr>
          <w:p>
            <w:pPr>
              <w:spacing w:after="0" w:before="0" w:line="240" w:lineRule="auto"/>
              <w:jc w:val="center"/>
            </w:pPr>
            <w:r/>
            <w:r>
              <w:rPr>
                <w:rFonts w:ascii="Arial" w:hAnsi="Arial"/>
                <w:b w:val="0"/>
                <w:color w:val="222222"/>
                <w:sz w:val="20"/>
              </w:rPr>
              <w:t>María Patricia Hernández Uchuya - U202311258</w:t>
              <w:br/>
              <w:t>Jasmin Adriana Urrutia Peña - U202310008</w:t>
              <w:br/>
              <w:t>Fabricio Samir Vega Coronado - U202317000</w:t>
              <w:br/>
              <w:t>Ysaac Ligorio Villanueva Andrade - U20231C168</w:t>
            </w:r>
          </w:p>
        </w:tc>
      </w:tr>
    </w:tbl>
    <w:p>
      <w:pPr>
        <w:spacing w:before="440"/>
        <w:jc w:val="center"/>
      </w:pPr>
      <w:r>
        <w:rPr>
          <w:rFonts w:ascii="Arial" w:hAnsi="Arial"/>
          <w:b/>
          <w:sz w:val="22"/>
        </w:rPr>
        <w:t>03 de julio de 2026</w:t>
      </w:r>
    </w:p>
    <w:p>
      <w:pPr>
        <w:jc w:val="center"/>
      </w:pPr>
      <w:r>
        <w:rPr>
          <w:rFonts w:ascii="Arial" w:hAnsi="Arial"/>
          <w:sz w:val="22"/>
        </w:rPr>
        <w:t>2026-1</w:t>
      </w:r>
    </w:p>
    <w:p>
      <w:pPr>
        <w:sectPr>
          <w:footerReference w:type="default" r:id="rId9"/>
          <w:headerReference w:type="default" r:id="rId10"/>
          <w:pgSz w:w="12240" w:h="15840"/>
          <w:pgMar w:top="1020" w:right="1191" w:bottom="850" w:left="1191" w:header="397" w:footer="397" w:gutter="0"/>
          <w:cols w:space="720"/>
          <w:docGrid w:linePitch="360"/>
        </w:sectPr>
      </w:pPr>
    </w:p>
    <w:p>
      <w:pPr>
        <w:pStyle w:val="Heading1"/>
        <w:keepNext/>
      </w:pPr>
      <w:r>
        <w:t>Índice del contenido</w:t>
      </w:r>
    </w:p>
    <w:p>
      <w:pPr>
        <w:tabs>
          <w:tab w:pos="9071" w:val="right" w:leader="dot"/>
        </w:tabs>
        <w:spacing w:after="120"/>
      </w:pPr>
      <w:r>
        <w:rPr>
          <w:sz w:val="22"/>
        </w:rPr>
        <w:t>1. Objetivo de la auditoría</w:t>
      </w:r>
      <w:r>
        <w:tab/>
        <w:t>3</w:t>
      </w:r>
    </w:p>
    <w:p>
      <w:pPr>
        <w:tabs>
          <w:tab w:pos="9071" w:val="right" w:leader="dot"/>
        </w:tabs>
        <w:spacing w:after="120"/>
      </w:pPr>
      <w:r>
        <w:rPr>
          <w:sz w:val="22"/>
        </w:rPr>
        <w:t>2. Alcance de la auditoría</w:t>
      </w:r>
      <w:r>
        <w:tab/>
        <w:t>3</w:t>
      </w:r>
    </w:p>
    <w:p>
      <w:pPr>
        <w:tabs>
          <w:tab w:pos="9071" w:val="right" w:leader="dot"/>
        </w:tabs>
        <w:spacing w:after="120"/>
      </w:pPr>
      <w:r>
        <w:rPr>
          <w:sz w:val="22"/>
        </w:rPr>
        <w:t>3. Información del grupo auditado</w:t>
      </w:r>
      <w:r>
        <w:tab/>
        <w:t>4</w:t>
      </w:r>
    </w:p>
    <w:p>
      <w:pPr>
        <w:tabs>
          <w:tab w:pos="9071" w:val="right" w:leader="dot"/>
        </w:tabs>
        <w:spacing w:after="120"/>
      </w:pPr>
      <w:r>
        <w:rPr>
          <w:sz w:val="22"/>
        </w:rPr>
        <w:t>4. Cronograma de auditoría realizada</w:t>
      </w:r>
      <w:r>
        <w:tab/>
        <w:t>5</w:t>
      </w:r>
    </w:p>
    <w:p>
      <w:pPr>
        <w:tabs>
          <w:tab w:pos="9071" w:val="right" w:leader="dot"/>
        </w:tabs>
        <w:spacing w:after="120"/>
      </w:pPr>
      <w:r>
        <w:rPr>
          <w:sz w:val="22"/>
        </w:rPr>
        <w:t>5. Contenido de auditoría realizada</w:t>
      </w:r>
      <w:r>
        <w:tab/>
        <w:t>6</w:t>
      </w:r>
    </w:p>
    <w:p>
      <w:pPr>
        <w:tabs>
          <w:tab w:pos="9071" w:val="right" w:leader="dot"/>
        </w:tabs>
        <w:spacing w:after="120"/>
      </w:pPr>
      <w:r>
        <w:rPr>
          <w:sz w:val="22"/>
        </w:rPr>
        <w:t>6. Recomendaciones</w:t>
      </w:r>
      <w:r>
        <w:tab/>
        <w:t>12</w:t>
      </w:r>
    </w:p>
    <w:p>
      <w:pPr>
        <w:tabs>
          <w:tab w:pos="9071" w:val="right" w:leader="dot"/>
        </w:tabs>
        <w:spacing w:after="120"/>
      </w:pPr>
      <w:r>
        <w:rPr>
          <w:sz w:val="22"/>
        </w:rPr>
        <w:t>7. Conclusiones</w:t>
      </w:r>
      <w:r>
        <w:tab/>
        <w:t>13</w:t>
      </w:r>
    </w:p>
    <w:p>
      <w:r>
        <w:br w:type="page"/>
      </w:r>
    </w:p>
    <w:p>
      <w:pPr>
        <w:pStyle w:val="Heading1"/>
        <w:keepNext/>
      </w:pPr>
      <w:r>
        <w:t>1. Objetivo de la auditoría</w:t>
      </w:r>
    </w:p>
    <w:p>
      <w:pPr>
        <w:spacing w:after="100" w:line="259" w:lineRule="auto"/>
        <w:jc w:val="both"/>
      </w:pPr>
      <w:r>
        <w:t>Verificar el cumplimiento de los requisitos establecidos en el Final Project Statement y evaluar la consistencia entre la documentación, la implementación del software y la evidencia presentada por el grupo auditado. Asimismo, identificar fortalezas, observaciones y no conformidades que puedan afectar la funcionalidad, seguridad, trazabilidad y calidad del producto CargoExpress.</w:t>
      </w:r>
    </w:p>
    <w:p>
      <w:pPr>
        <w:pStyle w:val="Heading1"/>
        <w:keepNext/>
      </w:pPr>
      <w:r>
        <w:t>2. Alcance de la auditoría</w:t>
      </w:r>
    </w:p>
    <w:p>
      <w:pPr>
        <w:spacing w:after="100" w:line="259" w:lineRule="auto"/>
        <w:jc w:val="both"/>
      </w:pPr>
      <w:r>
        <w:t>La auditoría comprendió la revisión del informe final de CargoSystems, con énfasis en las User Stories y criterios de aceptación de los capítulos III y VIII; el código fuente de la aplicación móvil nativa; el código fuente del backend REST; la configuración de seguridad, pruebas y despliegue; y la trazabilidad entre lo declarado y la implementación observable.</w:t>
      </w:r>
    </w:p>
    <w:p>
      <w:pPr>
        <w:spacing w:after="100" w:line="259" w:lineRule="auto"/>
        <w:jc w:val="both"/>
      </w:pPr>
      <w:r>
        <w:t>Se auditaron las funcionalidades correspondientes a Gestión Logística y Control Operativo, Seguridad y Transparencia de Acceso y Portal del Cliente. Las User Stories de la Landing Page (US19 a US24) no se incluyeron en la lista de verificación porque el código fuente de dicha aplicación no fue proporcionado entre los artefactos entregados.</w:t>
      </w:r>
    </w:p>
    <w:p>
      <w:pPr>
        <w:pStyle w:val="Heading2"/>
        <w:keepNext/>
      </w:pPr>
      <w:r>
        <w:t>2.1. Metodología y limitaciones</w:t>
      </w:r>
    </w:p>
    <w:p>
      <w:pPr>
        <w:spacing w:after="100" w:line="259" w:lineRule="auto"/>
        <w:jc w:val="both"/>
      </w:pPr>
      <w:r>
        <w:t>Se aplicó revisión documental, inspección estática del código, análisis de trazabilidad por User Story y verificación de configuraciones. También se intentó ejecutar las pruebas automatizadas. Sin embargo, la ejecución completa no pudo realizarse porque el entorno de auditoría no contaba con el SDK de .NET y el wrapper de Gradle requería descargar dependencias externas sin acceso de red. Por esta razón, los resultados funcionales se sustentan en la estructura del código, rutas, servicios, validaciones, pruebas presentes en los repositorios y evidencia documental, sin afirmar una validación end-to-end en ejecución.</w:t>
      </w:r>
    </w:p>
    <w:p>
      <w:r>
        <w:br w:type="page"/>
      </w:r>
    </w:p>
    <w:p>
      <w:pPr>
        <w:pStyle w:val="Heading1"/>
        <w:keepNext/>
      </w:pPr>
      <w:r>
        <w:t>3. Información del grupo auditado</w:t>
      </w:r>
    </w:p>
    <w:tbl>
      <w:tblPr>
        <w:tblW w:type="auto" w:w="0"/>
        <w:jc w:val="center"/>
        <w:tblLayout w:type="fixed"/>
        <w:tblLook w:firstColumn="1" w:firstRow="1" w:lastColumn="0" w:lastRow="0" w:noHBand="0" w:noVBand="1" w:val="04A0"/>
        <w:tblBorders>
          <w:top w:val="single" w:sz="7" w:space="0" w:color="666666"/>
          <w:left w:val="single" w:sz="7" w:space="0" w:color="666666"/>
          <w:bottom w:val="single" w:sz="7" w:space="0" w:color="666666"/>
          <w:right w:val="single" w:sz="7" w:space="0" w:color="666666"/>
          <w:insideH w:val="single" w:sz="7" w:space="0" w:color="666666"/>
          <w:insideV w:val="single" w:sz="7" w:space="0" w:color="666666"/>
        </w:tblBorders>
      </w:tblPr>
      <w:tblGrid>
        <w:gridCol w:w="4929"/>
        <w:gridCol w:w="4929"/>
      </w:tblGrid>
      <w:tr>
        <w:trPr>
          <w:tblHeader w:val="true"/>
        </w:trPr>
        <w:tc>
          <w:tcPr>
            <w:tcW w:type="dxa" w:w="4929"/>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9"/>
              </w:rPr>
              <w:t>Elemento</w:t>
            </w:r>
          </w:p>
        </w:tc>
        <w:tc>
          <w:tcPr>
            <w:tcW w:type="dxa" w:w="4929"/>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9"/>
              </w:rPr>
              <w:t>Información identificada</w:t>
            </w:r>
          </w:p>
        </w:tc>
      </w:tr>
      <w:tr>
        <w:tc>
          <w:tcPr>
            <w:tcW w:type="dxa" w:w="2948"/>
            <w:vAlign w:val="center"/>
            <w:tcMar>
              <w:top w:w="70" w:type="dxa"/>
              <w:start w:w="90" w:type="dxa"/>
              <w:bottom w:w="70" w:type="dxa"/>
              <w:end w:w="90" w:type="dxa"/>
            </w:tcMar>
          </w:tcPr>
          <w:p>
            <w:pPr>
              <w:spacing w:after="0" w:before="0" w:line="240" w:lineRule="auto"/>
              <w:jc w:val="left"/>
            </w:pPr>
            <w:r/>
            <w:r>
              <w:rPr>
                <w:rFonts w:ascii="Arial" w:hAnsi="Arial"/>
                <w:b/>
                <w:color w:val="222222"/>
                <w:sz w:val="18"/>
              </w:rPr>
              <w:t>Startup auditada</w:t>
            </w:r>
          </w:p>
        </w:tc>
        <w:tc>
          <w:tcPr>
            <w:tcW w:type="dxa" w:w="6633"/>
            <w:vAlign w:val="center"/>
            <w:tcMar>
              <w:top w:w="70" w:type="dxa"/>
              <w:start w:w="90" w:type="dxa"/>
              <w:bottom w:w="70" w:type="dxa"/>
              <w:end w:w="90" w:type="dxa"/>
            </w:tcMar>
          </w:tcPr>
          <w:p>
            <w:pPr>
              <w:spacing w:after="0" w:before="0" w:line="240" w:lineRule="auto"/>
              <w:jc w:val="left"/>
            </w:pPr>
            <w:r/>
            <w:r>
              <w:rPr>
                <w:rFonts w:ascii="Arial" w:hAnsi="Arial"/>
                <w:b w:val="0"/>
                <w:color w:val="222222"/>
                <w:sz w:val="18"/>
              </w:rPr>
              <w:t>CargoSystems</w:t>
            </w:r>
          </w:p>
        </w:tc>
      </w:tr>
      <w:tr>
        <w:tc>
          <w:tcPr>
            <w:tcW w:type="dxa" w:w="2948"/>
            <w:vAlign w:val="center"/>
            <w:tcMar>
              <w:top w:w="70" w:type="dxa"/>
              <w:start w:w="90" w:type="dxa"/>
              <w:bottom w:w="70" w:type="dxa"/>
              <w:end w:w="90" w:type="dxa"/>
            </w:tcMar>
          </w:tcPr>
          <w:p>
            <w:pPr>
              <w:spacing w:after="0" w:before="0" w:line="240" w:lineRule="auto"/>
              <w:jc w:val="left"/>
            </w:pPr>
            <w:r/>
            <w:r>
              <w:rPr>
                <w:rFonts w:ascii="Arial" w:hAnsi="Arial"/>
                <w:b/>
                <w:color w:val="222222"/>
                <w:sz w:val="18"/>
              </w:rPr>
              <w:t>Producto auditado</w:t>
            </w:r>
          </w:p>
        </w:tc>
        <w:tc>
          <w:tcPr>
            <w:tcW w:type="dxa" w:w="6633"/>
            <w:vAlign w:val="center"/>
            <w:tcMar>
              <w:top w:w="70" w:type="dxa"/>
              <w:start w:w="90" w:type="dxa"/>
              <w:bottom w:w="70" w:type="dxa"/>
              <w:end w:w="90" w:type="dxa"/>
            </w:tcMar>
          </w:tcPr>
          <w:p>
            <w:pPr>
              <w:spacing w:after="0" w:before="0" w:line="240" w:lineRule="auto"/>
              <w:jc w:val="left"/>
            </w:pPr>
            <w:r/>
            <w:r>
              <w:rPr>
                <w:rFonts w:ascii="Arial" w:hAnsi="Arial"/>
                <w:b w:val="0"/>
                <w:color w:val="222222"/>
                <w:sz w:val="18"/>
              </w:rPr>
              <w:t>CargoExpress</w:t>
            </w:r>
          </w:p>
        </w:tc>
      </w:tr>
      <w:tr>
        <w:tc>
          <w:tcPr>
            <w:tcW w:type="dxa" w:w="2948"/>
            <w:vAlign w:val="center"/>
            <w:tcMar>
              <w:top w:w="70" w:type="dxa"/>
              <w:start w:w="90" w:type="dxa"/>
              <w:bottom w:w="70" w:type="dxa"/>
              <w:end w:w="90" w:type="dxa"/>
            </w:tcMar>
          </w:tcPr>
          <w:p>
            <w:pPr>
              <w:spacing w:after="0" w:before="0" w:line="240" w:lineRule="auto"/>
              <w:jc w:val="left"/>
            </w:pPr>
            <w:r/>
            <w:r>
              <w:rPr>
                <w:rFonts w:ascii="Arial" w:hAnsi="Arial"/>
                <w:b/>
                <w:color w:val="222222"/>
                <w:sz w:val="18"/>
              </w:rPr>
              <w:t>Integrantes del equipo auditado</w:t>
            </w:r>
          </w:p>
        </w:tc>
        <w:tc>
          <w:tcPr>
            <w:tcW w:type="dxa" w:w="6633"/>
            <w:vAlign w:val="center"/>
            <w:tcMar>
              <w:top w:w="70" w:type="dxa"/>
              <w:start w:w="90" w:type="dxa"/>
              <w:bottom w:w="70" w:type="dxa"/>
              <w:end w:w="90" w:type="dxa"/>
            </w:tcMar>
          </w:tcPr>
          <w:p>
            <w:pPr>
              <w:spacing w:after="0" w:before="0" w:line="240" w:lineRule="auto"/>
              <w:jc w:val="left"/>
            </w:pPr>
            <w:r/>
            <w:r>
              <w:rPr>
                <w:rFonts w:ascii="Arial" w:hAnsi="Arial"/>
                <w:b w:val="0"/>
                <w:color w:val="222222"/>
                <w:sz w:val="18"/>
              </w:rPr>
              <w:t>Anampa Lavado, Luis Angel</w:t>
              <w:br/>
              <w:t>Fernandez, Alexander Piero</w:t>
              <w:br/>
              <w:t>Rocca Leon, Anhelo Rodrigo</w:t>
              <w:br/>
              <w:t>Valverde Mozo, Andre Gabriel</w:t>
            </w:r>
          </w:p>
        </w:tc>
      </w:tr>
      <w:tr>
        <w:tc>
          <w:tcPr>
            <w:tcW w:type="dxa" w:w="2948"/>
            <w:vAlign w:val="center"/>
            <w:tcMar>
              <w:top w:w="70" w:type="dxa"/>
              <w:start w:w="90" w:type="dxa"/>
              <w:bottom w:w="70" w:type="dxa"/>
              <w:end w:w="90" w:type="dxa"/>
            </w:tcMar>
          </w:tcPr>
          <w:p>
            <w:pPr>
              <w:spacing w:after="0" w:before="0" w:line="240" w:lineRule="auto"/>
              <w:jc w:val="left"/>
            </w:pPr>
            <w:r/>
            <w:r>
              <w:rPr>
                <w:rFonts w:ascii="Arial" w:hAnsi="Arial"/>
                <w:b/>
                <w:color w:val="222222"/>
                <w:sz w:val="18"/>
              </w:rPr>
              <w:t>Artefactos revisados</w:t>
            </w:r>
          </w:p>
        </w:tc>
        <w:tc>
          <w:tcPr>
            <w:tcW w:type="dxa" w:w="6633"/>
            <w:vAlign w:val="center"/>
            <w:tcMar>
              <w:top w:w="70" w:type="dxa"/>
              <w:start w:w="90" w:type="dxa"/>
              <w:bottom w:w="70" w:type="dxa"/>
              <w:end w:w="90" w:type="dxa"/>
            </w:tcMar>
          </w:tcPr>
          <w:p>
            <w:pPr>
              <w:spacing w:after="0" w:before="0" w:line="240" w:lineRule="auto"/>
              <w:jc w:val="left"/>
            </w:pPr>
            <w:r/>
            <w:r>
              <w:rPr>
                <w:rFonts w:ascii="Arial" w:hAnsi="Arial"/>
                <w:b w:val="0"/>
                <w:color w:val="222222"/>
                <w:sz w:val="18"/>
              </w:rPr>
              <w:t>Informe final del proyecto, código fuente del backend, código fuente de la aplicación móvil, pruebas automatizadas y archivos de configuración incluidos en ambos repositorios.</w:t>
            </w:r>
          </w:p>
        </w:tc>
      </w:tr>
      <w:tr>
        <w:tc>
          <w:tcPr>
            <w:tcW w:type="dxa" w:w="2948"/>
            <w:vAlign w:val="center"/>
            <w:tcMar>
              <w:top w:w="70" w:type="dxa"/>
              <w:start w:w="90" w:type="dxa"/>
              <w:bottom w:w="70" w:type="dxa"/>
              <w:end w:w="90" w:type="dxa"/>
            </w:tcMar>
          </w:tcPr>
          <w:p>
            <w:pPr>
              <w:spacing w:after="0" w:before="0" w:line="240" w:lineRule="auto"/>
              <w:jc w:val="left"/>
            </w:pPr>
            <w:r/>
            <w:r>
              <w:rPr>
                <w:rFonts w:ascii="Arial" w:hAnsi="Arial"/>
                <w:b/>
                <w:color w:val="222222"/>
                <w:sz w:val="18"/>
              </w:rPr>
              <w:t>Stack observado</w:t>
            </w:r>
          </w:p>
        </w:tc>
        <w:tc>
          <w:tcPr>
            <w:tcW w:type="dxa" w:w="6633"/>
            <w:vAlign w:val="center"/>
            <w:tcMar>
              <w:top w:w="70" w:type="dxa"/>
              <w:start w:w="90" w:type="dxa"/>
              <w:bottom w:w="70" w:type="dxa"/>
              <w:end w:w="90" w:type="dxa"/>
            </w:tcMar>
          </w:tcPr>
          <w:p>
            <w:pPr>
              <w:spacing w:after="0" w:before="0" w:line="240" w:lineRule="auto"/>
              <w:jc w:val="left"/>
            </w:pPr>
            <w:r/>
            <w:r>
              <w:rPr>
                <w:rFonts w:ascii="Arial" w:hAnsi="Arial"/>
                <w:b w:val="0"/>
                <w:color w:val="222222"/>
                <w:sz w:val="18"/>
              </w:rPr>
              <w:t>Aplicación móvil Android nativa desarrollada en Kotlin y Jetpack Compose, con Navigation Compose, Retrofit, Gson, Google Maps y dependencias de Firebase. Backend REST en ASP.NET Core (.NET 8), Entity Framework Core, MySQL, JWT, Swagger/OpenAPI, BCrypt y organización basada en DDD.</w:t>
            </w:r>
          </w:p>
        </w:tc>
      </w:tr>
      <w:tr>
        <w:tc>
          <w:tcPr>
            <w:tcW w:type="dxa" w:w="2948"/>
            <w:vAlign w:val="center"/>
            <w:tcMar>
              <w:top w:w="70" w:type="dxa"/>
              <w:start w:w="90" w:type="dxa"/>
              <w:bottom w:w="70" w:type="dxa"/>
              <w:end w:w="90" w:type="dxa"/>
            </w:tcMar>
          </w:tcPr>
          <w:p>
            <w:pPr>
              <w:spacing w:after="0" w:before="0" w:line="240" w:lineRule="auto"/>
              <w:jc w:val="left"/>
            </w:pPr>
            <w:r/>
            <w:r>
              <w:rPr>
                <w:rFonts w:ascii="Arial" w:hAnsi="Arial"/>
                <w:b/>
                <w:color w:val="222222"/>
                <w:sz w:val="18"/>
              </w:rPr>
              <w:t>Alcance funcional identificado</w:t>
            </w:r>
          </w:p>
        </w:tc>
        <w:tc>
          <w:tcPr>
            <w:tcW w:type="dxa" w:w="6633"/>
            <w:vAlign w:val="center"/>
            <w:tcMar>
              <w:top w:w="70" w:type="dxa"/>
              <w:start w:w="90" w:type="dxa"/>
              <w:bottom w:w="70" w:type="dxa"/>
              <w:end w:w="90" w:type="dxa"/>
            </w:tcMar>
          </w:tcPr>
          <w:p>
            <w:pPr>
              <w:spacing w:after="0" w:before="0" w:line="240" w:lineRule="auto"/>
              <w:jc w:val="left"/>
            </w:pPr>
            <w:r/>
            <w:r>
              <w:rPr>
                <w:rFonts w:ascii="Arial" w:hAnsi="Arial"/>
                <w:b w:val="0"/>
                <w:color w:val="222222"/>
                <w:sz w:val="18"/>
              </w:rPr>
              <w:t>Registro e inicio de sesión para clientes y empresarios; gestión de viajes, conductores, vehículos, gastos y alertas; consulta y filtrado de información; paneles de resumen; estadísticas; historial de auditoría; y visualización de seguimiento de viajes.</w:t>
            </w:r>
          </w:p>
        </w:tc>
      </w:tr>
      <w:tr>
        <w:tc>
          <w:tcPr>
            <w:tcW w:type="dxa" w:w="2948"/>
            <w:vAlign w:val="center"/>
            <w:tcMar>
              <w:top w:w="70" w:type="dxa"/>
              <w:start w:w="90" w:type="dxa"/>
              <w:bottom w:w="70" w:type="dxa"/>
              <w:end w:w="90" w:type="dxa"/>
            </w:tcMar>
          </w:tcPr>
          <w:p>
            <w:pPr>
              <w:spacing w:after="0" w:before="0" w:line="240" w:lineRule="auto"/>
              <w:jc w:val="left"/>
            </w:pPr>
            <w:r/>
            <w:r>
              <w:rPr>
                <w:rFonts w:ascii="Arial" w:hAnsi="Arial"/>
                <w:b/>
                <w:color w:val="222222"/>
                <w:sz w:val="18"/>
              </w:rPr>
              <w:t>Criterio de referencia para la auditoría</w:t>
            </w:r>
          </w:p>
        </w:tc>
        <w:tc>
          <w:tcPr>
            <w:tcW w:type="dxa" w:w="6633"/>
            <w:vAlign w:val="center"/>
            <w:tcMar>
              <w:top w:w="70" w:type="dxa"/>
              <w:start w:w="90" w:type="dxa"/>
              <w:bottom w:w="70" w:type="dxa"/>
              <w:end w:w="90" w:type="dxa"/>
            </w:tcMar>
          </w:tcPr>
          <w:p>
            <w:pPr>
              <w:spacing w:after="0" w:before="0" w:line="240" w:lineRule="auto"/>
              <w:jc w:val="left"/>
            </w:pPr>
            <w:r/>
            <w:r>
              <w:rPr>
                <w:rFonts w:ascii="Arial" w:hAnsi="Arial"/>
                <w:b w:val="0"/>
                <w:color w:val="222222"/>
                <w:sz w:val="18"/>
              </w:rPr>
              <w:t>Final Project Statement y criterios de aceptación documentados, priorizando la correspondencia entre informe, implementación móvil, servicios backend, pruebas y configuración técnica.</w:t>
            </w:r>
          </w:p>
        </w:tc>
      </w:tr>
    </w:tbl>
    <w:p>
      <w:pPr>
        <w:sectPr>
          <w:footerReference w:type="default" r:id="rId11"/>
          <w:headerReference w:type="default" r:id="rId12"/>
          <w:pgSz w:w="12240" w:h="15840"/>
          <w:pgMar w:top="1020" w:right="1191" w:bottom="850" w:left="1191" w:header="397" w:footer="397" w:gutter="0"/>
          <w:cols w:space="720"/>
          <w:docGrid w:linePitch="360"/>
        </w:sectPr>
      </w:pPr>
    </w:p>
    <w:p>
      <w:pPr>
        <w:pStyle w:val="Heading1"/>
        <w:keepNext/>
      </w:pPr>
      <w:r>
        <w:t>4. Cronograma de auditoría realizada</w:t>
      </w:r>
    </w:p>
    <w:tbl>
      <w:tblPr>
        <w:tblW w:type="auto" w:w="0"/>
        <w:jc w:val="center"/>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2375"/>
        <w:gridCol w:w="2375"/>
        <w:gridCol w:w="2375"/>
        <w:gridCol w:w="2375"/>
        <w:gridCol w:w="2375"/>
        <w:gridCol w:w="2375"/>
      </w:tblGrid>
      <w:tr>
        <w:trPr>
          <w:tblHeader w:val="true"/>
        </w:trPr>
        <w:tc>
          <w:tcPr>
            <w:tcW w:type="dxa" w:w="1361"/>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7"/>
              </w:rPr>
              <w:t>Fecha</w:t>
            </w:r>
          </w:p>
        </w:tc>
        <w:tc>
          <w:tcPr>
            <w:tcW w:type="dxa" w:w="1531"/>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7"/>
              </w:rPr>
              <w:t>Horario</w:t>
            </w:r>
          </w:p>
        </w:tc>
        <w:tc>
          <w:tcPr>
            <w:tcW w:type="dxa" w:w="2948"/>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7"/>
              </w:rPr>
              <w:t>Actividad de auditoría</w:t>
            </w:r>
          </w:p>
        </w:tc>
        <w:tc>
          <w:tcPr>
            <w:tcW w:type="dxa" w:w="2948"/>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7"/>
              </w:rPr>
              <w:t>Evidencia revisada</w:t>
            </w:r>
          </w:p>
        </w:tc>
        <w:tc>
          <w:tcPr>
            <w:tcW w:type="dxa" w:w="2098"/>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7"/>
              </w:rPr>
              <w:t>Técnica aplicada</w:t>
            </w:r>
          </w:p>
        </w:tc>
        <w:tc>
          <w:tcPr>
            <w:tcW w:type="dxa" w:w="3402"/>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7"/>
              </w:rPr>
              <w:t>Resultado esperado</w:t>
            </w:r>
          </w:p>
        </w:tc>
      </w:tr>
      <w:tr>
        <w:trPr>
          <w:cantSplit/>
        </w:trPr>
        <w:tc>
          <w:tcPr>
            <w:tcW w:type="dxa" w:w="1361"/>
            <w:vAlign w:val="center"/>
            <w:tcMar>
              <w:top w:w="70" w:type="dxa"/>
              <w:start w:w="90" w:type="dxa"/>
              <w:bottom w:w="70" w:type="dxa"/>
              <w:end w:w="90" w:type="dxa"/>
            </w:tcMar>
          </w:tcPr>
          <w:p>
            <w:pPr>
              <w:spacing w:after="0" w:before="0" w:line="240" w:lineRule="auto"/>
              <w:jc w:val="center"/>
            </w:pPr>
            <w:r/>
            <w:r>
              <w:rPr>
                <w:rFonts w:ascii="Arial" w:hAnsi="Arial"/>
                <w:b w:val="0"/>
                <w:color w:val="222222"/>
                <w:sz w:val="16"/>
              </w:rPr>
              <w:t>02/07/2026</w:t>
            </w:r>
          </w:p>
        </w:tc>
        <w:tc>
          <w:tcPr>
            <w:tcW w:type="dxa" w:w="1531"/>
            <w:vAlign w:val="center"/>
            <w:tcMar>
              <w:top w:w="70" w:type="dxa"/>
              <w:start w:w="90" w:type="dxa"/>
              <w:bottom w:w="70" w:type="dxa"/>
              <w:end w:w="90" w:type="dxa"/>
            </w:tcMar>
          </w:tcPr>
          <w:p>
            <w:pPr>
              <w:spacing w:after="0" w:before="0" w:line="240" w:lineRule="auto"/>
              <w:jc w:val="center"/>
            </w:pPr>
            <w:r/>
            <w:r>
              <w:rPr>
                <w:rFonts w:ascii="Arial" w:hAnsi="Arial"/>
                <w:b w:val="0"/>
                <w:color w:val="222222"/>
                <w:sz w:val="16"/>
              </w:rPr>
              <w:t>09:00 - 10:00</w:t>
            </w:r>
          </w:p>
        </w:tc>
        <w:tc>
          <w:tcPr>
            <w:tcW w:type="dxa" w:w="294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Definición del alcance y criterios</w:t>
            </w:r>
          </w:p>
        </w:tc>
        <w:tc>
          <w:tcPr>
            <w:tcW w:type="dxa" w:w="294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Plantilla, informe final y ejemplo de auditoría</w:t>
            </w:r>
          </w:p>
        </w:tc>
        <w:tc>
          <w:tcPr>
            <w:tcW w:type="dxa" w:w="209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Revisión documental</w:t>
            </w:r>
          </w:p>
        </w:tc>
        <w:tc>
          <w:tcPr>
            <w:tcW w:type="dxa" w:w="3402"/>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Determinar artefactos, alcance y estructura del informe.</w:t>
            </w:r>
          </w:p>
        </w:tc>
      </w:tr>
      <w:tr>
        <w:trPr>
          <w:cantSplit/>
        </w:trPr>
        <w:tc>
          <w:tcPr>
            <w:tcW w:type="dxa" w:w="1361"/>
            <w:vAlign w:val="center"/>
            <w:tcMar>
              <w:top w:w="70" w:type="dxa"/>
              <w:start w:w="90" w:type="dxa"/>
              <w:bottom w:w="70" w:type="dxa"/>
              <w:end w:w="90" w:type="dxa"/>
            </w:tcMar>
          </w:tcPr>
          <w:p>
            <w:pPr>
              <w:spacing w:after="0" w:before="0" w:line="240" w:lineRule="auto"/>
              <w:jc w:val="center"/>
            </w:pPr>
            <w:r/>
            <w:r>
              <w:rPr>
                <w:rFonts w:ascii="Arial" w:hAnsi="Arial"/>
                <w:b w:val="0"/>
                <w:color w:val="222222"/>
                <w:sz w:val="16"/>
              </w:rPr>
              <w:t>02/07/2026</w:t>
            </w:r>
          </w:p>
        </w:tc>
        <w:tc>
          <w:tcPr>
            <w:tcW w:type="dxa" w:w="1531"/>
            <w:vAlign w:val="center"/>
            <w:tcMar>
              <w:top w:w="70" w:type="dxa"/>
              <w:start w:w="90" w:type="dxa"/>
              <w:bottom w:w="70" w:type="dxa"/>
              <w:end w:w="90" w:type="dxa"/>
            </w:tcMar>
          </w:tcPr>
          <w:p>
            <w:pPr>
              <w:spacing w:after="0" w:before="0" w:line="240" w:lineRule="auto"/>
              <w:jc w:val="center"/>
            </w:pPr>
            <w:r/>
            <w:r>
              <w:rPr>
                <w:rFonts w:ascii="Arial" w:hAnsi="Arial"/>
                <w:b w:val="0"/>
                <w:color w:val="222222"/>
                <w:sz w:val="16"/>
              </w:rPr>
              <w:t>10:00 - 13:00</w:t>
            </w:r>
          </w:p>
        </w:tc>
        <w:tc>
          <w:tcPr>
            <w:tcW w:type="dxa" w:w="294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Revisión del informe y User Stories</w:t>
            </w:r>
          </w:p>
        </w:tc>
        <w:tc>
          <w:tcPr>
            <w:tcW w:type="dxa" w:w="294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Capítulos III, VI, VII y VIII</w:t>
            </w:r>
          </w:p>
        </w:tc>
        <w:tc>
          <w:tcPr>
            <w:tcW w:type="dxa" w:w="209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Análisis de trazabilidad</w:t>
            </w:r>
          </w:p>
        </w:tc>
        <w:tc>
          <w:tcPr>
            <w:tcW w:type="dxa" w:w="3402"/>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Identificar criterios funcionales y técnicos auditables.</w:t>
            </w:r>
          </w:p>
        </w:tc>
      </w:tr>
      <w:tr>
        <w:trPr>
          <w:cantSplit/>
        </w:trPr>
        <w:tc>
          <w:tcPr>
            <w:tcW w:type="dxa" w:w="1361"/>
            <w:vAlign w:val="center"/>
            <w:tcMar>
              <w:top w:w="70" w:type="dxa"/>
              <w:start w:w="90" w:type="dxa"/>
              <w:bottom w:w="70" w:type="dxa"/>
              <w:end w:w="90" w:type="dxa"/>
            </w:tcMar>
          </w:tcPr>
          <w:p>
            <w:pPr>
              <w:spacing w:after="0" w:before="0" w:line="240" w:lineRule="auto"/>
              <w:jc w:val="center"/>
            </w:pPr>
            <w:r/>
            <w:r>
              <w:rPr>
                <w:rFonts w:ascii="Arial" w:hAnsi="Arial"/>
                <w:b w:val="0"/>
                <w:color w:val="222222"/>
                <w:sz w:val="16"/>
              </w:rPr>
              <w:t>02/07/2026</w:t>
            </w:r>
          </w:p>
        </w:tc>
        <w:tc>
          <w:tcPr>
            <w:tcW w:type="dxa" w:w="1531"/>
            <w:vAlign w:val="center"/>
            <w:tcMar>
              <w:top w:w="70" w:type="dxa"/>
              <w:start w:w="90" w:type="dxa"/>
              <w:bottom w:w="70" w:type="dxa"/>
              <w:end w:w="90" w:type="dxa"/>
            </w:tcMar>
          </w:tcPr>
          <w:p>
            <w:pPr>
              <w:spacing w:after="0" w:before="0" w:line="240" w:lineRule="auto"/>
              <w:jc w:val="center"/>
            </w:pPr>
            <w:r/>
            <w:r>
              <w:rPr>
                <w:rFonts w:ascii="Arial" w:hAnsi="Arial"/>
                <w:b w:val="0"/>
                <w:color w:val="222222"/>
                <w:sz w:val="16"/>
              </w:rPr>
              <w:t>15:00 - 18:00</w:t>
            </w:r>
          </w:p>
        </w:tc>
        <w:tc>
          <w:tcPr>
            <w:tcW w:type="dxa" w:w="294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Inspección de la aplicación móvil</w:t>
            </w:r>
          </w:p>
        </w:tc>
        <w:tc>
          <w:tcPr>
            <w:tcW w:type="dxa" w:w="294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Código Kotlin, Compose y configuración Android</w:t>
            </w:r>
          </w:p>
        </w:tc>
        <w:tc>
          <w:tcPr>
            <w:tcW w:type="dxa" w:w="209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Inspección estática</w:t>
            </w:r>
          </w:p>
        </w:tc>
        <w:tc>
          <w:tcPr>
            <w:tcW w:type="dxa" w:w="3402"/>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Contrastar pantallas, flujos, servicios y seguridad móvil.</w:t>
            </w:r>
          </w:p>
        </w:tc>
      </w:tr>
      <w:tr>
        <w:trPr>
          <w:cantSplit/>
        </w:trPr>
        <w:tc>
          <w:tcPr>
            <w:tcW w:type="dxa" w:w="1361"/>
            <w:vAlign w:val="center"/>
            <w:tcMar>
              <w:top w:w="70" w:type="dxa"/>
              <w:start w:w="90" w:type="dxa"/>
              <w:bottom w:w="70" w:type="dxa"/>
              <w:end w:w="90" w:type="dxa"/>
            </w:tcMar>
          </w:tcPr>
          <w:p>
            <w:pPr>
              <w:spacing w:after="0" w:before="0" w:line="240" w:lineRule="auto"/>
              <w:jc w:val="center"/>
            </w:pPr>
            <w:r/>
            <w:r>
              <w:rPr>
                <w:rFonts w:ascii="Arial" w:hAnsi="Arial"/>
                <w:b w:val="0"/>
                <w:color w:val="222222"/>
                <w:sz w:val="16"/>
              </w:rPr>
              <w:t>03/07/2026</w:t>
            </w:r>
          </w:p>
        </w:tc>
        <w:tc>
          <w:tcPr>
            <w:tcW w:type="dxa" w:w="1531"/>
            <w:vAlign w:val="center"/>
            <w:tcMar>
              <w:top w:w="70" w:type="dxa"/>
              <w:start w:w="90" w:type="dxa"/>
              <w:bottom w:w="70" w:type="dxa"/>
              <w:end w:w="90" w:type="dxa"/>
            </w:tcMar>
          </w:tcPr>
          <w:p>
            <w:pPr>
              <w:spacing w:after="0" w:before="0" w:line="240" w:lineRule="auto"/>
              <w:jc w:val="center"/>
            </w:pPr>
            <w:r/>
            <w:r>
              <w:rPr>
                <w:rFonts w:ascii="Arial" w:hAnsi="Arial"/>
                <w:b w:val="0"/>
                <w:color w:val="222222"/>
                <w:sz w:val="16"/>
              </w:rPr>
              <w:t>09:00 - 12:00</w:t>
            </w:r>
          </w:p>
        </w:tc>
        <w:tc>
          <w:tcPr>
            <w:tcW w:type="dxa" w:w="294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Inspección del backend</w:t>
            </w:r>
          </w:p>
        </w:tc>
        <w:tc>
          <w:tcPr>
            <w:tcW w:type="dxa" w:w="294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Código ASP.NET Core, endpoints, dominio y configuración</w:t>
            </w:r>
          </w:p>
        </w:tc>
        <w:tc>
          <w:tcPr>
            <w:tcW w:type="dxa" w:w="209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Inspección estática</w:t>
            </w:r>
          </w:p>
        </w:tc>
        <w:tc>
          <w:tcPr>
            <w:tcW w:type="dxa" w:w="3402"/>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Verificar reglas de negocio, autenticación, autorización y persistencia.</w:t>
            </w:r>
          </w:p>
        </w:tc>
      </w:tr>
      <w:tr>
        <w:trPr>
          <w:cantSplit/>
        </w:trPr>
        <w:tc>
          <w:tcPr>
            <w:tcW w:type="dxa" w:w="1361"/>
            <w:vAlign w:val="center"/>
            <w:tcMar>
              <w:top w:w="70" w:type="dxa"/>
              <w:start w:w="90" w:type="dxa"/>
              <w:bottom w:w="70" w:type="dxa"/>
              <w:end w:w="90" w:type="dxa"/>
            </w:tcMar>
          </w:tcPr>
          <w:p>
            <w:pPr>
              <w:spacing w:after="0" w:before="0" w:line="240" w:lineRule="auto"/>
              <w:jc w:val="center"/>
            </w:pPr>
            <w:r/>
            <w:r>
              <w:rPr>
                <w:rFonts w:ascii="Arial" w:hAnsi="Arial"/>
                <w:b w:val="0"/>
                <w:color w:val="222222"/>
                <w:sz w:val="16"/>
              </w:rPr>
              <w:t>03/07/2026</w:t>
            </w:r>
          </w:p>
        </w:tc>
        <w:tc>
          <w:tcPr>
            <w:tcW w:type="dxa" w:w="1531"/>
            <w:vAlign w:val="center"/>
            <w:tcMar>
              <w:top w:w="70" w:type="dxa"/>
              <w:start w:w="90" w:type="dxa"/>
              <w:bottom w:w="70" w:type="dxa"/>
              <w:end w:w="90" w:type="dxa"/>
            </w:tcMar>
          </w:tcPr>
          <w:p>
            <w:pPr>
              <w:spacing w:after="0" w:before="0" w:line="240" w:lineRule="auto"/>
              <w:jc w:val="center"/>
            </w:pPr>
            <w:r/>
            <w:r>
              <w:rPr>
                <w:rFonts w:ascii="Arial" w:hAnsi="Arial"/>
                <w:b w:val="0"/>
                <w:color w:val="222222"/>
                <w:sz w:val="16"/>
              </w:rPr>
              <w:t>12:00 - 13:00</w:t>
            </w:r>
          </w:p>
        </w:tc>
        <w:tc>
          <w:tcPr>
            <w:tcW w:type="dxa" w:w="294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Revisión de pruebas y automatización</w:t>
            </w:r>
          </w:p>
        </w:tc>
        <w:tc>
          <w:tcPr>
            <w:tcW w:type="dxa" w:w="294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Proyectos de pruebas, archivos Feature y Gradle</w:t>
            </w:r>
          </w:p>
        </w:tc>
        <w:tc>
          <w:tcPr>
            <w:tcW w:type="dxa" w:w="209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Revisión técnica</w:t>
            </w:r>
          </w:p>
        </w:tc>
        <w:tc>
          <w:tcPr>
            <w:tcW w:type="dxa" w:w="3402"/>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Comprobar la existencia y cobertura observable de las pruebas.</w:t>
            </w:r>
          </w:p>
        </w:tc>
      </w:tr>
      <w:tr>
        <w:trPr>
          <w:cantSplit/>
        </w:trPr>
        <w:tc>
          <w:tcPr>
            <w:tcW w:type="dxa" w:w="1361"/>
            <w:vAlign w:val="center"/>
            <w:tcMar>
              <w:top w:w="70" w:type="dxa"/>
              <w:start w:w="90" w:type="dxa"/>
              <w:bottom w:w="70" w:type="dxa"/>
              <w:end w:w="90" w:type="dxa"/>
            </w:tcMar>
          </w:tcPr>
          <w:p>
            <w:pPr>
              <w:spacing w:after="0" w:before="0" w:line="240" w:lineRule="auto"/>
              <w:jc w:val="center"/>
            </w:pPr>
            <w:r/>
            <w:r>
              <w:rPr>
                <w:rFonts w:ascii="Arial" w:hAnsi="Arial"/>
                <w:b w:val="0"/>
                <w:color w:val="222222"/>
                <w:sz w:val="16"/>
              </w:rPr>
              <w:t>03/07/2026</w:t>
            </w:r>
          </w:p>
        </w:tc>
        <w:tc>
          <w:tcPr>
            <w:tcW w:type="dxa" w:w="1531"/>
            <w:vAlign w:val="center"/>
            <w:tcMar>
              <w:top w:w="70" w:type="dxa"/>
              <w:start w:w="90" w:type="dxa"/>
              <w:bottom w:w="70" w:type="dxa"/>
              <w:end w:w="90" w:type="dxa"/>
            </w:tcMar>
          </w:tcPr>
          <w:p>
            <w:pPr>
              <w:spacing w:after="0" w:before="0" w:line="240" w:lineRule="auto"/>
              <w:jc w:val="center"/>
            </w:pPr>
            <w:r/>
            <w:r>
              <w:rPr>
                <w:rFonts w:ascii="Arial" w:hAnsi="Arial"/>
                <w:b w:val="0"/>
                <w:color w:val="222222"/>
                <w:sz w:val="16"/>
              </w:rPr>
              <w:t>14:00 - 17:00</w:t>
            </w:r>
          </w:p>
        </w:tc>
        <w:tc>
          <w:tcPr>
            <w:tcW w:type="dxa" w:w="294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Consolidación de evidencias</w:t>
            </w:r>
          </w:p>
        </w:tc>
        <w:tc>
          <w:tcPr>
            <w:tcW w:type="dxa" w:w="294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Informe, aplicación móvil y backend</w:t>
            </w:r>
          </w:p>
        </w:tc>
        <w:tc>
          <w:tcPr>
            <w:tcW w:type="dxa" w:w="209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Análisis comparativo</w:t>
            </w:r>
          </w:p>
        </w:tc>
        <w:tc>
          <w:tcPr>
            <w:tcW w:type="dxa" w:w="3402"/>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Clasificar cumplimiento, observaciones y no conformidades.</w:t>
            </w:r>
          </w:p>
        </w:tc>
      </w:tr>
      <w:tr>
        <w:trPr>
          <w:cantSplit/>
        </w:trPr>
        <w:tc>
          <w:tcPr>
            <w:tcW w:type="dxa" w:w="1361"/>
            <w:vAlign w:val="center"/>
            <w:tcMar>
              <w:top w:w="70" w:type="dxa"/>
              <w:start w:w="90" w:type="dxa"/>
              <w:bottom w:w="70" w:type="dxa"/>
              <w:end w:w="90" w:type="dxa"/>
            </w:tcMar>
          </w:tcPr>
          <w:p>
            <w:pPr>
              <w:spacing w:after="0" w:before="0" w:line="240" w:lineRule="auto"/>
              <w:jc w:val="center"/>
            </w:pPr>
            <w:r/>
            <w:r>
              <w:rPr>
                <w:rFonts w:ascii="Arial" w:hAnsi="Arial"/>
                <w:b w:val="0"/>
                <w:color w:val="222222"/>
                <w:sz w:val="16"/>
              </w:rPr>
              <w:t>03/07/2026</w:t>
            </w:r>
          </w:p>
        </w:tc>
        <w:tc>
          <w:tcPr>
            <w:tcW w:type="dxa" w:w="1531"/>
            <w:vAlign w:val="center"/>
            <w:tcMar>
              <w:top w:w="70" w:type="dxa"/>
              <w:start w:w="90" w:type="dxa"/>
              <w:bottom w:w="70" w:type="dxa"/>
              <w:end w:w="90" w:type="dxa"/>
            </w:tcMar>
          </w:tcPr>
          <w:p>
            <w:pPr>
              <w:spacing w:after="0" w:before="0" w:line="240" w:lineRule="auto"/>
              <w:jc w:val="center"/>
            </w:pPr>
            <w:r/>
            <w:r>
              <w:rPr>
                <w:rFonts w:ascii="Arial" w:hAnsi="Arial"/>
                <w:b w:val="0"/>
                <w:color w:val="222222"/>
                <w:sz w:val="16"/>
              </w:rPr>
              <w:t>17:00 - 18:00</w:t>
            </w:r>
          </w:p>
        </w:tc>
        <w:tc>
          <w:tcPr>
            <w:tcW w:type="dxa" w:w="294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Elaboración del informe final</w:t>
            </w:r>
          </w:p>
        </w:tc>
        <w:tc>
          <w:tcPr>
            <w:tcW w:type="dxa" w:w="294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Matriz, hallazgos y recomendaciones</w:t>
            </w:r>
          </w:p>
        </w:tc>
        <w:tc>
          <w:tcPr>
            <w:tcW w:type="dxa" w:w="2098"/>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Síntesis de auditoría</w:t>
            </w:r>
          </w:p>
        </w:tc>
        <w:tc>
          <w:tcPr>
            <w:tcW w:type="dxa" w:w="3402"/>
            <w:vAlign w:val="center"/>
            <w:tcMar>
              <w:top w:w="70" w:type="dxa"/>
              <w:start w:w="90" w:type="dxa"/>
              <w:bottom w:w="70" w:type="dxa"/>
              <w:end w:w="90" w:type="dxa"/>
            </w:tcMar>
          </w:tcPr>
          <w:p>
            <w:pPr>
              <w:spacing w:after="0" w:before="0" w:line="240" w:lineRule="auto"/>
              <w:jc w:val="left"/>
            </w:pPr>
            <w:r/>
            <w:r>
              <w:rPr>
                <w:rFonts w:ascii="Arial" w:hAnsi="Arial"/>
                <w:b w:val="0"/>
                <w:color w:val="222222"/>
                <w:sz w:val="16"/>
              </w:rPr>
              <w:t>Emitir recomendaciones priorizadas y conclusiones.</w:t>
            </w:r>
          </w:p>
        </w:tc>
      </w:tr>
    </w:tbl>
    <w:p>
      <w:r>
        <w:br w:type="page"/>
      </w:r>
    </w:p>
    <w:p>
      <w:pPr>
        <w:pStyle w:val="Heading1"/>
        <w:keepNext/>
      </w:pPr>
      <w:r>
        <w:t>5. Contenido de auditoría realizada</w:t>
      </w:r>
    </w:p>
    <w:p>
      <w:pPr>
        <w:pStyle w:val="Heading2"/>
        <w:keepNext/>
      </w:pPr>
      <w:r>
        <w:t>5.1. Resumen de resultados</w:t>
      </w:r>
    </w:p>
    <w:p>
      <w:pPr>
        <w:spacing w:after="100" w:line="259" w:lineRule="auto"/>
        <w:jc w:val="left"/>
      </w:pPr>
      <w:r>
        <w:t>La revisión de 30 User Stories funcionales y 3 criterios técnicos produjo 24 fortalezas, 2 observaciones y 7 no conformidades. Esto representa una base funcional amplia, pero con brechas importantes en seguimiento real, seguridad, verificación de cuentas y correspondencia de algunos criterios de aceptación.</w:t>
      </w:r>
    </w:p>
    <w:tbl>
      <w:tblPr>
        <w:tblW w:type="auto" w:w="0"/>
        <w:jc w:val="center"/>
        <w:tblLayout w:type="fixed"/>
        <w:tblLook w:firstColumn="1" w:firstRow="1" w:lastColumn="0" w:lastRow="0" w:noHBand="0" w:noVBand="1" w:val="04A0"/>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blGrid>
        <w:gridCol w:w="3563"/>
        <w:gridCol w:w="3563"/>
        <w:gridCol w:w="3563"/>
        <w:gridCol w:w="3563"/>
      </w:tblGrid>
      <w:tr>
        <w:trPr>
          <w:tblHeader w:val="true"/>
        </w:trPr>
        <w:tc>
          <w:tcPr>
            <w:tcW w:type="dxa" w:w="2835"/>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8"/>
              </w:rPr>
              <w:t>Resultado</w:t>
            </w:r>
          </w:p>
        </w:tc>
        <w:tc>
          <w:tcPr>
            <w:tcW w:type="dxa" w:w="1701"/>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8"/>
              </w:rPr>
              <w:t>Cantidad</w:t>
            </w:r>
          </w:p>
        </w:tc>
        <w:tc>
          <w:tcPr>
            <w:tcW w:type="dxa" w:w="1984"/>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8"/>
              </w:rPr>
              <w:t>Porcentaje</w:t>
            </w:r>
          </w:p>
        </w:tc>
        <w:tc>
          <w:tcPr>
            <w:tcW w:type="dxa" w:w="7370"/>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8"/>
              </w:rPr>
              <w:t>Interpretación</w:t>
            </w:r>
          </w:p>
        </w:tc>
      </w:tr>
      <w:tr>
        <w:tc>
          <w:tcPr>
            <w:tcW w:type="dxa" w:w="3563"/>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7"/>
              </w:rPr>
              <w:t>Fortaleza</w:t>
            </w:r>
          </w:p>
        </w:tc>
        <w:tc>
          <w:tcPr>
            <w:tcW w:type="dxa" w:w="3563"/>
            <w:vAlign w:val="center"/>
            <w:tcMar>
              <w:top w:w="70" w:type="dxa"/>
              <w:start w:w="90" w:type="dxa"/>
              <w:bottom w:w="70" w:type="dxa"/>
              <w:end w:w="90" w:type="dxa"/>
            </w:tcMar>
          </w:tcPr>
          <w:p>
            <w:pPr>
              <w:spacing w:after="0" w:before="0" w:line="240" w:lineRule="auto"/>
              <w:jc w:val="center"/>
            </w:pPr>
            <w:r/>
            <w:r>
              <w:rPr>
                <w:rFonts w:ascii="Arial" w:hAnsi="Arial"/>
                <w:b w:val="0"/>
                <w:color w:val="222222"/>
                <w:sz w:val="17"/>
              </w:rPr>
              <w:t>24</w:t>
            </w:r>
          </w:p>
        </w:tc>
        <w:tc>
          <w:tcPr>
            <w:tcW w:type="dxa" w:w="3563"/>
            <w:vAlign w:val="center"/>
            <w:tcMar>
              <w:top w:w="70" w:type="dxa"/>
              <w:start w:w="90" w:type="dxa"/>
              <w:bottom w:w="70" w:type="dxa"/>
              <w:end w:w="90" w:type="dxa"/>
            </w:tcMar>
          </w:tcPr>
          <w:p>
            <w:pPr>
              <w:spacing w:after="0" w:before="0" w:line="240" w:lineRule="auto"/>
              <w:jc w:val="center"/>
            </w:pPr>
            <w:r/>
            <w:r>
              <w:rPr>
                <w:rFonts w:ascii="Arial" w:hAnsi="Arial"/>
                <w:b w:val="0"/>
                <w:color w:val="222222"/>
                <w:sz w:val="17"/>
              </w:rPr>
              <w:t>72.7%</w:t>
            </w:r>
          </w:p>
        </w:tc>
        <w:tc>
          <w:tcPr>
            <w:tcW w:type="dxa" w:w="3563"/>
            <w:vAlign w:val="center"/>
            <w:tcMar>
              <w:top w:w="70" w:type="dxa"/>
              <w:start w:w="90" w:type="dxa"/>
              <w:bottom w:w="70" w:type="dxa"/>
              <w:end w:w="90" w:type="dxa"/>
            </w:tcMar>
          </w:tcPr>
          <w:p>
            <w:pPr>
              <w:spacing w:after="0" w:before="0" w:line="240" w:lineRule="auto"/>
              <w:jc w:val="left"/>
            </w:pPr>
            <w:r/>
            <w:r>
              <w:rPr>
                <w:rFonts w:ascii="Arial" w:hAnsi="Arial"/>
                <w:b w:val="0"/>
                <w:color w:val="222222"/>
                <w:sz w:val="17"/>
              </w:rPr>
              <w:t>Funcionalidad o criterio implementado de manera consistente.</w:t>
            </w:r>
          </w:p>
        </w:tc>
      </w:tr>
      <w:tr>
        <w:tc>
          <w:tcPr>
            <w:tcW w:type="dxa" w:w="3563"/>
            <w:shd w:fill="FFF2CC"/>
            <w:vAlign w:val="center"/>
            <w:tcMar>
              <w:top w:w="70" w:type="dxa"/>
              <w:start w:w="90" w:type="dxa"/>
              <w:bottom w:w="70" w:type="dxa"/>
              <w:end w:w="90" w:type="dxa"/>
            </w:tcMar>
          </w:tcPr>
          <w:p>
            <w:pPr>
              <w:spacing w:after="0" w:before="0" w:line="240" w:lineRule="auto"/>
              <w:jc w:val="center"/>
            </w:pPr>
            <w:r/>
            <w:r>
              <w:rPr>
                <w:rFonts w:ascii="Arial" w:hAnsi="Arial"/>
                <w:b/>
                <w:color w:val="222222"/>
                <w:sz w:val="17"/>
              </w:rPr>
              <w:t>Observación</w:t>
            </w:r>
          </w:p>
        </w:tc>
        <w:tc>
          <w:tcPr>
            <w:tcW w:type="dxa" w:w="3563"/>
            <w:vAlign w:val="center"/>
            <w:tcMar>
              <w:top w:w="70" w:type="dxa"/>
              <w:start w:w="90" w:type="dxa"/>
              <w:bottom w:w="70" w:type="dxa"/>
              <w:end w:w="90" w:type="dxa"/>
            </w:tcMar>
          </w:tcPr>
          <w:p>
            <w:pPr>
              <w:spacing w:after="0" w:before="0" w:line="240" w:lineRule="auto"/>
              <w:jc w:val="center"/>
            </w:pPr>
            <w:r/>
            <w:r>
              <w:rPr>
                <w:rFonts w:ascii="Arial" w:hAnsi="Arial"/>
                <w:b w:val="0"/>
                <w:color w:val="222222"/>
                <w:sz w:val="17"/>
              </w:rPr>
              <w:t>2</w:t>
            </w:r>
          </w:p>
        </w:tc>
        <w:tc>
          <w:tcPr>
            <w:tcW w:type="dxa" w:w="3563"/>
            <w:vAlign w:val="center"/>
            <w:tcMar>
              <w:top w:w="70" w:type="dxa"/>
              <w:start w:w="90" w:type="dxa"/>
              <w:bottom w:w="70" w:type="dxa"/>
              <w:end w:w="90" w:type="dxa"/>
            </w:tcMar>
          </w:tcPr>
          <w:p>
            <w:pPr>
              <w:spacing w:after="0" w:before="0" w:line="240" w:lineRule="auto"/>
              <w:jc w:val="center"/>
            </w:pPr>
            <w:r/>
            <w:r>
              <w:rPr>
                <w:rFonts w:ascii="Arial" w:hAnsi="Arial"/>
                <w:b w:val="0"/>
                <w:color w:val="222222"/>
                <w:sz w:val="17"/>
              </w:rPr>
              <w:t>6.1%</w:t>
            </w:r>
          </w:p>
        </w:tc>
        <w:tc>
          <w:tcPr>
            <w:tcW w:type="dxa" w:w="3563"/>
            <w:vAlign w:val="center"/>
            <w:tcMar>
              <w:top w:w="70" w:type="dxa"/>
              <w:start w:w="90" w:type="dxa"/>
              <w:bottom w:w="70" w:type="dxa"/>
              <w:end w:w="90" w:type="dxa"/>
            </w:tcMar>
          </w:tcPr>
          <w:p>
            <w:pPr>
              <w:spacing w:after="0" w:before="0" w:line="240" w:lineRule="auto"/>
              <w:jc w:val="left"/>
            </w:pPr>
            <w:r/>
            <w:r>
              <w:rPr>
                <w:rFonts w:ascii="Arial" w:hAnsi="Arial"/>
                <w:b w:val="0"/>
                <w:color w:val="222222"/>
                <w:sz w:val="17"/>
              </w:rPr>
              <w:t>Cumplimiento parcial o detalle menor que requiere ajuste.</w:t>
            </w:r>
          </w:p>
        </w:tc>
      </w:tr>
      <w:tr>
        <w:tc>
          <w:tcPr>
            <w:tcW w:type="dxa" w:w="3563"/>
            <w:shd w:fill="F4CCCC"/>
            <w:vAlign w:val="center"/>
            <w:tcMar>
              <w:top w:w="70" w:type="dxa"/>
              <w:start w:w="90" w:type="dxa"/>
              <w:bottom w:w="70" w:type="dxa"/>
              <w:end w:w="90" w:type="dxa"/>
            </w:tcMar>
          </w:tcPr>
          <w:p>
            <w:pPr>
              <w:spacing w:after="0" w:before="0" w:line="240" w:lineRule="auto"/>
              <w:jc w:val="center"/>
            </w:pPr>
            <w:r/>
            <w:r>
              <w:rPr>
                <w:rFonts w:ascii="Arial" w:hAnsi="Arial"/>
                <w:b/>
                <w:color w:val="222222"/>
                <w:sz w:val="17"/>
              </w:rPr>
              <w:t>No conformidad</w:t>
            </w:r>
          </w:p>
        </w:tc>
        <w:tc>
          <w:tcPr>
            <w:tcW w:type="dxa" w:w="3563"/>
            <w:vAlign w:val="center"/>
            <w:tcMar>
              <w:top w:w="70" w:type="dxa"/>
              <w:start w:w="90" w:type="dxa"/>
              <w:bottom w:w="70" w:type="dxa"/>
              <w:end w:w="90" w:type="dxa"/>
            </w:tcMar>
          </w:tcPr>
          <w:p>
            <w:pPr>
              <w:spacing w:after="0" w:before="0" w:line="240" w:lineRule="auto"/>
              <w:jc w:val="center"/>
            </w:pPr>
            <w:r/>
            <w:r>
              <w:rPr>
                <w:rFonts w:ascii="Arial" w:hAnsi="Arial"/>
                <w:b w:val="0"/>
                <w:color w:val="222222"/>
                <w:sz w:val="17"/>
              </w:rPr>
              <w:t>7</w:t>
            </w:r>
          </w:p>
        </w:tc>
        <w:tc>
          <w:tcPr>
            <w:tcW w:type="dxa" w:w="3563"/>
            <w:vAlign w:val="center"/>
            <w:tcMar>
              <w:top w:w="70" w:type="dxa"/>
              <w:start w:w="90" w:type="dxa"/>
              <w:bottom w:w="70" w:type="dxa"/>
              <w:end w:w="90" w:type="dxa"/>
            </w:tcMar>
          </w:tcPr>
          <w:p>
            <w:pPr>
              <w:spacing w:after="0" w:before="0" w:line="240" w:lineRule="auto"/>
              <w:jc w:val="center"/>
            </w:pPr>
            <w:r/>
            <w:r>
              <w:rPr>
                <w:rFonts w:ascii="Arial" w:hAnsi="Arial"/>
                <w:b w:val="0"/>
                <w:color w:val="222222"/>
                <w:sz w:val="17"/>
              </w:rPr>
              <w:t>21.2%</w:t>
            </w:r>
          </w:p>
        </w:tc>
        <w:tc>
          <w:tcPr>
            <w:tcW w:type="dxa" w:w="3563"/>
            <w:vAlign w:val="center"/>
            <w:tcMar>
              <w:top w:w="70" w:type="dxa"/>
              <w:start w:w="90" w:type="dxa"/>
              <w:bottom w:w="70" w:type="dxa"/>
              <w:end w:w="90" w:type="dxa"/>
            </w:tcMar>
          </w:tcPr>
          <w:p>
            <w:pPr>
              <w:spacing w:after="0" w:before="0" w:line="240" w:lineRule="auto"/>
              <w:jc w:val="left"/>
            </w:pPr>
            <w:r/>
            <w:r>
              <w:rPr>
                <w:rFonts w:ascii="Arial" w:hAnsi="Arial"/>
                <w:b w:val="0"/>
                <w:color w:val="222222"/>
                <w:sz w:val="17"/>
              </w:rPr>
              <w:t>Incumplimiento relevante del criterio o riesgo técnico significativo.</w:t>
            </w:r>
          </w:p>
        </w:tc>
      </w:tr>
    </w:tbl>
    <w:p>
      <w:r>
        <w:br w:type="page"/>
      </w:r>
    </w:p>
    <w:p>
      <w:pPr>
        <w:pStyle w:val="Heading2"/>
        <w:keepNext/>
      </w:pPr>
      <w:r>
        <w:t>5.2. Lista de verificación</w:t>
      </w:r>
    </w:p>
    <w:tbl>
      <w:tblPr>
        <w:tblW w:type="auto" w:w="0"/>
        <w:jc w:val="center"/>
        <w:tblLayout w:type="fixed"/>
        <w:tblLook w:firstColumn="1" w:firstRow="1" w:lastColumn="0" w:lastRow="0" w:noHBand="0" w:noVBand="1" w:val="04A0"/>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Pr>
      <w:tblGrid>
        <w:gridCol w:w="2850"/>
        <w:gridCol w:w="2850"/>
        <w:gridCol w:w="2850"/>
        <w:gridCol w:w="2850"/>
        <w:gridCol w:w="2850"/>
      </w:tblGrid>
      <w:tr>
        <w:trPr>
          <w:tblHeader w:val="true"/>
        </w:trPr>
        <w:tc>
          <w:tcPr>
            <w:tcW w:type="dxa" w:w="907"/>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6"/>
              </w:rPr>
              <w:t>ID</w:t>
            </w:r>
          </w:p>
        </w:tc>
        <w:tc>
          <w:tcPr>
            <w:tcW w:type="dxa" w:w="3061"/>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6"/>
              </w:rPr>
              <w:t>US/criterio auditado</w:t>
            </w:r>
          </w:p>
        </w:tc>
        <w:tc>
          <w:tcPr>
            <w:tcW w:type="dxa" w:w="4649"/>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6"/>
              </w:rPr>
              <w:t>Resultado de la revisión</w:t>
            </w:r>
          </w:p>
        </w:tc>
        <w:tc>
          <w:tcPr>
            <w:tcW w:type="dxa" w:w="4649"/>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6"/>
              </w:rPr>
              <w:t>Evidencia funcional y técnica</w:t>
            </w:r>
          </w:p>
        </w:tc>
        <w:tc>
          <w:tcPr>
            <w:tcW w:type="dxa" w:w="1757"/>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6"/>
              </w:rPr>
              <w:t>Clasificación</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LV01</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US01 - Registrar un nuevo viaje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El formulario valida datos, selecciona cliente, conductor y vehículo, y el backend valida fechas, duplicidad y disponibilidad.</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RegisterTripScreen.kt; RegisterTripViewModel.kt; TripsController.cs; TripCommandService.cs</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LV02</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US02 - Modificar datos de un viaje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Existen flujos separados para editar detalles y programación, con validaciones según el estado del viaje.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TripEditScreen.kt; TripEditViewModel.kt; endpoints PUT /trips/{id}/details y /schedule</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LV03</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US03 - Registrar gastos de viaje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La aplicación permite registrar combustible, peajes, viáticos y otros gastos; el backend restringe un registro de gastos por viaje.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RegisterExpenseScreen.kt; ExpenseCommandService.cs; ExpensesController.cs</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LV04</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US04 - Modificar gastos de un viaje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Se recuperan los datos existentes y se actualizan mediante un endpoint específico con validaciones de valores no negativos.</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EditExpenseScreen.kt; EditExpenseViewModel.kt; ExpensesController.cs</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LV05</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US05 - Registrar datos de conductor</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El flujo registra nombre, DNI, licencia, contacto y empresario, con validaciones en frontend y dominio.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RegisterDriverScreen.kt; RegisterDriverViewModel.kt; DriverCommandService.cs</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LV06</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US06 - Modificar datos de un conductor</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parcialmente. El flujo de edición permite cambiar nombre y contacto, pero no DNI ni licencia; además, la actualización restablece el estado a AVAILABLE.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EditDriverScreen.kt; EditDriverViewModel.kt; DriversController.cs</w:t>
            </w:r>
          </w:p>
        </w:tc>
        <w:tc>
          <w:tcPr>
            <w:tcW w:type="dxa" w:w="1757"/>
            <w:shd w:fill="FFF2CC"/>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Observación</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LV07</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US07 - Registrar datos de vehículo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Se registran nombre, modelo, placa, tracto, carga máxima y volumen, asociados al empresario.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RegisterVehicleScreen.kt; RegisterVehicleViewModel.kt; VehicleCommandService.cs</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LV08</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US08 - Modificar datos de un vehículo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No cumple de forma completa. La aplicación solo permite modificar el nombre y el estado; no permite editar modelo, placa, tracto, carga máxima ni volumen.</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EditVehicleScreen.kt; EditVehicleViewModel.kt; VehicleService.kt</w:t>
            </w:r>
          </w:p>
        </w:tc>
        <w:tc>
          <w:tcPr>
            <w:tcW w:type="dxa" w:w="1757"/>
            <w:shd w:fill="F4CCCC"/>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No conformidad</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LV09</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US09 - Seguimiento activo del viaje para empresario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No cumple. La ubicación inicial, velocidad y distancia se generan aleatoriamente y el desplazamiento se simula hacia una coordenada fija cada cinco segundos.</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GpsViewModel.kt; GpsScreen.kt</w:t>
            </w:r>
          </w:p>
        </w:tc>
        <w:tc>
          <w:tcPr>
            <w:tcW w:type="dxa" w:w="1757"/>
            <w:shd w:fill="F4CCCC"/>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No conformidad</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LV10</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US10 - Visualizar detalles del viaje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La vista integra información general, conductor, vehículo, cliente, gastos, alertas y acceso al seguimiento.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TripDetailScreen.kt y servicios asociados a trips/{id}</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LV11</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US11 - Registrar y visualizar alertas de viaje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Se pueden registrar alertas para viajes en progreso y consultar el historial asociado al viaje.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AlertScreen.kt; AlertsController.cs; AlertCommandService.cs</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LV12</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US12 - Visualizar viajes del empresario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El empresario consulta sus viajes mediante pestañas por estado y accede al detalle de cada registro.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TripManagementScreen.kt; TripManagementViewModel.kt; EntrepreneurService.kt</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LV13</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US13 - Visualizar conductores</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Se muestra la lista de conductores con datos principales, estado y acceso a edición.</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DriverListScreen.kt; DriverListViewModel.kt</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LV14</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US14 - Visualizar vehículos</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Se muestra la lista de vehículos registrados con estado, datos básicos y acceso a edición.</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VehicleListScreen.kt; VehicleListViewModel.kt</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LV15</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US15 - Visualizar gastos de viaje como cliente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El cliente accede a los gastos del viaje y al resumen estadístico acumulado.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TripDetailScreen.kt; StatisticsScreen.kt; GET /trips/{id}/expenses</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LV16</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US16 - Registrar una nueva cuenta</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No cumple totalmente. Se crea la cuenta con perfil CLIENT o ENTREPRENEUR, pero no existe envío de correo ni enlace de verificación.</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RegisterScreen.kt; AuthenticationController.cs; UserCommandService.cs</w:t>
            </w:r>
          </w:p>
        </w:tc>
        <w:tc>
          <w:tcPr>
            <w:tcW w:type="dxa" w:w="1757"/>
            <w:shd w:fill="F4CCCC"/>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No conformidad</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LV17</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US17 - Iniciar sesión</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Se validan credenciales, estado de cuenta y rol; el backend devuelve JWT y la aplicación carga el perfil correspondiente.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LoginScreen.kt; LoginViewModel.kt; AuthenticationController.cs</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LV18</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US18 - Cerrar sesión</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parcialmente. Se elimina el token y se navega al login, pero la sesión se mantiene solo en variables globales, no se limpian todos los campos y no se reinicia explícitamente el back stack.</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ProfileViewModel.kt; Constants.kt; navegación de ProfileScreen.kt</w:t>
            </w:r>
          </w:p>
        </w:tc>
        <w:tc>
          <w:tcPr>
            <w:tcW w:type="dxa" w:w="1757"/>
            <w:shd w:fill="FFF2CC"/>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Observación</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LV19</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US25 - Visualizar viajes del cliente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El cliente consulta sus viajes por estado y accede al detalle correspondiente.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TripManagementScreen.kt; TripManagementViewModel.kt; ClientService.kt</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LV20</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US26 - Buscar y filtrar viajes del cliente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La vista permite búsqueda por nombre, filtrado por estado y rango de fechas, además de ordenamiento.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TripManagementScreen.kt</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LV21</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US27 - Visualizar resumen de actividad del cliente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Se calculan total de viajes, total de gastos y resúmenes gráficos a partir de los viajes del cliente.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StatisticsScreen.kt; StatisticsViewModel.kt</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LV22</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US28 - Seguimiento activo del viaje para cliente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No cumple. El mapa reutiliza la simulación aleatoria y no obtiene GPS real del dispositivo ni una ubicación real transmitida por el transportista.</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GpsViewModel.kt; GpsScreen.kt</w:t>
            </w:r>
          </w:p>
        </w:tc>
        <w:tc>
          <w:tcPr>
            <w:tcW w:type="dxa" w:w="1757"/>
            <w:shd w:fill="F4CCCC"/>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No conformidad</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LV23</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US29 - Buscar y filtrar conductores</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Se implementa búsqueda por nombre, filtro por estado y mensaje cuando no existen coincidencias.</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DriverListScreen.kt</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LV24</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US30 - Buscar y filtrar vehículos</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No cumple el criterio principal. La búsqueda se realiza por nombre del vehículo, mientras la User Story exige búsqueda por placa.</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VehicleListScreen.kt</w:t>
            </w:r>
          </w:p>
        </w:tc>
        <w:tc>
          <w:tcPr>
            <w:tcW w:type="dxa" w:w="1757"/>
            <w:shd w:fill="F4CCCC"/>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No conformidad</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LV25</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US31 - Buscar y filtrar viajes del empresario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Se filtra por nombre, fecha, tipo y estado, con opciones de ordenamiento.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TripManagementScreen.kt</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LV26</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US32 - Visualizar auditoría de cambios</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Existe historial por entidad y acción, filtros por fecha y pantalla de detalle de cada cambio.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HistoryScreen.kt; HistoryDetailScreen.kt; AuditLogsController.cs</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LV27</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US33 - Visualizar resumen operativo para empresario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El panel presenta viajes en progreso, alertas y disponibilidad de conductores y vehículos.</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HomeScreen.kt; HomeViewModel.kt</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LV28</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US34 - Visualizar resumen operativo para cliente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El panel muestra viajes por estado y alertas recientes relacionadas con los viajes del cliente.</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HomeScreen.kt; HomeViewModel.kt</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LV29</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US35 - Consultar términos, condiciones y política de privacidad</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No cumple completamente. Existe una pantalla de términos con una sección de privacidad, pero no una política independiente ni acceso desde el perfil como exige el criterio.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TermsAndConditionsScreen.kt; rutas de navegación en MainActivity.kt</w:t>
            </w:r>
          </w:p>
        </w:tc>
        <w:tc>
          <w:tcPr>
            <w:tcW w:type="dxa" w:w="1757"/>
            <w:shd w:fill="F4CCCC"/>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No conformidad</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LV30</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US36 - Formularios simplificados para registro operativo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Los formularios principales incorporan validaciones, selectores y envío directo sin pasos innecesarios.</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Pantallas RegisterTrip, RegisterDriver, RegisterVehicle, RegisterExpense y Alert</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LT01</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TS01 - API de gestión de usuarios</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Existen endpoints, servicios, repositorios y pruebas para usuarios, clientes y empresarios.</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IAM y User bounded contexts; CargoExpress.UnitTests; CargoExpress.IntegrationTests</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LT02</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TS02 - API de gestión logística</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Cumple. El backend implementa viajes, gastos, conductores, vehículos, alertas, seguimiento y auditoría con reglas de dominio.</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Registration bounded context y pruebas asociadas</w:t>
            </w:r>
          </w:p>
        </w:tc>
        <w:tc>
          <w:tcPr>
            <w:tcW w:type="dxa" w:w="1757"/>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Fortaleza</w:t>
            </w:r>
          </w:p>
        </w:tc>
      </w:tr>
      <w:tr>
        <w:trPr>
          <w:cantSplit/>
        </w:trPr>
        <w:tc>
          <w:tcPr>
            <w:tcW w:type="dxa" w:w="907"/>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LT03</w:t>
            </w:r>
          </w:p>
        </w:tc>
        <w:tc>
          <w:tcPr>
            <w:tcW w:type="dxa" w:w="3061"/>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TS03 - Seguridad y autenticación</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No cumple de manera suficiente. Hay JWT y BCrypt, pero faltan controles de propiedad y rol; además, se detectaron secretos versionados y una configuración TLS insegura en la aplicación móvil.</w:t>
            </w:r>
          </w:p>
        </w:tc>
        <w:tc>
          <w:tcPr>
            <w:tcW w:type="dxa" w:w="4649"/>
            <w:vAlign w:val="center"/>
            <w:tcMar>
              <w:top w:w="70" w:type="dxa"/>
              <w:start w:w="90" w:type="dxa"/>
              <w:bottom w:w="70" w:type="dxa"/>
              <w:end w:w="90" w:type="dxa"/>
            </w:tcMar>
          </w:tcPr>
          <w:p>
            <w:pPr>
              <w:spacing w:after="0" w:before="0" w:line="240" w:lineRule="auto"/>
              <w:jc w:val="left"/>
            </w:pPr>
            <w:r/>
            <w:r>
              <w:rPr>
                <w:rFonts w:ascii="Arial" w:hAnsi="Arial"/>
                <w:b w:val="0"/>
                <w:color w:val="222222"/>
                <w:sz w:val="14"/>
              </w:rPr>
              <w:t>RequestAuthorizationMiddleware.cs; controladores REST; appsettings.json; MainActivity.kt</w:t>
            </w:r>
          </w:p>
        </w:tc>
        <w:tc>
          <w:tcPr>
            <w:tcW w:type="dxa" w:w="1757"/>
            <w:shd w:fill="F4CCCC"/>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No conformidad</w:t>
            </w:r>
          </w:p>
        </w:tc>
      </w:tr>
    </w:tbl>
    <w:p>
      <w:r>
        <w:br w:type="page"/>
      </w:r>
    </w:p>
    <w:p>
      <w:pPr>
        <w:pStyle w:val="Heading2"/>
        <w:keepNext/>
      </w:pPr>
      <w:r>
        <w:t>5.3. Relación de hallazgos identificados</w:t>
      </w:r>
    </w:p>
    <w:tbl>
      <w:tblPr>
        <w:tblW w:type="auto" w:w="0"/>
        <w:jc w:val="center"/>
        <w:tblLayout w:type="fixed"/>
        <w:tblLook w:firstColumn="1" w:firstRow="1" w:lastColumn="0" w:lastRow="0" w:noHBand="0" w:noVBand="1" w:val="04A0"/>
        <w:tblBorders>
          <w:top w:val="single" w:sz="5" w:space="0" w:color="666666"/>
          <w:left w:val="single" w:sz="5" w:space="0" w:color="666666"/>
          <w:bottom w:val="single" w:sz="5" w:space="0" w:color="666666"/>
          <w:right w:val="single" w:sz="5" w:space="0" w:color="666666"/>
          <w:insideH w:val="single" w:sz="5" w:space="0" w:color="666666"/>
          <w:insideV w:val="single" w:sz="5" w:space="0" w:color="666666"/>
        </w:tblBorders>
      </w:tblPr>
      <w:tblGrid>
        <w:gridCol w:w="3563"/>
        <w:gridCol w:w="3563"/>
        <w:gridCol w:w="3563"/>
        <w:gridCol w:w="3563"/>
      </w:tblGrid>
      <w:tr>
        <w:trPr>
          <w:tblHeader w:val="true"/>
        </w:trPr>
        <w:tc>
          <w:tcPr>
            <w:tcW w:type="dxa" w:w="964"/>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6"/>
              </w:rPr>
              <w:t>Código</w:t>
            </w:r>
          </w:p>
        </w:tc>
        <w:tc>
          <w:tcPr>
            <w:tcW w:type="dxa" w:w="4535"/>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6"/>
              </w:rPr>
              <w:t>Hallazgo</w:t>
            </w:r>
          </w:p>
        </w:tc>
        <w:tc>
          <w:tcPr>
            <w:tcW w:type="dxa" w:w="7540"/>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6"/>
              </w:rPr>
              <w:t>Evidencia</w:t>
            </w:r>
          </w:p>
        </w:tc>
        <w:tc>
          <w:tcPr>
            <w:tcW w:type="dxa" w:w="1984"/>
            <w:vAlign w:val="center"/>
            <w:tcMar>
              <w:top w:w="70" w:type="dxa"/>
              <w:start w:w="90" w:type="dxa"/>
              <w:bottom w:w="70" w:type="dxa"/>
              <w:end w:w="90" w:type="dxa"/>
            </w:tcMar>
            <w:shd w:fill="D9D9D9"/>
          </w:tcPr>
          <w:p>
            <w:pPr>
              <w:spacing w:after="0" w:before="0" w:line="240" w:lineRule="auto"/>
              <w:jc w:val="center"/>
            </w:pPr>
            <w:r/>
            <w:r>
              <w:rPr>
                <w:rFonts w:ascii="Arial" w:hAnsi="Arial"/>
                <w:b/>
                <w:color w:val="222222"/>
                <w:sz w:val="16"/>
              </w:rPr>
              <w:t>Clasificación</w:t>
            </w:r>
          </w:p>
        </w:tc>
      </w:tr>
      <w:tr>
        <w:trPr>
          <w:cantSplit/>
        </w:trPr>
        <w:tc>
          <w:tcPr>
            <w:tcW w:type="dxa" w:w="964"/>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H01</w:t>
            </w:r>
          </w:p>
        </w:tc>
        <w:tc>
          <w:tcPr>
            <w:tcW w:type="dxa" w:w="4535"/>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Se encontraron secretos de producción versionados en el backend.</w:t>
            </w:r>
          </w:p>
        </w:tc>
        <w:tc>
          <w:tcPr>
            <w:tcW w:type="dxa" w:w="7540"/>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appsettings.json contiene la clave de firma JWT y una cadena de conexión a Railway con usuario y contraseña. La evidencia se registró de forma redactada para no reproducir las credenciales.</w:t>
            </w:r>
          </w:p>
        </w:tc>
        <w:tc>
          <w:tcPr>
            <w:tcW w:type="dxa" w:w="1984"/>
            <w:shd w:fill="F4CCCC"/>
            <w:vAlign w:val="center"/>
            <w:tcMar>
              <w:top w:w="70" w:type="dxa"/>
              <w:start w:w="90" w:type="dxa"/>
              <w:bottom w:w="70" w:type="dxa"/>
              <w:end w:w="90" w:type="dxa"/>
            </w:tcMar>
          </w:tcPr>
          <w:p>
            <w:pPr>
              <w:spacing w:after="0" w:before="0" w:line="240" w:lineRule="auto"/>
              <w:jc w:val="center"/>
            </w:pPr>
            <w:r/>
            <w:r>
              <w:rPr>
                <w:rFonts w:ascii="Arial" w:hAnsi="Arial"/>
                <w:b/>
                <w:color w:val="222222"/>
                <w:sz w:val="14"/>
              </w:rPr>
              <w:t>No conformidad</w:t>
            </w:r>
          </w:p>
        </w:tc>
      </w:tr>
      <w:tr>
        <w:trPr>
          <w:cantSplit/>
        </w:trPr>
        <w:tc>
          <w:tcPr>
            <w:tcW w:type="dxa" w:w="964"/>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H02</w:t>
            </w:r>
          </w:p>
        </w:tc>
        <w:tc>
          <w:tcPr>
            <w:tcW w:type="dxa" w:w="4535"/>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La aplicación móvil desactiva la validación TLS.</w:t>
            </w:r>
          </w:p>
        </w:tc>
        <w:tc>
          <w:tcPr>
            <w:tcW w:type="dxa" w:w="7540"/>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MainActivity.kt confía en cualquier certificado y acepta cualquier nombre de host; AndroidManifest.xml también habilita tráfico en texto claro. Esto expone la sesión a ataques de intermediario.</w:t>
            </w:r>
          </w:p>
        </w:tc>
        <w:tc>
          <w:tcPr>
            <w:tcW w:type="dxa" w:w="1984"/>
            <w:shd w:fill="F4CCCC"/>
            <w:vAlign w:val="center"/>
            <w:tcMar>
              <w:top w:w="70" w:type="dxa"/>
              <w:start w:w="90" w:type="dxa"/>
              <w:bottom w:w="70" w:type="dxa"/>
              <w:end w:w="90" w:type="dxa"/>
            </w:tcMar>
          </w:tcPr>
          <w:p>
            <w:pPr>
              <w:spacing w:after="0" w:before="0" w:line="240" w:lineRule="auto"/>
              <w:jc w:val="center"/>
            </w:pPr>
            <w:r/>
            <w:r>
              <w:rPr>
                <w:rFonts w:ascii="Arial" w:hAnsi="Arial"/>
                <w:b/>
                <w:color w:val="222222"/>
                <w:sz w:val="14"/>
              </w:rPr>
              <w:t>No conformidad</w:t>
            </w:r>
          </w:p>
        </w:tc>
      </w:tr>
      <w:tr>
        <w:trPr>
          <w:cantSplit/>
        </w:trPr>
        <w:tc>
          <w:tcPr>
            <w:tcW w:type="dxa" w:w="964"/>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H03</w:t>
            </w:r>
          </w:p>
        </w:tc>
        <w:tc>
          <w:tcPr>
            <w:tcW w:type="dxa" w:w="4535"/>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No existe autorización por rol ni validación de propiedad de los recursos.</w:t>
            </w:r>
          </w:p>
        </w:tc>
        <w:tc>
          <w:tcPr>
            <w:tcW w:type="dxa" w:w="7540"/>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El middleware valida que el JWT sea válido, pero los controladores aceptan clientId, entrepreneurId y resourceId proporcionados por el cliente sin compararlos con el usuario autenticado. Un usuario válido podría consultar o modificar recursos ajenos.</w:t>
            </w:r>
          </w:p>
        </w:tc>
        <w:tc>
          <w:tcPr>
            <w:tcW w:type="dxa" w:w="1984"/>
            <w:shd w:fill="F4CCCC"/>
            <w:vAlign w:val="center"/>
            <w:tcMar>
              <w:top w:w="70" w:type="dxa"/>
              <w:start w:w="90" w:type="dxa"/>
              <w:bottom w:w="70" w:type="dxa"/>
              <w:end w:w="90" w:type="dxa"/>
            </w:tcMar>
          </w:tcPr>
          <w:p>
            <w:pPr>
              <w:spacing w:after="0" w:before="0" w:line="240" w:lineRule="auto"/>
              <w:jc w:val="center"/>
            </w:pPr>
            <w:r/>
            <w:r>
              <w:rPr>
                <w:rFonts w:ascii="Arial" w:hAnsi="Arial"/>
                <w:b/>
                <w:color w:val="222222"/>
                <w:sz w:val="14"/>
              </w:rPr>
              <w:t>No conformidad</w:t>
            </w:r>
          </w:p>
        </w:tc>
      </w:tr>
      <w:tr>
        <w:trPr>
          <w:cantSplit/>
        </w:trPr>
        <w:tc>
          <w:tcPr>
            <w:tcW w:type="dxa" w:w="964"/>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H04</w:t>
            </w:r>
          </w:p>
        </w:tc>
        <w:tc>
          <w:tcPr>
            <w:tcW w:type="dxa" w:w="4535"/>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El seguimiento denominado “en tiempo real” es una simulación.</w:t>
            </w:r>
          </w:p>
        </w:tc>
        <w:tc>
          <w:tcPr>
            <w:tcW w:type="dxa" w:w="7540"/>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GpsViewModel.kt genera coordenadas, velocidad y distancia aleatorias y desplaza la posición hacia un destino fijo. No se usa un proveedor de ubicación real ni sincronización continua desde un vehículo.</w:t>
            </w:r>
          </w:p>
        </w:tc>
        <w:tc>
          <w:tcPr>
            <w:tcW w:type="dxa" w:w="1984"/>
            <w:shd w:fill="F4CCCC"/>
            <w:vAlign w:val="center"/>
            <w:tcMar>
              <w:top w:w="70" w:type="dxa"/>
              <w:start w:w="90" w:type="dxa"/>
              <w:bottom w:w="70" w:type="dxa"/>
              <w:end w:w="90" w:type="dxa"/>
            </w:tcMar>
          </w:tcPr>
          <w:p>
            <w:pPr>
              <w:spacing w:after="0" w:before="0" w:line="240" w:lineRule="auto"/>
              <w:jc w:val="center"/>
            </w:pPr>
            <w:r/>
            <w:r>
              <w:rPr>
                <w:rFonts w:ascii="Arial" w:hAnsi="Arial"/>
                <w:b/>
                <w:color w:val="222222"/>
                <w:sz w:val="14"/>
              </w:rPr>
              <w:t>No conformidad</w:t>
            </w:r>
          </w:p>
        </w:tc>
      </w:tr>
      <w:tr>
        <w:trPr>
          <w:cantSplit/>
        </w:trPr>
        <w:tc>
          <w:tcPr>
            <w:tcW w:type="dxa" w:w="964"/>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H05</w:t>
            </w:r>
          </w:p>
        </w:tc>
        <w:tc>
          <w:tcPr>
            <w:tcW w:type="dxa" w:w="4535"/>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La edición y búsqueda de vehículos no coincide con los criterios de aceptación.</w:t>
            </w:r>
          </w:p>
        </w:tc>
        <w:tc>
          <w:tcPr>
            <w:tcW w:type="dxa" w:w="7540"/>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La edición solo cubre nombre y estado. Además, VehicleListScreen.kt busca por nombre, aunque US30 exige búsqueda por placa.</w:t>
            </w:r>
          </w:p>
        </w:tc>
        <w:tc>
          <w:tcPr>
            <w:tcW w:type="dxa" w:w="1984"/>
            <w:shd w:fill="F4CCCC"/>
            <w:vAlign w:val="center"/>
            <w:tcMar>
              <w:top w:w="70" w:type="dxa"/>
              <w:start w:w="90" w:type="dxa"/>
              <w:bottom w:w="70" w:type="dxa"/>
              <w:end w:w="90" w:type="dxa"/>
            </w:tcMar>
          </w:tcPr>
          <w:p>
            <w:pPr>
              <w:spacing w:after="0" w:before="0" w:line="240" w:lineRule="auto"/>
              <w:jc w:val="center"/>
            </w:pPr>
            <w:r/>
            <w:r>
              <w:rPr>
                <w:rFonts w:ascii="Arial" w:hAnsi="Arial"/>
                <w:b/>
                <w:color w:val="222222"/>
                <w:sz w:val="14"/>
              </w:rPr>
              <w:t>No conformidad</w:t>
            </w:r>
          </w:p>
        </w:tc>
      </w:tr>
      <w:tr>
        <w:trPr>
          <w:cantSplit/>
        </w:trPr>
        <w:tc>
          <w:tcPr>
            <w:tcW w:type="dxa" w:w="964"/>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H06</w:t>
            </w:r>
          </w:p>
        </w:tc>
        <w:tc>
          <w:tcPr>
            <w:tcW w:type="dxa" w:w="4535"/>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El registro no implementa verificación de correo.</w:t>
            </w:r>
          </w:p>
        </w:tc>
        <w:tc>
          <w:tcPr>
            <w:tcW w:type="dxa" w:w="7540"/>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El endpoint sign-up crea la cuenta directamente y no existe servicio de correo, token de verificación ni estado pendiente de confirmación.</w:t>
            </w:r>
          </w:p>
        </w:tc>
        <w:tc>
          <w:tcPr>
            <w:tcW w:type="dxa" w:w="1984"/>
            <w:shd w:fill="F4CCCC"/>
            <w:vAlign w:val="center"/>
            <w:tcMar>
              <w:top w:w="70" w:type="dxa"/>
              <w:start w:w="90" w:type="dxa"/>
              <w:bottom w:w="70" w:type="dxa"/>
              <w:end w:w="90" w:type="dxa"/>
            </w:tcMar>
          </w:tcPr>
          <w:p>
            <w:pPr>
              <w:spacing w:after="0" w:before="0" w:line="240" w:lineRule="auto"/>
              <w:jc w:val="center"/>
            </w:pPr>
            <w:r/>
            <w:r>
              <w:rPr>
                <w:rFonts w:ascii="Arial" w:hAnsi="Arial"/>
                <w:b/>
                <w:color w:val="222222"/>
                <w:sz w:val="14"/>
              </w:rPr>
              <w:t>No conformidad</w:t>
            </w:r>
          </w:p>
        </w:tc>
      </w:tr>
      <w:tr>
        <w:trPr>
          <w:cantSplit/>
        </w:trPr>
        <w:tc>
          <w:tcPr>
            <w:tcW w:type="dxa" w:w="964"/>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H07</w:t>
            </w:r>
          </w:p>
        </w:tc>
        <w:tc>
          <w:tcPr>
            <w:tcW w:type="dxa" w:w="4535"/>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La política de privacidad no está implementada como artefacto independiente.</w:t>
            </w:r>
          </w:p>
        </w:tc>
        <w:tc>
          <w:tcPr>
            <w:tcW w:type="dxa" w:w="7540"/>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Solo existe TermsAndConditionsScreen.kt con un apartado de privacidad. No se identificó una pantalla separada ni acceso desde el perfil.</w:t>
            </w:r>
          </w:p>
        </w:tc>
        <w:tc>
          <w:tcPr>
            <w:tcW w:type="dxa" w:w="1984"/>
            <w:shd w:fill="F4CCCC"/>
            <w:vAlign w:val="center"/>
            <w:tcMar>
              <w:top w:w="70" w:type="dxa"/>
              <w:start w:w="90" w:type="dxa"/>
              <w:bottom w:w="70" w:type="dxa"/>
              <w:end w:w="90" w:type="dxa"/>
            </w:tcMar>
          </w:tcPr>
          <w:p>
            <w:pPr>
              <w:spacing w:after="0" w:before="0" w:line="240" w:lineRule="auto"/>
              <w:jc w:val="center"/>
            </w:pPr>
            <w:r/>
            <w:r>
              <w:rPr>
                <w:rFonts w:ascii="Arial" w:hAnsi="Arial"/>
                <w:b/>
                <w:color w:val="222222"/>
                <w:sz w:val="14"/>
              </w:rPr>
              <w:t>No conformidad</w:t>
            </w:r>
          </w:p>
        </w:tc>
      </w:tr>
      <w:tr>
        <w:trPr>
          <w:cantSplit/>
        </w:trPr>
        <w:tc>
          <w:tcPr>
            <w:tcW w:type="dxa" w:w="964"/>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H08</w:t>
            </w:r>
          </w:p>
        </w:tc>
        <w:tc>
          <w:tcPr>
            <w:tcW w:type="dxa" w:w="4535"/>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La evidencia de pruebas es sólida en backend, pero insuficiente en móvil.</w:t>
            </w:r>
          </w:p>
        </w:tc>
        <w:tc>
          <w:tcPr>
            <w:tcW w:type="dxa" w:w="7540"/>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El backend contiene proyectos xUnit, pruebas de integración y 16 archivos Gherkin/SpecFlow. En la aplicación móvil solo se encontró la prueba de plantilla 2 + 2 = 4, sin pruebas Espresso funcionales que respalden lo declarado como System Tests.</w:t>
            </w:r>
          </w:p>
        </w:tc>
        <w:tc>
          <w:tcPr>
            <w:tcW w:type="dxa" w:w="1984"/>
            <w:shd w:fill="FFF2CC"/>
            <w:vAlign w:val="center"/>
            <w:tcMar>
              <w:top w:w="70" w:type="dxa"/>
              <w:start w:w="90" w:type="dxa"/>
              <w:bottom w:w="70" w:type="dxa"/>
              <w:end w:w="90" w:type="dxa"/>
            </w:tcMar>
          </w:tcPr>
          <w:p>
            <w:pPr>
              <w:spacing w:after="0" w:before="0" w:line="240" w:lineRule="auto"/>
              <w:jc w:val="center"/>
            </w:pPr>
            <w:r/>
            <w:r>
              <w:rPr>
                <w:rFonts w:ascii="Arial" w:hAnsi="Arial"/>
                <w:b/>
                <w:color w:val="222222"/>
                <w:sz w:val="14"/>
              </w:rPr>
              <w:t>Observación</w:t>
            </w:r>
          </w:p>
        </w:tc>
      </w:tr>
      <w:tr>
        <w:trPr>
          <w:cantSplit/>
        </w:trPr>
        <w:tc>
          <w:tcPr>
            <w:tcW w:type="dxa" w:w="964"/>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H09</w:t>
            </w:r>
          </w:p>
        </w:tc>
        <w:tc>
          <w:tcPr>
            <w:tcW w:type="dxa" w:w="4535"/>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No se encontraron pipelines de CI/CD ni configuración de monitoreo declarada.</w:t>
            </w:r>
          </w:p>
        </w:tc>
        <w:tc>
          <w:tcPr>
            <w:tcW w:type="dxa" w:w="7540"/>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Los repositorios no contienen .github/workflows. La aplicación incluye Firebase Auth/Storage, pero no dependencias o configuración observable para Crashlytics y Performance Monitoring, aunque el informe los plantea como herramientas de seguimiento.</w:t>
            </w:r>
          </w:p>
        </w:tc>
        <w:tc>
          <w:tcPr>
            <w:tcW w:type="dxa" w:w="1984"/>
            <w:shd w:fill="FFF2CC"/>
            <w:vAlign w:val="center"/>
            <w:tcMar>
              <w:top w:w="70" w:type="dxa"/>
              <w:start w:w="90" w:type="dxa"/>
              <w:bottom w:w="70" w:type="dxa"/>
              <w:end w:w="90" w:type="dxa"/>
            </w:tcMar>
          </w:tcPr>
          <w:p>
            <w:pPr>
              <w:spacing w:after="0" w:before="0" w:line="240" w:lineRule="auto"/>
              <w:jc w:val="center"/>
            </w:pPr>
            <w:r/>
            <w:r>
              <w:rPr>
                <w:rFonts w:ascii="Arial" w:hAnsi="Arial"/>
                <w:b/>
                <w:color w:val="222222"/>
                <w:sz w:val="14"/>
              </w:rPr>
              <w:t>Observación</w:t>
            </w:r>
          </w:p>
        </w:tc>
      </w:tr>
      <w:tr>
        <w:trPr>
          <w:cantSplit/>
        </w:trPr>
        <w:tc>
          <w:tcPr>
            <w:tcW w:type="dxa" w:w="964"/>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H10</w:t>
            </w:r>
          </w:p>
        </w:tc>
        <w:tc>
          <w:tcPr>
            <w:tcW w:type="dxa" w:w="4535"/>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La gestión de sesión móvil es volátil e incompleta.</w:t>
            </w:r>
          </w:p>
        </w:tc>
        <w:tc>
          <w:tcPr>
            <w:tcW w:type="dxa" w:w="7540"/>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Constants.kt almacena token e identificadores en memoria. No se usa DataStore o almacenamiento cifrado; el cierre de sesión no limpia todas las variables ni garantiza que el usuario no vuelva a una pantalla protegida.</w:t>
            </w:r>
          </w:p>
        </w:tc>
        <w:tc>
          <w:tcPr>
            <w:tcW w:type="dxa" w:w="1984"/>
            <w:shd w:fill="D9EAF7"/>
            <w:vAlign w:val="center"/>
            <w:tcMar>
              <w:top w:w="70" w:type="dxa"/>
              <w:start w:w="90" w:type="dxa"/>
              <w:bottom w:w="70" w:type="dxa"/>
              <w:end w:w="90" w:type="dxa"/>
            </w:tcMar>
          </w:tcPr>
          <w:p>
            <w:pPr>
              <w:spacing w:after="0" w:before="0" w:line="240" w:lineRule="auto"/>
              <w:jc w:val="center"/>
            </w:pPr>
            <w:r/>
            <w:r>
              <w:rPr>
                <w:rFonts w:ascii="Arial" w:hAnsi="Arial"/>
                <w:b/>
                <w:color w:val="222222"/>
                <w:sz w:val="14"/>
              </w:rPr>
              <w:t>Oportunidad de mejora</w:t>
            </w:r>
          </w:p>
        </w:tc>
      </w:tr>
      <w:tr>
        <w:trPr>
          <w:cantSplit/>
        </w:trPr>
        <w:tc>
          <w:tcPr>
            <w:tcW w:type="dxa" w:w="964"/>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H11</w:t>
            </w:r>
          </w:p>
        </w:tc>
        <w:tc>
          <w:tcPr>
            <w:tcW w:type="dxa" w:w="4535"/>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Las claves de servicios móviles están embebidas en archivos del repositorio.</w:t>
            </w:r>
          </w:p>
        </w:tc>
        <w:tc>
          <w:tcPr>
            <w:tcW w:type="dxa" w:w="7540"/>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AndroidManifest.xml y google-services.json contienen claves de Google/Firebase. Aunque algunas son identificadores de cliente, deben restringirse por paquete, certificado y API, y no reutilizarse sin controles.</w:t>
            </w:r>
          </w:p>
        </w:tc>
        <w:tc>
          <w:tcPr>
            <w:tcW w:type="dxa" w:w="1984"/>
            <w:shd w:fill="D9EAF7"/>
            <w:vAlign w:val="center"/>
            <w:tcMar>
              <w:top w:w="70" w:type="dxa"/>
              <w:start w:w="90" w:type="dxa"/>
              <w:bottom w:w="70" w:type="dxa"/>
              <w:end w:w="90" w:type="dxa"/>
            </w:tcMar>
          </w:tcPr>
          <w:p>
            <w:pPr>
              <w:spacing w:after="0" w:before="0" w:line="240" w:lineRule="auto"/>
              <w:jc w:val="center"/>
            </w:pPr>
            <w:r/>
            <w:r>
              <w:rPr>
                <w:rFonts w:ascii="Arial" w:hAnsi="Arial"/>
                <w:b/>
                <w:color w:val="222222"/>
                <w:sz w:val="14"/>
              </w:rPr>
              <w:t>Oportunidad de mejora</w:t>
            </w:r>
          </w:p>
        </w:tc>
      </w:tr>
      <w:tr>
        <w:trPr>
          <w:cantSplit/>
        </w:trPr>
        <w:tc>
          <w:tcPr>
            <w:tcW w:type="dxa" w:w="964"/>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H12</w:t>
            </w:r>
          </w:p>
        </w:tc>
        <w:tc>
          <w:tcPr>
            <w:tcW w:type="dxa" w:w="4535"/>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El inicio de sesión requiere descargar listas completas de perfiles.</w:t>
            </w:r>
          </w:p>
        </w:tc>
        <w:tc>
          <w:tcPr>
            <w:tcW w:type="dxa" w:w="7540"/>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LoginViewModel.kt consulta todos los empresarios o clientes para localizar el perfil por userId. Esto expone datos innecesarios y no escala; el backend debería devolver o permitir consultar únicamente el perfil autenticado.</w:t>
            </w:r>
          </w:p>
        </w:tc>
        <w:tc>
          <w:tcPr>
            <w:tcW w:type="dxa" w:w="1984"/>
            <w:shd w:fill="D9EAF7"/>
            <w:vAlign w:val="center"/>
            <w:tcMar>
              <w:top w:w="70" w:type="dxa"/>
              <w:start w:w="90" w:type="dxa"/>
              <w:bottom w:w="70" w:type="dxa"/>
              <w:end w:w="90" w:type="dxa"/>
            </w:tcMar>
          </w:tcPr>
          <w:p>
            <w:pPr>
              <w:spacing w:after="0" w:before="0" w:line="240" w:lineRule="auto"/>
              <w:jc w:val="center"/>
            </w:pPr>
            <w:r/>
            <w:r>
              <w:rPr>
                <w:rFonts w:ascii="Arial" w:hAnsi="Arial"/>
                <w:b/>
                <w:color w:val="222222"/>
                <w:sz w:val="14"/>
              </w:rPr>
              <w:t>Oportunidad de mejora</w:t>
            </w:r>
          </w:p>
        </w:tc>
      </w:tr>
      <w:tr>
        <w:trPr>
          <w:cantSplit/>
        </w:trPr>
        <w:tc>
          <w:tcPr>
            <w:tcW w:type="dxa" w:w="964"/>
            <w:vAlign w:val="center"/>
            <w:tcMar>
              <w:top w:w="70" w:type="dxa"/>
              <w:start w:w="90" w:type="dxa"/>
              <w:bottom w:w="70" w:type="dxa"/>
              <w:end w:w="90" w:type="dxa"/>
            </w:tcMar>
          </w:tcPr>
          <w:p>
            <w:pPr>
              <w:spacing w:after="0" w:before="0" w:line="240" w:lineRule="auto"/>
              <w:jc w:val="center"/>
            </w:pPr>
            <w:r/>
            <w:r>
              <w:rPr>
                <w:rFonts w:ascii="Arial" w:hAnsi="Arial"/>
                <w:b/>
                <w:color w:val="222222"/>
                <w:sz w:val="15"/>
              </w:rPr>
              <w:t>H13</w:t>
            </w:r>
          </w:p>
        </w:tc>
        <w:tc>
          <w:tcPr>
            <w:tcW w:type="dxa" w:w="4535"/>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La solución presenta una base funcional y de dominio consistente.</w:t>
            </w:r>
          </w:p>
        </w:tc>
        <w:tc>
          <w:tcPr>
            <w:tcW w:type="dxa" w:w="7540"/>
            <w:vAlign w:val="center"/>
            <w:tcMar>
              <w:top w:w="70" w:type="dxa"/>
              <w:start w:w="90" w:type="dxa"/>
              <w:bottom w:w="70" w:type="dxa"/>
              <w:end w:w="90" w:type="dxa"/>
            </w:tcMar>
          </w:tcPr>
          <w:p>
            <w:pPr>
              <w:spacing w:after="0" w:before="0" w:line="240" w:lineRule="auto"/>
              <w:jc w:val="left"/>
            </w:pPr>
            <w:r/>
            <w:r>
              <w:rPr>
                <w:rFonts w:ascii="Arial" w:hAnsi="Arial"/>
                <w:b w:val="0"/>
                <w:color w:val="222222"/>
                <w:sz w:val="15"/>
              </w:rPr>
              <w:t>Se observan validaciones de negocio, separación por contextos, hashing BCrypt, JWT, CRUD logístico, filtros, dashboards, auditoría y pruebas backend unitarias, de integración y BDD.</w:t>
            </w:r>
          </w:p>
        </w:tc>
        <w:tc>
          <w:tcPr>
            <w:tcW w:type="dxa" w:w="1984"/>
            <w:shd w:fill="E2F0D9"/>
            <w:vAlign w:val="center"/>
            <w:tcMar>
              <w:top w:w="70" w:type="dxa"/>
              <w:start w:w="90" w:type="dxa"/>
              <w:bottom w:w="70" w:type="dxa"/>
              <w:end w:w="90" w:type="dxa"/>
            </w:tcMar>
          </w:tcPr>
          <w:p>
            <w:pPr>
              <w:spacing w:after="0" w:before="0" w:line="240" w:lineRule="auto"/>
              <w:jc w:val="center"/>
            </w:pPr>
            <w:r/>
            <w:r>
              <w:rPr>
                <w:rFonts w:ascii="Arial" w:hAnsi="Arial"/>
                <w:b/>
                <w:color w:val="222222"/>
                <w:sz w:val="14"/>
              </w:rPr>
              <w:t>Fortaleza</w:t>
            </w:r>
          </w:p>
        </w:tc>
      </w:tr>
    </w:tbl>
    <w:p>
      <w:pPr>
        <w:sectPr>
          <w:footerReference w:type="default" r:id="rId13"/>
          <w:headerReference w:type="default" r:id="rId14"/>
          <w:pgSz w:w="15840" w:h="12240" w:orient="landscape"/>
          <w:pgMar w:top="794" w:right="794" w:bottom="737" w:left="794" w:header="397" w:footer="397" w:gutter="0"/>
          <w:cols w:space="720"/>
          <w:docGrid w:linePitch="360"/>
        </w:sectPr>
      </w:pPr>
    </w:p>
    <w:p>
      <w:pPr>
        <w:pStyle w:val="Heading1"/>
        <w:keepNext/>
      </w:pPr>
      <w:r>
        <w:t>6. Recomendaciones</w:t>
      </w:r>
    </w:p>
    <w:p>
      <w:pPr>
        <w:spacing w:after="100"/>
        <w:ind w:left="113" w:hanging="113"/>
        <w:jc w:val="both"/>
      </w:pPr>
      <w:r>
        <w:rPr>
          <w:b/>
          <w:color w:val="C8102E"/>
        </w:rPr>
        <w:t xml:space="preserve">1. Prioridad crítica - rotación de secretos: </w:t>
      </w:r>
      <w:r>
        <w:t>Revocar y reemplazar inmediatamente la contraseña de base de datos, la clave JWT y cualquier credencial expuesta. Eliminar los valores del historial de Git y administrarlos mediante variables de entorno o un gestor de secretos.</w:t>
      </w:r>
    </w:p>
    <w:p>
      <w:pPr>
        <w:spacing w:after="100"/>
        <w:ind w:left="113" w:hanging="113"/>
        <w:jc w:val="both"/>
      </w:pPr>
      <w:r>
        <w:rPr>
          <w:b/>
          <w:color w:val="C8102E"/>
        </w:rPr>
        <w:t xml:space="preserve">2. Prioridad crítica - seguridad de transporte: </w:t>
      </w:r>
      <w:r>
        <w:t>Eliminar el TrustManager permisivo y el hostnameVerifier que acepta cualquier host. Desactivar cleartextTraffic y utilizar el cliente HTTPS estándar con certificados válidos; aplicar certificate pinning solo si existe una estrategia de renovación.</w:t>
      </w:r>
    </w:p>
    <w:p>
      <w:pPr>
        <w:spacing w:after="100"/>
        <w:ind w:left="113" w:hanging="113"/>
        <w:jc w:val="both"/>
      </w:pPr>
      <w:r>
        <w:rPr>
          <w:b/>
          <w:color w:val="C8102E"/>
        </w:rPr>
        <w:t xml:space="preserve">3. Prioridad crítica - autorización: </w:t>
      </w:r>
      <w:r>
        <w:t>Implementar políticas por rol y propiedad del recurso. Los identificadores de cliente y empresario deben derivarse del JWT o validarse en el backend, evitando que el consumidor elija libremente IDs de otros usuarios.</w:t>
      </w:r>
    </w:p>
    <w:p>
      <w:pPr>
        <w:spacing w:after="100"/>
        <w:ind w:left="113" w:hanging="113"/>
        <w:jc w:val="both"/>
      </w:pPr>
      <w:r>
        <w:rPr>
          <w:b/>
          <w:color w:val="C8102E"/>
        </w:rPr>
        <w:t xml:space="preserve">4. Seguimiento real: </w:t>
      </w:r>
      <w:r>
        <w:t>Reemplazar la simulación por una solución basada en ubicación real, por ejemplo FusedLocationProvider en el dispositivo del transportista, envío autenticado de coordenadas y consulta o canal en tiempo real para los clientes. El destino debe provenir de los datos del viaje.</w:t>
      </w:r>
    </w:p>
    <w:p>
      <w:pPr>
        <w:spacing w:after="100"/>
        <w:ind w:left="113" w:hanging="113"/>
        <w:jc w:val="both"/>
      </w:pPr>
      <w:r>
        <w:rPr>
          <w:b/>
          <w:color w:val="C8102E"/>
        </w:rPr>
        <w:t xml:space="preserve">5. Gestión de vehículos: </w:t>
      </w:r>
      <w:r>
        <w:t>Permitir la modificación de todos los campos definidos por US08 y cambiar la búsqueda de US30 para que utilice la placa. Mantener validaciones de unicidad y formato en backend.</w:t>
      </w:r>
    </w:p>
    <w:p>
      <w:pPr>
        <w:spacing w:after="100"/>
        <w:ind w:left="113" w:hanging="113"/>
        <w:jc w:val="both"/>
      </w:pPr>
      <w:r>
        <w:rPr>
          <w:b/>
          <w:color w:val="C8102E"/>
        </w:rPr>
        <w:t xml:space="preserve">6. Verificación de cuentas: </w:t>
      </w:r>
      <w:r>
        <w:t>Agregar un flujo de correo de confirmación con token de un solo uso, vencimiento y activación de cuenta antes del primer acceso, tal como establece US16.</w:t>
      </w:r>
    </w:p>
    <w:p>
      <w:pPr>
        <w:spacing w:after="100"/>
        <w:ind w:left="113" w:hanging="113"/>
        <w:jc w:val="both"/>
      </w:pPr>
      <w:r>
        <w:rPr>
          <w:b/>
          <w:color w:val="C8102E"/>
        </w:rPr>
        <w:t xml:space="preserve">7. Privacidad y consentimiento: </w:t>
      </w:r>
      <w:r>
        <w:t>Crear una política de privacidad independiente, enlazarla desde registro y perfil, registrar la aceptación del usuario y mantener versiones de los documentos legales.</w:t>
      </w:r>
    </w:p>
    <w:p>
      <w:pPr>
        <w:spacing w:after="100"/>
        <w:ind w:left="113" w:hanging="113"/>
        <w:jc w:val="both"/>
      </w:pPr>
      <w:r>
        <w:rPr>
          <w:b/>
          <w:color w:val="C8102E"/>
        </w:rPr>
        <w:t xml:space="preserve">8. Calidad móvil: </w:t>
      </w:r>
      <w:r>
        <w:t>Implementar pruebas unitarias para ViewModels y repositorios, pruebas instrumentadas de los flujos críticos y pruebas Espresso reales. Conservar evidencia reproducible de su ejecución.</w:t>
      </w:r>
    </w:p>
    <w:p>
      <w:pPr>
        <w:spacing w:after="100"/>
        <w:ind w:left="113" w:hanging="113"/>
        <w:jc w:val="both"/>
      </w:pPr>
      <w:r>
        <w:rPr>
          <w:b/>
          <w:color w:val="C8102E"/>
        </w:rPr>
        <w:t xml:space="preserve">9. DevOps y monitoreo: </w:t>
      </w:r>
      <w:r>
        <w:t>Agregar pipelines de integración continua que compilen y ejecuten pruebas de backend y móvil. Configurar realmente Crashlytics y Performance Monitoring, o corregir el informe para no declarar herramientas que todavía no se encuentran implementadas.</w:t>
      </w:r>
    </w:p>
    <w:p>
      <w:pPr>
        <w:spacing w:after="100"/>
        <w:ind w:left="113" w:hanging="113"/>
        <w:jc w:val="both"/>
      </w:pPr>
      <w:r>
        <w:rPr>
          <w:b/>
          <w:color w:val="C8102E"/>
        </w:rPr>
        <w:t xml:space="preserve">10. Sesión y privacidad de datos: </w:t>
      </w:r>
      <w:r>
        <w:t>Persistir la sesión con DataStore o EncryptedSharedPreferences, limpiar todos los datos al cerrar sesión, reiniciar el back stack y crear un endpoint de perfil autenticado para evitar descargar listas completas de usuarios.</w:t>
      </w:r>
    </w:p>
    <w:p>
      <w:pPr>
        <w:spacing w:after="100"/>
        <w:ind w:left="113" w:hanging="113"/>
        <w:jc w:val="both"/>
      </w:pPr>
      <w:r>
        <w:rPr>
          <w:b/>
          <w:color w:val="C8102E"/>
        </w:rPr>
        <w:t xml:space="preserve">11. Trazabilidad documental: </w:t>
      </w:r>
      <w:r>
        <w:t>Actualizar el informe para diferenciar funcionalidades implementadas, prototipos o simulaciones, y planes futuros. Cada evidencia debe apuntar a una prueba, commit, pipeline o captura reproducible.</w:t>
      </w:r>
    </w:p>
    <w:p>
      <w:r>
        <w:br w:type="page"/>
      </w:r>
    </w:p>
    <w:p>
      <w:pPr>
        <w:pStyle w:val="Heading1"/>
        <w:keepNext/>
      </w:pPr>
      <w:r>
        <w:t>7. Conclusiones</w:t>
      </w:r>
    </w:p>
    <w:p>
      <w:pPr>
        <w:pStyle w:val="ListBullet"/>
        <w:spacing w:after="60" w:line="252" w:lineRule="auto"/>
      </w:pPr>
      <w:r>
        <w:t>CargoExpress presenta una base funcional amplia y coherente en la gestión de viajes, conductores, vehículos, gastos, alertas, paneles, filtros e historial de auditoría. La arquitectura del backend aplica separación por contextos, reglas de dominio y una cantidad relevante de pruebas unitarias, de integración y BDD.</w:t>
      </w:r>
    </w:p>
    <w:p>
      <w:pPr>
        <w:pStyle w:val="ListBullet"/>
        <w:spacing w:after="60" w:line="252" w:lineRule="auto"/>
      </w:pPr>
      <w:r>
        <w:t>La correspondencia funcional no es completa. Las principales no conformidades se concentran en la simulación del seguimiento GPS, la edición limitada de vehículos, la búsqueda por un campo distinto al solicitado, la falta de verificación por correo y la ausencia de una política de privacidad independiente.</w:t>
      </w:r>
    </w:p>
    <w:p>
      <w:pPr>
        <w:pStyle w:val="ListBullet"/>
        <w:spacing w:after="60" w:line="252" w:lineRule="auto"/>
      </w:pPr>
      <w:r>
        <w:t>El mayor riesgo del producto es técnico y de seguridad. La exposición de credenciales, la desactivación de la validación TLS y la falta de autorización por rol y propiedad podrían comprometer datos de usuarios y operaciones logísticas. Estas brechas deben corregirse antes de considerar la solución apta para un entorno productivo.</w:t>
      </w:r>
    </w:p>
    <w:p>
      <w:pPr>
        <w:pStyle w:val="ListBullet"/>
        <w:spacing w:after="60" w:line="252" w:lineRule="auto"/>
      </w:pPr>
      <w:r>
        <w:t>En términos generales, el proyecto alcanza un nivel funcional favorable, pero todavía no puede considerarse completamente alineado con los requisitos y evidencias declaradas. La subsanación debe priorizar seguridad, seguimiento real, trazabilidad de pruebas móviles y actualización de la documentación técnica.</w:t>
      </w:r>
    </w:p>
    <w:sectPr w:rsidR="00FC693F" w:rsidRPr="0006063C" w:rsidSect="00034616">
      <w:footerReference w:type="default" r:id="rId15"/>
      <w:headerReference w:type="default" r:id="rId16"/>
      <w:pgSz w:w="15840" w:h="12240" w:orient="landscape"/>
      <w:pgMar w:top="1020" w:right="1191" w:bottom="85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Auditoría interna - Startup CargoSystems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Auditoría interna - Startup CargoSystems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Auditoría interna - Startup CargoSystems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rial" w:hAnsi="Arial"/>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 Id="rId15" Type="http://schemas.openxmlformats.org/officeDocument/2006/relationships/footer" Target="footer4.xml"/><Relationship Id="rId16"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interna - Startup CargoSystems</dc:title>
  <dc:subject>Auditoría de CargoExpress</dc:subject>
  <dc:creator>Startup Jobsy - Grupo 5</dc:creator>
  <cp:keywords>auditoría, CargoSystems, CargoExpress, software, seguridad, user stories</cp:keywords>
  <dc:description>generated by python-docx</dc:description>
  <cp:lastModifiedBy/>
  <cp:revision>1</cp:revision>
  <dcterms:created xsi:type="dcterms:W3CDTF">2013-12-23T23:15:00Z</dcterms:created>
  <dcterms:modified xsi:type="dcterms:W3CDTF">2013-12-23T23:15:00Z</dcterms:modified>
  <cp:category/>
</cp:coreProperties>
</file>