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3600"/>
              <w:left w:type="dxa" w:w="2000"/>
              <w:bottom w:type="dxa" w:w="500"/>
              <w:right w:type="dxa" w:w="20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60"/>
                <w:szCs w:val="60"/>
              </w:rPr>
              <w:t xml:space="preserve">ARQUITECTURA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FINANCIERA</w:t>
            </w:r>
          </w:p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color w:val="2ECC71"/>
                <w:sz w:val="22"/>
                <w:szCs w:val="22"/>
              </w:rPr>
              <w:t xml:space="preserve">@arquitecturafinanciera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PLAN ESTRATEGICO DE LANZAMIENTO</w:t>
            </w:r>
          </w:p>
          <w:p>
            <w:pPr>
              <w:spacing w:after="3200" w:before="0"/>
              <w:jc w:val="left"/>
            </w:pPr>
            <w:r>
              <w:rPr>
                <w:rFonts w:ascii="Arial" w:cs="Arial" w:eastAsia="Arial" w:hAnsi="Arial"/>
                <w:color w:val="BDC3C7"/>
                <w:sz w:val="22"/>
                <w:szCs w:val="22"/>
              </w:rPr>
              <w:t xml:space="preserve">Objetivos SMART   |   Hoja de ruta 12 meses   |   KPIs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90A0B0"/>
                <w:sz w:val="20"/>
                <w:szCs w:val="20"/>
              </w:rPr>
              <w:t xml:space="preserve">Preparado por:  Diego Moreno  |  Mayo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CC7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1. Introduccion y Contexto del Proyecto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Arquitectura Financiera es una marca personal de educacion financiera orientada a jovenes espanoles de 18 a 35 anos. El proyecto nace de la conviccion de que el sistema educativo no prepara a los jovenes para gestionar su propio dinero, y que existe un enorme deficit de contenido financiero honesto, practico y contextualizado al mercado espanol.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Diego, su creador, es estudiante universitario, emprendedor con 20 anos e inversor desde los 18. Esta posicion unica, aprendiendo en publico y desde la misma realidad que su audiencia, es el diferencial mas potente de la cuenta frente a otros creadores del nicho.</w:t>
      </w:r>
    </w:p>
    <w:p>
      <w:pPr>
        <w:spacing w:after="0" w:before="160"/>
      </w:pPr>
    </w:p>
    <w:tbl>
      <w:tblPr>
        <w:tblW w:type="dxa" w:w="9360"/>
        <w:tblBorders>
          <w:top w:val="none"/>
          <w:left w:val="thick" w:color="2ECC71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thick" w:color="2ECC71" w:sz="16"/>
              <w:bottom w:val="none"/>
              <w:right w:val="none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Propuesta de valor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 gurus. Sin promesas imposibles. Sin complicarlo. Solo lo que funciona, explicado como si se lo contara a un amigo. Con contexto fiscal espanol real: IRPF, brokers como DEGIRO, MyInvestor y Bit2Me.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Estado actual del proyecto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 momento de redactar este plan, el proyecto cuenta con los siguientes activos ya desarrollados: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Post Cero (carrusel de presentacion) corregido y listo para publicar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5 posts del Bloque 01 - Cimientos completamente desarrollados (slides, captions y hooks)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Agente de IA propio para generacion de contenido (Node.js + Anthropic SDK) con 7 endpoints funcionales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Sistema de prompts afinado con el tono y los pilares de la marca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Estructura de pilares tematicos definida: Finanzas personales, Inversion indexada, Cripto sin hype, Patrimonio desde cero</w:t>
      </w:r>
    </w:p>
    <w:p>
      <w:pPr>
        <w:spacing w:after="0" w:before="200"/>
      </w:pPr>
    </w:p>
    <w:p>
      <w:pPr>
        <w:pStyle w:val="Heading1"/>
        <w:pBdr>
          <w:bottom w:val="single" w:color="2ECC7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 Metodologia SMART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Todos los objetivos de este plan estan definidos bajo la metodologia SMART, que garantiza que cada meta sea accionable, medible y alcanzable dentro de un horizonte temporal concreto.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6B3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Especifico</w:t>
            </w:r>
          </w:p>
        </w:tc>
        <w:tc>
          <w:tcPr>
            <w:tcW w:type="dxa" w:w="6660"/>
            <w:tcBorders>
              <w:top w:val="none"/>
              <w:left w:val="none"/>
              <w:bottom w:val="none"/>
              <w:right w:val="none"/>
            </w:tcBorders>
            <w:shd w:fill="FAFAF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objetivo describe exactamente que se quiere lograr, sin ambiguedad.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Medible</w:t>
            </w:r>
          </w:p>
        </w:tc>
        <w:tc>
          <w:tcPr>
            <w:tcW w:type="dxa" w:w="6660"/>
            <w:tcBorders>
              <w:top w:val="none"/>
              <w:left w:val="none"/>
              <w:bottom w:val="none"/>
              <w:right w:val="none"/>
            </w:tcBorders>
            <w:shd w:fill="FAFAF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Existe una metrica concreta que permite saber si se ha alcanzado o no.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7B2D8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Alcanzable</w:t>
            </w:r>
          </w:p>
        </w:tc>
        <w:tc>
          <w:tcPr>
            <w:tcW w:type="dxa" w:w="6660"/>
            <w:tcBorders>
              <w:top w:val="none"/>
              <w:left w:val="none"/>
              <w:bottom w:val="none"/>
              <w:right w:val="none"/>
            </w:tcBorders>
            <w:shd w:fill="FAFAF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 ambicioso pero realista dado el punto de partida y los recursos disponibles.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B7410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22"/>
                <w:szCs w:val="22"/>
              </w:rPr>
              <w:t xml:space="preserve">Relevante</w:t>
            </w:r>
          </w:p>
        </w:tc>
        <w:tc>
          <w:tcPr>
            <w:tcW w:type="dxa" w:w="6660"/>
            <w:tcBorders>
              <w:top w:val="none"/>
              <w:left w:val="none"/>
              <w:bottom w:val="none"/>
              <w:right w:val="none"/>
            </w:tcBorders>
            <w:shd w:fill="FAFAF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Contribuye directamente al crecimiento de la marca y al proyecto de vida.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Temporal</w:t>
            </w:r>
          </w:p>
        </w:tc>
        <w:tc>
          <w:tcPr>
            <w:tcW w:type="dxa" w:w="6660"/>
            <w:tcBorders>
              <w:top w:val="none"/>
              <w:left w:val="none"/>
              <w:bottom w:val="none"/>
              <w:right w:val="none"/>
            </w:tcBorders>
            <w:shd w:fill="FAFAF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Tiene una fecha limite o un plazo definido para su consecucion.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CC7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 Fases Estrategicas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El plan se estructura en tres fases progresivas de cuatro meses cada una, alineadas con el ciclo natural de crecimiento de una marca personal en redes sociales.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A6B3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1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6"/>
                <w:szCs w:val="26"/>
              </w:rPr>
              <w:t xml:space="preserve">Lanzamiento y Cimientos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Meses 1 - 3  |  Mayo - Julio 2026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El objetivo de esta fase es establecer la presencia de la marca, validar el contenido con la audiencia real y construir una base de seguidores comprometidos. Es el momento de aprender que tipo de contenido resuena, sin presion de monetizar.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Objetivos SMART - Fase 1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00"/>
        <w:gridCol w:w="2300"/>
        <w:gridCol w:w="15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clave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Publicar el Post Cero y los 5 posts del Bloque 01 (Cimientos) en las primeras 3 semanas, manteniendo una cadencia de 3 publicaciones semanales.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5 posts publicados / 3x semana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Semana 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Alcanzar 500 seguidores en Instagram en los primeros 60 dias de actividad de la cuenta, partiendo desde cero.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500 seguidores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7B2D8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Conseguir una tasa de engagement minima del 5% (guardados + compartidos / alcance) en cada post publicado durante la Fase 1.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Engagement &gt;= 5%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1-3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B7410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Completar y validar el Agente IA propio (todos los endpoints funcionando) y tenerlo en uso activo para la produccion de contenido antes de finalizar el primer mes.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Agente operativo al 100%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Desarrollar y publicar el Bloque 02 completo (5 posts sobre Ahorro e Inversion basica) antes del final de la Fase 1.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5 posts Bloque 02 listos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3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2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6"/>
                <w:szCs w:val="26"/>
              </w:rPr>
              <w:t xml:space="preserve">Crecimiento y Comunidad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Meses 4 - 6  |  Agosto - Octubre 2026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En esta fase el foco se desplaza hacia la construccion de comunidad fuera de Instagram. El newsletter y los primeros productos digitales gratuitos (lead magnets) son las herramientas clave para reducir la dependencia del algoritmo y crear un activo propio.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Objetivos SMART - Fase 2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00"/>
        <w:gridCol w:w="2300"/>
        <w:gridCol w:w="15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clave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Alcanzar 2.000 seguidores en Instagram al final de la Fase 2, manteniendo el ritmo de publicacion de al menos 3 posts semanales.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2.000 seguidores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07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Lanzar el newsletter semanal en Beehiiv y conseguir 150 suscriptores organicos en los primeros 60 dias tras el lanzamiento.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150 suscriptores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7B2D8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08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Crear y distribuir un lead magnet gratuito (por ejemplo: 'Guia de brokers espanoles 2026' o 'Calculadora de interes compuesto') que genere al menos 200 descargas.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200 descargas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B7410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09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Integrar la Instagram Graph API en el Agente IA para obtener metricas reales de cada post (alcance, guardados, engagement) directamente desde el panel.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API integrada y funcional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Completar el Bloque 03 y Bloque 04 de contenido (Inversion indexada y ETFs; Cripto sin hype) con al menos 5 posts por bloque.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10 posts nuevos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6</w:t>
            </w:r>
          </w:p>
        </w:tc>
      </w:tr>
    </w:tbl>
    <w:p>
      <w:pPr>
        <w:spacing w:after="0" w:before="2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7B2D8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3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26"/>
                <w:szCs w:val="26"/>
              </w:rPr>
              <w:t xml:space="preserve">Monetizacion y Escalado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Meses 7 - 12  |  Nov 2026 - Abr 2027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 una comunidad consolidada y un historial de contenido de valor, esta fase introduce la primera capa de monetizacion. El objetivo no es maximizar ingresos inmediatos, sino probar el modelo y demostrar que la comunidad esta dispuesta a pagar por contenido premium.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Objetivos SMART - Fase 3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00"/>
        <w:gridCol w:w="2300"/>
        <w:gridCol w:w="156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clave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Alcanzar 5.000 seguidores en Instagram al final del mes 12, consolidando la cuenta como referente de finanzas personales para jovenes espanoles.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5.000 seguidores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Crecer el newsletter hasta 500 suscriptores activos (tasa de apertura &gt;= 35%) antes del final del ano.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500 suscriptores / 35% apertura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7B2D8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Lanzar el primer producto de pago (guia digital, mini-curso o plantilla premium) a un precio entre 9 y 29 euros antes del mes 10.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1 producto lanzado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B7410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Generar los primeros 500 euros de ingresos directos (productos propios + posibles colaboraciones transparentes) antes de finalizar el mes 12.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500 euros en ingresos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</w:t>
            </w:r>
          </w:p>
        </w:tc>
        <w:tc>
          <w:tcPr>
            <w:tcW w:type="dxa" w:w="48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Desarrollar y publicar el modulo de analisis y programacion del Agente IA, incluyendo el historial de posts en base de datos y exportacion de newsletter a HTML para Beehiiv.</w:t>
            </w:r>
          </w:p>
        </w:tc>
        <w:tc>
          <w:tcPr>
            <w:tcW w:type="dxa" w:w="23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Modulo completo y desplegado</w:t>
            </w:r>
          </w:p>
        </w:tc>
        <w:tc>
          <w:tcPr>
            <w:tcW w:type="dxa" w:w="15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Mes 9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CC7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 Estrategia de Contenido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Arquitectura de bloques tematicos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El contenido se organiza en bloques progresivos que guian al seguidor desde los conceptos mas basicos hasta los mas avanzados. Cada bloque consta de 5 a 7 posts y un reel de resumen.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160"/>
        <w:gridCol w:w="160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1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Temas principales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Bloque 01</w:t>
            </w:r>
          </w:p>
        </w:tc>
        <w:tc>
          <w:tcPr>
            <w:tcW w:type="dxa" w:w="24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Cimientos</w:t>
            </w:r>
          </w:p>
        </w:tc>
        <w:tc>
          <w:tcPr>
            <w:tcW w:type="dxa" w:w="41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Educacion financiera basica, presupuesto 50/30/20, gastos hormiga, ahorro</w:t>
            </w:r>
          </w:p>
        </w:tc>
        <w:tc>
          <w:tcPr>
            <w:tcW w:type="dxa" w:w="1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Bloque 02</w:t>
            </w:r>
          </w:p>
        </w:tc>
        <w:tc>
          <w:tcPr>
            <w:tcW w:type="dxa" w:w="24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Ahorro Real</w:t>
            </w:r>
          </w:p>
        </w:tc>
        <w:tc>
          <w:tcPr>
            <w:tcW w:type="dxa" w:w="41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Fondo de emergencia, automatizacion, cuentas remuneradas espanolas</w:t>
            </w:r>
          </w:p>
        </w:tc>
        <w:tc>
          <w:tcPr>
            <w:tcW w:type="dxa" w:w="1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Bloque 03</w:t>
            </w:r>
          </w:p>
        </w:tc>
        <w:tc>
          <w:tcPr>
            <w:tcW w:type="dxa" w:w="24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Inversion Indexada</w:t>
            </w:r>
          </w:p>
        </w:tc>
        <w:tc>
          <w:tcPr>
            <w:tcW w:type="dxa" w:w="41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ETFs, fondos indexados, DEGIRO y MyInvestor, IRPF e inversiones</w:t>
            </w:r>
          </w:p>
        </w:tc>
        <w:tc>
          <w:tcPr>
            <w:tcW w:type="dxa" w:w="1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20"/>
                <w:szCs w:val="20"/>
              </w:rPr>
              <w:t xml:space="preserve">Bloque 04</w:t>
            </w:r>
          </w:p>
        </w:tc>
        <w:tc>
          <w:tcPr>
            <w:tcW w:type="dxa" w:w="24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Cripto sin Hype</w:t>
            </w:r>
          </w:p>
        </w:tc>
        <w:tc>
          <w:tcPr>
            <w:tcW w:type="dxa" w:w="41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Bitcoin, Ethereum, Bit2Me, declaracion de criptos en Hacienda</w:t>
            </w:r>
          </w:p>
        </w:tc>
        <w:tc>
          <w:tcPr>
            <w:tcW w:type="dxa" w:w="1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Bloque 05</w:t>
            </w:r>
          </w:p>
        </w:tc>
        <w:tc>
          <w:tcPr>
            <w:tcW w:type="dxa" w:w="24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Patrimonio Avanzado</w:t>
            </w:r>
          </w:p>
        </w:tc>
        <w:tc>
          <w:tcPr>
            <w:tcW w:type="dxa" w:w="41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Diversificacion, objetivos a largo plazo, FIRE adaptado a Espana</w:t>
            </w:r>
          </w:p>
        </w:tc>
        <w:tc>
          <w:tcPr>
            <w:tcW w:type="dxa" w:w="16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Fase 3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Cadencia de publicacion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La consistencia es el factor mas importante en el crecimiento organico. El plan establece una cadencia minima y una optima: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Cadencia minima (obligatoria): 3 publicaciones semanales (2 carruseles + 1 reel o post estatico)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Cadencia optima: 4-5 publicaciones semanales + 1 story diaria de valor o interaccion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Newsletter: 1 envio semanal los jueves, a partir del mes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El Agente IA propio permite generar el borrador de cualquier formato en menos de 2 minutos, eliminando la friccion de produccion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CC7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 Hoja de Ruta Tecnologica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El Agente IA desarrollado es una ventaja competitiva real. Permite a Diego producir contenido de alta calidad en una fraccion del tiempo que le llevaria manualmente. La hoja de ruta tecnica acompana al crecimiento de la marca.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Estado actual del Agente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Generador de posts completos (slides + caption + hook) con streaming 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Generador de captions independiente con tonos configurables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Responder comentarios de seguidores con el tono de la marca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Generador de ideas semanales de 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Generador de hashtags optimizados (10 por 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Analizador y puntuador de borradores de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Generador de newsletter semanal completa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Proximas funcionalidades (priorizadas)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60"/>
        <w:gridCol w:w="1900"/>
        <w:gridCol w:w="1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52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1</w:t>
            </w:r>
          </w:p>
        </w:tc>
        <w:tc>
          <w:tcPr>
            <w:tcW w:type="dxa" w:w="52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Integracion Instagram Graph API: metricas reales (alcance, guardados, engagement) en el panel</w:t>
            </w:r>
          </w:p>
        </w:tc>
        <w:tc>
          <w:tcPr>
            <w:tcW w:type="dxa" w:w="19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Historial de posts generados en SQLite: evitar repetir temas y analizar rendimiento</w:t>
            </w:r>
          </w:p>
        </w:tc>
        <w:tc>
          <w:tcPr>
            <w:tcW w:type="dxa" w:w="19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Exportar newsletter a HTML para Beehiiv con un clic desde el agente</w:t>
            </w:r>
          </w:p>
        </w:tc>
        <w:tc>
          <w:tcPr>
            <w:tcW w:type="dxa" w:w="19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20"/>
                <w:szCs w:val="20"/>
              </w:rPr>
              <w:t xml:space="preserve">Medio</w:t>
            </w:r>
          </w:p>
        </w:tc>
        <w:tc>
          <w:tcPr>
            <w:tcW w:type="dxa" w:w="15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4</w:t>
            </w:r>
          </w:p>
        </w:tc>
        <w:tc>
          <w:tcPr>
            <w:tcW w:type="dxa" w:w="52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Generador de prompts para imagenes (Canva / Midjourney) basado en el tema del post</w:t>
            </w:r>
          </w:p>
        </w:tc>
        <w:tc>
          <w:tcPr>
            <w:tcW w:type="dxa" w:w="19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20"/>
                <w:szCs w:val="20"/>
              </w:rPr>
              <w:t xml:space="preserve">Medio</w:t>
            </w:r>
          </w:p>
        </w:tc>
        <w:tc>
          <w:tcPr>
            <w:tcW w:type="dxa" w:w="15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Programador de posts con fecha y hora sugerida segun mejores momentos para la audiencia</w:t>
            </w:r>
          </w:p>
        </w:tc>
        <w:tc>
          <w:tcPr>
            <w:tcW w:type="dxa" w:w="19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Fase 3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ECC7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6. KPIs y Sistema de Seguimiento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 que no se mide, no se puede mejorar. A continuacion se detallan los KPIs que deben revisarse de forma periodica para asegurar que el proyecto avanza segun lo planeado.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KPIs de Instagram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 de revision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Seguidores totales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500 (Mes 2) / 2.000 (Mes 6) / 5.000 (Mes 12)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Tasa de engagement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&gt;= 5% por post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 publicacion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Tasa de guardados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&gt;= 3% del alcance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 publicacion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Alcance organico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Crecimiento &gt;= 10% mes a mes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Crecimiento de seguidores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&gt;= 50 nuevos/semana en Fase 2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Semanal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KPIs de Newsletter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 de revision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Suscriptores activos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150 (Mes 5) / 500 (Mes 10)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Tasa de apertura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&gt;= 35%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 envio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Tasa de click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&gt;= 8%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 envio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Nuevos suscriptores/semana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&gt;= 20 en Fase 2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Semanal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KPIs de Monetizacion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 de revision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Ingresos directos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500 EUR antes de Mes 12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 del primer producto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&gt;= 30 unidades en primeras 2 semanas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 lanzamiento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Tasa de conversion newsletter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&gt;= 2% de suscriptores compran</w:t>
            </w:r>
          </w:p>
        </w:tc>
        <w:tc>
          <w:tcPr>
            <w:tcW w:type="dxa" w:w="3120"/>
            <w:tcBorders>
              <w:top w:val="single" w:color="DDDDDD" w:sz="1"/>
              <w:left w:val="none"/>
              <w:bottom w:val="single" w:color="DDDDDD" w:sz="1"/>
              <w:right w:val="none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 campana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CC7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 Principios Que Guian el Proyecto</w:t>
      </w:r>
    </w:p>
    <w:p>
      <w:pPr>
        <w:spacing w:after="0" w:before="120"/>
      </w:pPr>
    </w:p>
    <w:tbl>
      <w:tblPr>
        <w:tblW w:type="dxa" w:w="9360"/>
        <w:tblBorders>
          <w:top w:val="none"/>
          <w:left w:val="thick" w:color="2ECC71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thick" w:color="2ECC71" w:sz="16"/>
              <w:bottom w:val="none"/>
              <w:right w:val="none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Aprender en publico es la estrategia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Diego no finge saber todo. Su fortaleza es mostrar el proceso real de aprender a invertir siendo joven y en Espana. Esa autenticidad es imposible de copiar y es lo que construye confianza duradera.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/>
          <w:left w:val="thick" w:color="2ECC71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thick" w:color="2ECC71" w:sz="16"/>
              <w:bottom w:val="none"/>
              <w:right w:val="none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La consistencia gana al talento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 post mediocre publicado es infinitamente mejor que un post perfecto guardado en borradores. El algoritmo y la audiencia premian la frecuencia. El Agente IA esta ahi para eliminar la excusa de la falta de tiempo.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/>
          <w:left w:val="thick" w:color="2ECC71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thick" w:color="2ECC71" w:sz="16"/>
              <w:bottom w:val="none"/>
              <w:right w:val="none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La comunidad antes que la monetizacion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Los primeros 6 meses son para construir confianza y entender a la audiencia. Las prisas por monetizar destruyen la autenticidad que hace grande a una marca personal. El dinero viene como consecuencia, no como objetivo.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none"/>
          <w:left w:val="thick" w:color="2ECC71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thick" w:color="2ECC71" w:sz="16"/>
              <w:bottom w:val="none"/>
              <w:right w:val="none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Contexto espanol siempre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nicho de finanzas en Espana esta infraservido comparado con el mundo anglosajgon. Hablar de IRPF, DEGIRO, MyInvestor y Hacienda no es un detalle, es el diferencial que hace que el contenido sea util de verdad para la audiencia.</w:t>
            </w:r>
          </w:p>
        </w:tc>
      </w:tr>
    </w:tbl>
    <w:p>
      <w:pPr>
        <w:spacing w:after="0" w:before="300"/>
      </w:pPr>
    </w:p>
    <w:p>
      <w:pPr>
        <w:pBdr>
          <w:top w:val="single" w:color="BDC3C7" w:sz="2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BDC3C7"/>
          <w:sz w:val="18"/>
          <w:szCs w:val="18"/>
        </w:rPr>
        <w:t xml:space="preserve">Arquitectura Financiera  |  Plan Estrategico 2026  |  Preparado por Diego Moreno</w:t>
      </w:r>
    </w:p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CC71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Arquitectura Financiera  |  Plan Estrategico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0F34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7AE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2026-05-13T20:04:29.073Z</dcterms:created>
  <dcterms:modified xsi:type="dcterms:W3CDTF">2026-05-13T20:04:29.074Z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