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673B9"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VAULT STORAGE &amp; ACCOUNT TERMS &amp; CONDITIONS</w:t>
      </w:r>
    </w:p>
    <w:p w14:paraId="441271F3"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(Finatrades Platform – in Partnership with Wingold and Metals DMCC)</w:t>
      </w:r>
    </w:p>
    <w:p w14:paraId="12AA46C8"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Preamble</w:t>
      </w:r>
    </w:p>
    <w:p w14:paraId="296A0F6B"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These Terms govern the custody, accounting, and management of gold recorded on the Finatrades platform (“Finatrades,” “Platform,” “we,” “us”), operated in partnership with its subsidiary Wingold and Metals DMCC (“Wingold”), which acts as the physical gold custodian and vault operator. By accepting these Terms, the Customer expressly understands and agrees that they are engaging in a gold-backed digital vault ledger and account service (FinaVault) and not a physical gold delivery, segregated bar storage, or withdrawal-based custody arrangement.</w:t>
      </w:r>
    </w:p>
    <w:p w14:paraId="64DE4E84" w14:textId="6EFABC86" w:rsidR="005D6102" w:rsidRPr="005D6102" w:rsidRDefault="005D6102" w:rsidP="005D6102">
      <w:pPr>
        <w:jc w:val="both"/>
        <w:rPr>
          <w:rFonts w:asciiTheme="minorBidi" w:hAnsiTheme="minorBidi"/>
          <w:sz w:val="22"/>
          <w:szCs w:val="22"/>
        </w:rPr>
      </w:pPr>
    </w:p>
    <w:p w14:paraId="3F770534"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1. Gold Storage, Custody &amp; Ownership</w:t>
      </w:r>
    </w:p>
    <w:p w14:paraId="540F8145"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The Customer acquires and holds gold through the Finatrades platform, with physical custody and vault operations performed exclusively by Wingold. Legal title to the gold shall at all times remain vested in the Customer, subject to these Terms. Finatrades shall maintain detailed allocated account records within FinaVault, including gold weight, purity, transaction history, and balance statements, representing the Customer’s undivided proportional interest in the total pooled gold inventory held under Wingold’s custody. This service constitutes a gold-backed account and custody record system and does not create any right to physical withdrawal, delivery, or possession of specific gold bars.</w:t>
      </w:r>
    </w:p>
    <w:p w14:paraId="13C3BEDD"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2. Operational Rights &amp; Gold Pooling Mechanism</w:t>
      </w:r>
    </w:p>
    <w:p w14:paraId="12F61811" w14:textId="65B4FC45"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2.1</w:t>
      </w:r>
      <w:r>
        <w:rPr>
          <w:rFonts w:asciiTheme="minorBidi" w:hAnsiTheme="minorBidi"/>
          <w:sz w:val="22"/>
          <w:szCs w:val="22"/>
        </w:rPr>
        <w:t xml:space="preserve"> </w:t>
      </w:r>
      <w:r w:rsidRPr="005D6102">
        <w:rPr>
          <w:rFonts w:asciiTheme="minorBidi" w:hAnsiTheme="minorBidi"/>
          <w:sz w:val="22"/>
          <w:szCs w:val="22"/>
        </w:rPr>
        <w:t>The Customer hereby irrevocably grants Finatrades and Wingold full right, authority, and discretion to hold, pool, allocate, re-allocate, and administratively manage all customer gold within their integrated vaulting, custody, and accounting infrastructure, including recording, settlement, and reconciliation through FinaVault.</w:t>
      </w:r>
    </w:p>
    <w:p w14:paraId="2CEC5F7F" w14:textId="664D15E1" w:rsidR="005D6102" w:rsidRPr="005D6102" w:rsidRDefault="005D6102" w:rsidP="00173040">
      <w:pPr>
        <w:jc w:val="both"/>
        <w:rPr>
          <w:rFonts w:asciiTheme="minorBidi" w:hAnsiTheme="minorBidi"/>
          <w:sz w:val="22"/>
          <w:szCs w:val="22"/>
        </w:rPr>
      </w:pPr>
      <w:r w:rsidRPr="005D6102">
        <w:rPr>
          <w:rFonts w:asciiTheme="minorBidi" w:hAnsiTheme="minorBidi"/>
          <w:sz w:val="22"/>
          <w:szCs w:val="22"/>
        </w:rPr>
        <w:t>2.2</w:t>
      </w:r>
      <w:r w:rsidR="00173040">
        <w:rPr>
          <w:rFonts w:asciiTheme="minorBidi" w:hAnsiTheme="minorBidi"/>
          <w:sz w:val="22"/>
          <w:szCs w:val="22"/>
        </w:rPr>
        <w:t xml:space="preserve"> </w:t>
      </w:r>
      <w:r w:rsidRPr="005D6102">
        <w:rPr>
          <w:rFonts w:asciiTheme="minorBidi" w:hAnsiTheme="minorBidi"/>
          <w:sz w:val="22"/>
          <w:szCs w:val="22"/>
        </w:rPr>
        <w:t>Operational use may include, without limitation, internal vault management, settlement of customer gold sale instructions, liquidity balancing, collateral support for internal credit arrangements, financing, leasing, or other lawful commercial or operational activities undertaken by Wingold in its capacity as gold custodian and bullion operator, without affecting the Customer’s equivalent gold entitlement.</w:t>
      </w:r>
    </w:p>
    <w:p w14:paraId="5A6516CD" w14:textId="0BA5299A" w:rsidR="005D6102" w:rsidRPr="005D6102" w:rsidRDefault="005D6102" w:rsidP="00AB5EC4">
      <w:pPr>
        <w:jc w:val="both"/>
        <w:rPr>
          <w:rFonts w:asciiTheme="minorBidi" w:hAnsiTheme="minorBidi"/>
          <w:sz w:val="22"/>
          <w:szCs w:val="22"/>
        </w:rPr>
      </w:pPr>
      <w:r w:rsidRPr="005D6102">
        <w:rPr>
          <w:rFonts w:asciiTheme="minorBidi" w:hAnsiTheme="minorBidi"/>
          <w:sz w:val="22"/>
          <w:szCs w:val="22"/>
        </w:rPr>
        <w:t>2.3</w:t>
      </w:r>
      <w:r w:rsidR="00AB5EC4">
        <w:rPr>
          <w:rFonts w:asciiTheme="minorBidi" w:hAnsiTheme="minorBidi"/>
          <w:sz w:val="22"/>
          <w:szCs w:val="22"/>
        </w:rPr>
        <w:t xml:space="preserve"> </w:t>
      </w:r>
      <w:r w:rsidRPr="005D6102">
        <w:rPr>
          <w:rFonts w:asciiTheme="minorBidi" w:hAnsiTheme="minorBidi"/>
          <w:sz w:val="22"/>
          <w:szCs w:val="22"/>
        </w:rPr>
        <w:t>Finatrades and Wingold shall at all times maintain a book-entry obligation, reflected within FinaVault, recognizing the Customer’s entitlement to an equivalent quantity of gold (by weight) and equivalent purity (by fineness). The Customer’s rights are strictly limited to gold value and account-based entitlement and do not extend to any claim over specific gold bars, serial numbers, refinery batches, or physical delivery.</w:t>
      </w:r>
    </w:p>
    <w:p w14:paraId="77B66468" w14:textId="65F88A0A" w:rsidR="005D6102" w:rsidRPr="005D6102" w:rsidRDefault="005D6102" w:rsidP="00AB5EC4">
      <w:pPr>
        <w:jc w:val="both"/>
        <w:rPr>
          <w:rFonts w:asciiTheme="minorBidi" w:hAnsiTheme="minorBidi"/>
          <w:sz w:val="22"/>
          <w:szCs w:val="22"/>
        </w:rPr>
      </w:pPr>
      <w:r w:rsidRPr="005D6102">
        <w:rPr>
          <w:rFonts w:asciiTheme="minorBidi" w:hAnsiTheme="minorBidi"/>
          <w:sz w:val="22"/>
          <w:szCs w:val="22"/>
        </w:rPr>
        <w:t>2.4</w:t>
      </w:r>
      <w:r w:rsidR="00AB5EC4">
        <w:rPr>
          <w:rFonts w:asciiTheme="minorBidi" w:hAnsiTheme="minorBidi"/>
          <w:sz w:val="22"/>
          <w:szCs w:val="22"/>
        </w:rPr>
        <w:t xml:space="preserve"> </w:t>
      </w:r>
      <w:r w:rsidRPr="005D6102">
        <w:rPr>
          <w:rFonts w:asciiTheme="minorBidi" w:hAnsiTheme="minorBidi"/>
          <w:sz w:val="22"/>
          <w:szCs w:val="22"/>
        </w:rPr>
        <w:t>The Customer unconditionally waives and releases Finatrades and Wingold from any and all claims arising from the pooling, commingling, reallocation, or internal operational management of customer gold, including any allegation of conversion or misuse, provided that the Customer’s equivalent gold balance continues to be accurately recorded within FinaVault.</w:t>
      </w:r>
    </w:p>
    <w:p w14:paraId="710C64B6" w14:textId="5E144155" w:rsidR="005D6102" w:rsidRPr="005D6102" w:rsidRDefault="005D6102" w:rsidP="00AB5EC4">
      <w:pPr>
        <w:jc w:val="both"/>
        <w:rPr>
          <w:rFonts w:asciiTheme="minorBidi" w:hAnsiTheme="minorBidi"/>
          <w:sz w:val="22"/>
          <w:szCs w:val="22"/>
        </w:rPr>
      </w:pPr>
      <w:r w:rsidRPr="005D6102">
        <w:rPr>
          <w:rFonts w:asciiTheme="minorBidi" w:hAnsiTheme="minorBidi"/>
          <w:sz w:val="22"/>
          <w:szCs w:val="22"/>
        </w:rPr>
        <w:lastRenderedPageBreak/>
        <w:t>2.5</w:t>
      </w:r>
      <w:r w:rsidR="00AB5EC4">
        <w:rPr>
          <w:rFonts w:asciiTheme="minorBidi" w:hAnsiTheme="minorBidi"/>
          <w:sz w:val="22"/>
          <w:szCs w:val="22"/>
        </w:rPr>
        <w:t xml:space="preserve"> </w:t>
      </w:r>
      <w:r w:rsidRPr="005D6102">
        <w:rPr>
          <w:rFonts w:asciiTheme="minorBidi" w:hAnsiTheme="minorBidi"/>
          <w:sz w:val="22"/>
          <w:szCs w:val="22"/>
        </w:rPr>
        <w:t>The gold pooling and operational structure described herein is fundamental to the commercial model, pricing, and functionality of FinaVault. No additional consent shall be required from the Customer for such operational use.</w:t>
      </w:r>
    </w:p>
    <w:p w14:paraId="7440550D"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3. Cash-Out, Gold Sale &amp; Settlement (No Physical Gold Withdrawal)</w:t>
      </w:r>
    </w:p>
    <w:p w14:paraId="630BD858" w14:textId="58129443" w:rsidR="005D6102" w:rsidRPr="005D6102" w:rsidRDefault="005D6102" w:rsidP="005C7ED1">
      <w:pPr>
        <w:jc w:val="both"/>
        <w:rPr>
          <w:rFonts w:asciiTheme="minorBidi" w:hAnsiTheme="minorBidi"/>
          <w:sz w:val="22"/>
          <w:szCs w:val="22"/>
        </w:rPr>
      </w:pPr>
      <w:r w:rsidRPr="005D6102">
        <w:rPr>
          <w:rFonts w:asciiTheme="minorBidi" w:hAnsiTheme="minorBidi"/>
          <w:sz w:val="22"/>
          <w:szCs w:val="22"/>
        </w:rPr>
        <w:t>The Customer expressly acknowledges and agrees that physical withdrawal or delivery of gold is not available under FinaVault. Any exit, redemption, or realization of value shall occur solely through the sale of gold via the Finatrades platform at prevailing market prices. Upon execution of a sale instruction, the corresponding quantity of gold shall be debited from the Customer’s FinaVault balance, and the net cash proceeds, after applicable fees and charges, shall be credited or settled in accordance with the Platform’s supported payout methods. Neither Finatrades nor Wingold shall have any obligation to deliver</w:t>
      </w:r>
      <w:r w:rsidR="001D0D7A">
        <w:rPr>
          <w:rFonts w:asciiTheme="minorBidi" w:hAnsiTheme="minorBidi"/>
          <w:sz w:val="22"/>
          <w:szCs w:val="22"/>
        </w:rPr>
        <w:t xml:space="preserve"> the gold physically </w:t>
      </w:r>
      <w:r w:rsidR="00F06433">
        <w:rPr>
          <w:rFonts w:asciiTheme="minorBidi" w:hAnsiTheme="minorBidi"/>
          <w:sz w:val="22"/>
          <w:szCs w:val="22"/>
        </w:rPr>
        <w:t>which has been</w:t>
      </w:r>
      <w:r w:rsidR="005C7ED1">
        <w:rPr>
          <w:rFonts w:asciiTheme="minorBidi" w:hAnsiTheme="minorBidi"/>
          <w:sz w:val="22"/>
          <w:szCs w:val="22"/>
        </w:rPr>
        <w:t xml:space="preserve"> </w:t>
      </w:r>
      <w:r w:rsidR="00F06433">
        <w:rPr>
          <w:rFonts w:asciiTheme="minorBidi" w:hAnsiTheme="minorBidi"/>
          <w:sz w:val="22"/>
          <w:szCs w:val="22"/>
        </w:rPr>
        <w:t xml:space="preserve">used on Finatrades for enabling services </w:t>
      </w:r>
      <w:r w:rsidR="005C7ED1">
        <w:rPr>
          <w:rFonts w:asciiTheme="minorBidi" w:hAnsiTheme="minorBidi"/>
          <w:sz w:val="22"/>
          <w:szCs w:val="22"/>
        </w:rPr>
        <w:t>available</w:t>
      </w:r>
      <w:r w:rsidR="00F06433">
        <w:rPr>
          <w:rFonts w:asciiTheme="minorBidi" w:hAnsiTheme="minorBidi"/>
          <w:sz w:val="22"/>
          <w:szCs w:val="22"/>
        </w:rPr>
        <w:t xml:space="preserve"> at </w:t>
      </w:r>
      <w:r w:rsidR="005C7ED1">
        <w:rPr>
          <w:rFonts w:asciiTheme="minorBidi" w:hAnsiTheme="minorBidi"/>
          <w:sz w:val="22"/>
          <w:szCs w:val="22"/>
        </w:rPr>
        <w:t xml:space="preserve">Finatrades. </w:t>
      </w:r>
      <w:r w:rsidR="00F06433">
        <w:rPr>
          <w:rFonts w:asciiTheme="minorBidi" w:hAnsiTheme="minorBidi"/>
          <w:sz w:val="22"/>
          <w:szCs w:val="22"/>
        </w:rPr>
        <w:t xml:space="preserve"> </w:t>
      </w:r>
      <w:r w:rsidRPr="005D6102">
        <w:rPr>
          <w:rFonts w:asciiTheme="minorBidi" w:hAnsiTheme="minorBidi"/>
          <w:sz w:val="22"/>
          <w:szCs w:val="22"/>
        </w:rPr>
        <w:t xml:space="preserve"> </w:t>
      </w:r>
    </w:p>
    <w:p w14:paraId="7EA7123E"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4. Gold Vaulting, Custodianship &amp; Internal Movement</w:t>
      </w:r>
    </w:p>
    <w:p w14:paraId="6A73D6F9"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Physical gold corresponding to aggregated customer balances is held under the custody and control of Wingold in approved gold vaults or bonded facilities selected at Wingold’s discretion. Internal movement, relocation, rebalancing, or substitution of physical gold may occur at any time for operational, security, liquidity, or commercial reasons. Such activities shall not affect customer gold balances recorded within FinaVault.</w:t>
      </w:r>
    </w:p>
    <w:p w14:paraId="33DD2D81"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5. Statements &amp; Gold Account Records</w:t>
      </w:r>
    </w:p>
    <w:p w14:paraId="47278335"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Finatrades shall provide periodic electronic account statements through FinaVault reflecting the Customer’s gold balance, transactions, fees, and valuation. The Customer is responsible for reviewing statements and notifying Finatrades of any discrepancies within thirty (30) days of issuance. Failure to do so shall constitute final and binding acceptance of the gold account records.</w:t>
      </w:r>
    </w:p>
    <w:p w14:paraId="4DD92BC3"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6. Compliance, AML/CFT &amp; Platform Controls</w:t>
      </w:r>
    </w:p>
    <w:p w14:paraId="1F70B5F4"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All services relating to gold custody and sale are subject to applicable UAE AML/CFT laws and regulations. The Customer shall provide all required information, documentation, and ongoing updates as requested. Finatrades may, without liability, suspend access to FinaVault, restrict gold transactions, delay cash settlement, or terminate the relationship where any compliance, regulatory, or reputational risk is identified.</w:t>
      </w:r>
    </w:p>
    <w:p w14:paraId="3CFD1842"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7. Gold Storage Fees, Platform Charges &amp; Deductions</w:t>
      </w:r>
    </w:p>
    <w:p w14:paraId="54987F8E"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Fees applicable to gold vault storage, custody, and platform services shall be determined and displayed on the Finatrades platform at the time of selection. By proceeding, the Customer expressly acknowledges, accepts, and agrees to such fees. Fees shall be automatically settled through deduction from the Customer’s account, resulting in a proportional reduction of the gold balance recorded in FinaVault, reflecting the value of the fees applied.</w:t>
      </w:r>
    </w:p>
    <w:p w14:paraId="7C7A8490"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8. Liability &amp; Indemnity</w:t>
      </w:r>
    </w:p>
    <w:p w14:paraId="033C73C4"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8.1 Wingold’s aggregate liability for any and all claims arising out of or relating to these Terms shall be limited strictly to the direct market value of the Stored Gold affected.</w:t>
      </w:r>
    </w:p>
    <w:p w14:paraId="4131C599"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lastRenderedPageBreak/>
        <w:t>8.2 In no event shall Wingold be liable for any indirect, incidental, consequential, special, or punitive damages, including loss of profit, opportunity, or market value.</w:t>
      </w:r>
    </w:p>
    <w:p w14:paraId="2D765C8C"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8.3 Wingold shall not be liable for any delay, loss, or damage resulting from force majeure events, acts of government or regulators, war, terrorism, inherent vice of the gold, market volatility, or the acts or omissions of any third-party custodian, carrier, or service provider.</w:t>
      </w:r>
    </w:p>
    <w:p w14:paraId="30C928CC" w14:textId="57D2DEA6"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8.4 The Customer shall fully indemnify and hold Wingold harmless against all claims, liabilities, losses, and expenses arising from the Customer’s breach of these Terms or the provision of inaccurate or misleading information</w:t>
      </w:r>
      <w:r w:rsidR="006943AC">
        <w:rPr>
          <w:rFonts w:asciiTheme="minorBidi" w:hAnsiTheme="minorBidi"/>
          <w:sz w:val="22"/>
          <w:szCs w:val="22"/>
        </w:rPr>
        <w:t>.</w:t>
      </w:r>
    </w:p>
    <w:p w14:paraId="7C48E738" w14:textId="77777777"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9. Risk Disclosure &amp; Customer Acknowledgement</w:t>
      </w:r>
    </w:p>
    <w:p w14:paraId="440B4EED" w14:textId="77777777" w:rsidR="00AB5EC4" w:rsidRDefault="005D6102" w:rsidP="005D6102">
      <w:pPr>
        <w:jc w:val="both"/>
        <w:rPr>
          <w:rFonts w:asciiTheme="minorBidi" w:hAnsiTheme="minorBidi"/>
          <w:sz w:val="22"/>
          <w:szCs w:val="22"/>
        </w:rPr>
      </w:pPr>
      <w:r w:rsidRPr="005D6102">
        <w:rPr>
          <w:rFonts w:asciiTheme="minorBidi" w:hAnsiTheme="minorBidi"/>
          <w:sz w:val="22"/>
          <w:szCs w:val="22"/>
        </w:rPr>
        <w:t>The Customer expressly acknowledges and accepts that:</w:t>
      </w:r>
    </w:p>
    <w:p w14:paraId="2134CDCB" w14:textId="4FB47D84" w:rsidR="00AB5EC4" w:rsidRDefault="005D6102" w:rsidP="005D6102">
      <w:pPr>
        <w:jc w:val="both"/>
        <w:rPr>
          <w:rFonts w:asciiTheme="minorBidi" w:hAnsiTheme="minorBidi"/>
          <w:sz w:val="22"/>
          <w:szCs w:val="22"/>
        </w:rPr>
      </w:pPr>
      <w:r w:rsidRPr="005D6102">
        <w:rPr>
          <w:rFonts w:asciiTheme="minorBidi" w:hAnsiTheme="minorBidi"/>
          <w:sz w:val="22"/>
          <w:szCs w:val="22"/>
        </w:rPr>
        <w:t>(a) Gold is held within a pooled custodial structure;</w:t>
      </w:r>
    </w:p>
    <w:p w14:paraId="62B44E08" w14:textId="7AFAEF69" w:rsidR="00AB5EC4" w:rsidRDefault="005D6102" w:rsidP="005D6102">
      <w:pPr>
        <w:jc w:val="both"/>
        <w:rPr>
          <w:rFonts w:asciiTheme="minorBidi" w:hAnsiTheme="minorBidi"/>
          <w:sz w:val="22"/>
          <w:szCs w:val="22"/>
        </w:rPr>
      </w:pPr>
      <w:r w:rsidRPr="005D6102">
        <w:rPr>
          <w:rFonts w:asciiTheme="minorBidi" w:hAnsiTheme="minorBidi"/>
          <w:sz w:val="22"/>
          <w:szCs w:val="22"/>
        </w:rPr>
        <w:t>(b) No physical gold delivery or withdrawal rights exist;</w:t>
      </w:r>
    </w:p>
    <w:p w14:paraId="57568DE0" w14:textId="07BF8AC8" w:rsidR="00AB5EC4" w:rsidRDefault="005D6102" w:rsidP="005D6102">
      <w:pPr>
        <w:jc w:val="both"/>
        <w:rPr>
          <w:rFonts w:asciiTheme="minorBidi" w:hAnsiTheme="minorBidi"/>
          <w:sz w:val="22"/>
          <w:szCs w:val="22"/>
        </w:rPr>
      </w:pPr>
      <w:r w:rsidRPr="005D6102">
        <w:rPr>
          <w:rFonts w:asciiTheme="minorBidi" w:hAnsiTheme="minorBidi"/>
          <w:sz w:val="22"/>
          <w:szCs w:val="22"/>
        </w:rPr>
        <w:t>(c) Value realization occurs solely through the sale of gold via the Platform;</w:t>
      </w:r>
    </w:p>
    <w:p w14:paraId="0E8AB97F" w14:textId="5A3BC30B" w:rsidR="00AB5EC4" w:rsidRDefault="005D6102" w:rsidP="005D6102">
      <w:pPr>
        <w:jc w:val="both"/>
        <w:rPr>
          <w:rFonts w:asciiTheme="minorBidi" w:hAnsiTheme="minorBidi"/>
          <w:sz w:val="22"/>
          <w:szCs w:val="22"/>
        </w:rPr>
      </w:pPr>
      <w:r w:rsidRPr="005D6102">
        <w:rPr>
          <w:rFonts w:asciiTheme="minorBidi" w:hAnsiTheme="minorBidi"/>
          <w:sz w:val="22"/>
          <w:szCs w:val="22"/>
        </w:rPr>
        <w:t>(d) Finatrades relies on Wingold as its gold custodian and bullion operator; and</w:t>
      </w:r>
    </w:p>
    <w:p w14:paraId="13DB3DF1" w14:textId="41B6532A" w:rsidR="005D6102" w:rsidRPr="005D6102" w:rsidRDefault="005D6102" w:rsidP="005D6102">
      <w:pPr>
        <w:jc w:val="both"/>
        <w:rPr>
          <w:rFonts w:asciiTheme="minorBidi" w:hAnsiTheme="minorBidi"/>
          <w:sz w:val="22"/>
          <w:szCs w:val="22"/>
        </w:rPr>
      </w:pPr>
      <w:r w:rsidRPr="005D6102">
        <w:rPr>
          <w:rFonts w:asciiTheme="minorBidi" w:hAnsiTheme="minorBidi"/>
          <w:sz w:val="22"/>
          <w:szCs w:val="22"/>
        </w:rPr>
        <w:t>(e) The market value of gold is volatile and subject to fluctuation.</w:t>
      </w:r>
    </w:p>
    <w:p w14:paraId="0B9700C3" w14:textId="77777777" w:rsidR="002141CD" w:rsidRPr="005D6102" w:rsidRDefault="002141CD" w:rsidP="002141CD">
      <w:pPr>
        <w:jc w:val="both"/>
        <w:rPr>
          <w:rFonts w:asciiTheme="minorBidi" w:hAnsiTheme="minorBidi"/>
          <w:sz w:val="22"/>
          <w:szCs w:val="22"/>
        </w:rPr>
      </w:pPr>
      <w:r w:rsidRPr="005D6102">
        <w:rPr>
          <w:rFonts w:asciiTheme="minorBidi" w:hAnsiTheme="minorBidi"/>
          <w:sz w:val="22"/>
          <w:szCs w:val="22"/>
        </w:rPr>
        <w:t>10. Duration &amp; Termination</w:t>
      </w:r>
    </w:p>
    <w:p w14:paraId="30F20B9B" w14:textId="77777777" w:rsidR="00C3795F" w:rsidRPr="005D6102" w:rsidRDefault="002F6B74" w:rsidP="002F6B74">
      <w:pPr>
        <w:jc w:val="both"/>
        <w:rPr>
          <w:rFonts w:asciiTheme="minorBidi" w:hAnsiTheme="minorBidi"/>
          <w:sz w:val="22"/>
          <w:szCs w:val="22"/>
        </w:rPr>
      </w:pPr>
      <w:r w:rsidRPr="005D6102">
        <w:rPr>
          <w:rFonts w:asciiTheme="minorBidi" w:hAnsiTheme="minorBidi"/>
          <w:sz w:val="22"/>
          <w:szCs w:val="22"/>
        </w:rPr>
        <w:t>This Agreement shall remain in effect until terminated. The Customer may terminate by requesting final withdrawal and settling all outstanding fees. Wingold may terminate this Agreement upon thirty (30) days’ written notice, or immediately for cause, including fee non-payment or compliance-related concerns.</w:t>
      </w:r>
    </w:p>
    <w:p w14:paraId="48D35B1D" w14:textId="00434D1D" w:rsidR="002141CD" w:rsidRPr="005D6102" w:rsidRDefault="002141CD" w:rsidP="002F6B74">
      <w:pPr>
        <w:jc w:val="both"/>
        <w:rPr>
          <w:rFonts w:asciiTheme="minorBidi" w:hAnsiTheme="minorBidi"/>
          <w:sz w:val="22"/>
          <w:szCs w:val="22"/>
        </w:rPr>
      </w:pPr>
      <w:r w:rsidRPr="005D6102">
        <w:rPr>
          <w:rFonts w:asciiTheme="minorBidi" w:hAnsiTheme="minorBidi"/>
          <w:sz w:val="22"/>
          <w:szCs w:val="22"/>
        </w:rPr>
        <w:t>11. Governing Law &amp; Jurisdiction</w:t>
      </w:r>
    </w:p>
    <w:p w14:paraId="7FF67688" w14:textId="0404A50E" w:rsidR="00EC75C7" w:rsidRPr="005D6102" w:rsidRDefault="00C3795F" w:rsidP="00C3795F">
      <w:pPr>
        <w:jc w:val="both"/>
        <w:rPr>
          <w:rFonts w:asciiTheme="minorBidi" w:hAnsiTheme="minorBidi"/>
          <w:sz w:val="22"/>
          <w:szCs w:val="22"/>
        </w:rPr>
      </w:pPr>
      <w:r w:rsidRPr="005D6102">
        <w:rPr>
          <w:rFonts w:asciiTheme="minorBidi" w:hAnsiTheme="minorBidi"/>
          <w:sz w:val="22"/>
          <w:szCs w:val="22"/>
        </w:rPr>
        <w:t>These Terms shall be governed by and construed in accordance with the laws of the United Arab Emirates as applied in the Emirate of Dubai. The Courts of the Dubai International Financial Centre (DIFC) shall have exclusive jurisdiction to resolve any dispute arising herefrom.</w:t>
      </w:r>
    </w:p>
    <w:sectPr w:rsidR="00EC75C7" w:rsidRPr="005D610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167E6" w14:textId="77777777" w:rsidR="00BF5724" w:rsidRDefault="00BF5724" w:rsidP="00EC75C7">
      <w:pPr>
        <w:spacing w:after="0" w:line="240" w:lineRule="auto"/>
      </w:pPr>
      <w:r>
        <w:separator/>
      </w:r>
    </w:p>
  </w:endnote>
  <w:endnote w:type="continuationSeparator" w:id="0">
    <w:p w14:paraId="2CA883D7" w14:textId="77777777" w:rsidR="00BF5724" w:rsidRDefault="00BF5724" w:rsidP="00EC7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B235A" w14:textId="77777777" w:rsidR="00BF5724" w:rsidRDefault="00BF5724" w:rsidP="00EC75C7">
      <w:pPr>
        <w:spacing w:after="0" w:line="240" w:lineRule="auto"/>
      </w:pPr>
      <w:r>
        <w:separator/>
      </w:r>
    </w:p>
  </w:footnote>
  <w:footnote w:type="continuationSeparator" w:id="0">
    <w:p w14:paraId="4BEE5093" w14:textId="77777777" w:rsidR="00BF5724" w:rsidRDefault="00BF5724" w:rsidP="00EC7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03F71" w14:textId="56DFB839" w:rsidR="00EC75C7" w:rsidRDefault="00EC75C7" w:rsidP="00EC75C7">
    <w:pPr>
      <w:pStyle w:val="Header"/>
      <w:jc w:val="right"/>
    </w:pPr>
    <w:r w:rsidRPr="00746639">
      <w:rPr>
        <w:noProof/>
      </w:rPr>
      <w:drawing>
        <wp:inline distT="0" distB="0" distL="0" distR="0" wp14:anchorId="5FAB350D" wp14:editId="461F2577">
          <wp:extent cx="2131695" cy="411393"/>
          <wp:effectExtent l="0" t="0" r="1905" b="8255"/>
          <wp:docPr id="146375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58804" name=""/>
                  <pic:cNvPicPr/>
                </pic:nvPicPr>
                <pic:blipFill rotWithShape="1">
                  <a:blip r:embed="rId1"/>
                  <a:srcRect l="6061" t="26923"/>
                  <a:stretch>
                    <a:fillRect/>
                  </a:stretch>
                </pic:blipFill>
                <pic:spPr bwMode="auto">
                  <a:xfrm>
                    <a:off x="0" y="0"/>
                    <a:ext cx="2141558" cy="41329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B49D9"/>
    <w:multiLevelType w:val="multilevel"/>
    <w:tmpl w:val="7966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7C7DBC"/>
    <w:multiLevelType w:val="multilevel"/>
    <w:tmpl w:val="B9A8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684209">
    <w:abstractNumId w:val="0"/>
  </w:num>
  <w:num w:numId="2" w16cid:durableId="920410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5C7"/>
    <w:rsid w:val="000D010C"/>
    <w:rsid w:val="00173040"/>
    <w:rsid w:val="001D0D7A"/>
    <w:rsid w:val="002141CD"/>
    <w:rsid w:val="002F6B74"/>
    <w:rsid w:val="00377CC1"/>
    <w:rsid w:val="00425ADE"/>
    <w:rsid w:val="005C7ED1"/>
    <w:rsid w:val="005D6102"/>
    <w:rsid w:val="005E4F02"/>
    <w:rsid w:val="006943AC"/>
    <w:rsid w:val="007B5F8B"/>
    <w:rsid w:val="009E7C15"/>
    <w:rsid w:val="00AB5EC4"/>
    <w:rsid w:val="00B92852"/>
    <w:rsid w:val="00BF5724"/>
    <w:rsid w:val="00C3795F"/>
    <w:rsid w:val="00CD59D6"/>
    <w:rsid w:val="00D64BA4"/>
    <w:rsid w:val="00E477D8"/>
    <w:rsid w:val="00EB3E69"/>
    <w:rsid w:val="00EC75C7"/>
    <w:rsid w:val="00F06433"/>
    <w:rsid w:val="00F152D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92DF"/>
  <w15:chartTrackingRefBased/>
  <w15:docId w15:val="{3CCC2FD8-9221-498C-BC8E-F08E2C018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5C7"/>
    <w:rPr>
      <w:rFonts w:eastAsiaTheme="majorEastAsia" w:cstheme="majorBidi"/>
      <w:color w:val="272727" w:themeColor="text1" w:themeTint="D8"/>
    </w:rPr>
  </w:style>
  <w:style w:type="paragraph" w:styleId="Title">
    <w:name w:val="Title"/>
    <w:basedOn w:val="Normal"/>
    <w:next w:val="Normal"/>
    <w:link w:val="TitleChar"/>
    <w:uiPriority w:val="10"/>
    <w:qFormat/>
    <w:rsid w:val="00EC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5C7"/>
    <w:pPr>
      <w:spacing w:before="160"/>
      <w:jc w:val="center"/>
    </w:pPr>
    <w:rPr>
      <w:i/>
      <w:iCs/>
      <w:color w:val="404040" w:themeColor="text1" w:themeTint="BF"/>
    </w:rPr>
  </w:style>
  <w:style w:type="character" w:customStyle="1" w:styleId="QuoteChar">
    <w:name w:val="Quote Char"/>
    <w:basedOn w:val="DefaultParagraphFont"/>
    <w:link w:val="Quote"/>
    <w:uiPriority w:val="29"/>
    <w:rsid w:val="00EC75C7"/>
    <w:rPr>
      <w:i/>
      <w:iCs/>
      <w:color w:val="404040" w:themeColor="text1" w:themeTint="BF"/>
    </w:rPr>
  </w:style>
  <w:style w:type="paragraph" w:styleId="ListParagraph">
    <w:name w:val="List Paragraph"/>
    <w:basedOn w:val="Normal"/>
    <w:uiPriority w:val="34"/>
    <w:qFormat/>
    <w:rsid w:val="00EC75C7"/>
    <w:pPr>
      <w:ind w:left="720"/>
      <w:contextualSpacing/>
    </w:pPr>
  </w:style>
  <w:style w:type="character" w:styleId="IntenseEmphasis">
    <w:name w:val="Intense Emphasis"/>
    <w:basedOn w:val="DefaultParagraphFont"/>
    <w:uiPriority w:val="21"/>
    <w:qFormat/>
    <w:rsid w:val="00EC75C7"/>
    <w:rPr>
      <w:i/>
      <w:iCs/>
      <w:color w:val="2F5496" w:themeColor="accent1" w:themeShade="BF"/>
    </w:rPr>
  </w:style>
  <w:style w:type="paragraph" w:styleId="IntenseQuote">
    <w:name w:val="Intense Quote"/>
    <w:basedOn w:val="Normal"/>
    <w:next w:val="Normal"/>
    <w:link w:val="IntenseQuoteChar"/>
    <w:uiPriority w:val="30"/>
    <w:qFormat/>
    <w:rsid w:val="00EC7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5C7"/>
    <w:rPr>
      <w:i/>
      <w:iCs/>
      <w:color w:val="2F5496" w:themeColor="accent1" w:themeShade="BF"/>
    </w:rPr>
  </w:style>
  <w:style w:type="character" w:styleId="IntenseReference">
    <w:name w:val="Intense Reference"/>
    <w:basedOn w:val="DefaultParagraphFont"/>
    <w:uiPriority w:val="32"/>
    <w:qFormat/>
    <w:rsid w:val="00EC75C7"/>
    <w:rPr>
      <w:b/>
      <w:bCs/>
      <w:smallCaps/>
      <w:color w:val="2F5496" w:themeColor="accent1" w:themeShade="BF"/>
      <w:spacing w:val="5"/>
    </w:rPr>
  </w:style>
  <w:style w:type="paragraph" w:styleId="Header">
    <w:name w:val="header"/>
    <w:basedOn w:val="Normal"/>
    <w:link w:val="HeaderChar"/>
    <w:uiPriority w:val="99"/>
    <w:unhideWhenUsed/>
    <w:rsid w:val="00EC75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5C7"/>
  </w:style>
  <w:style w:type="paragraph" w:styleId="Footer">
    <w:name w:val="footer"/>
    <w:basedOn w:val="Normal"/>
    <w:link w:val="FooterChar"/>
    <w:uiPriority w:val="99"/>
    <w:unhideWhenUsed/>
    <w:rsid w:val="00EC75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3002</TotalTime>
  <Pages>3</Pages>
  <Words>1172</Words>
  <Characters>6685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Farahnaaz Syed</dc:creator>
  <cp:keywords/>
  <dc:description/>
  <cp:lastModifiedBy>Farahnaaz Syed</cp:lastModifiedBy>
  <cp:revision>17</cp:revision>
  <cp:lastPrinted>2025-12-08T06:37:00Z</cp:lastPrinted>
  <dcterms:created xsi:type="dcterms:W3CDTF">2025-12-08T05:56:00Z</dcterms:created>
  <dcterms:modified xsi:type="dcterms:W3CDTF">2025-12-23T06:55:00Z</dcterms:modified>
</cp:coreProperties>
</file>