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Georgia" w:cs="Georgia" w:eastAsia="Georgia" w:hAnsi="Georgia"/>
          <w:b/>
          <w:bCs/>
          <w:color w:val="B8860B"/>
          <w:sz w:val="64"/>
          <w:szCs w:val="64"/>
        </w:rPr>
        <w:t xml:space="preserve">FINATRIX</w:t>
      </w:r>
    </w:p>
    <w:p>
      <w:pPr>
        <w:spacing w:after="100"/>
        <w:jc w:val="center"/>
      </w:pPr>
      <w:r>
        <w:rPr>
          <w:color w:val="FFFFFF"/>
          <w:sz w:val="36"/>
          <w:szCs w:val="36"/>
        </w:rPr>
        <w:t xml:space="preserve">Master Website &amp; Product Audit</w:t>
      </w:r>
    </w:p>
    <w:p>
      <w:pPr>
        <w:spacing w:after="600"/>
        <w:jc w:val="center"/>
      </w:pPr>
      <w:r>
        <w:rPr>
          <w:i/>
          <w:iCs/>
          <w:color w:val="AAAAAA"/>
          <w:sz w:val="22"/>
          <w:szCs w:val="22"/>
        </w:rPr>
        <w:t xml:space="preserve">Product Design Review · QA · UX · Accessibility · Performance · SEO · Security · Business Readiness</w:t>
      </w:r>
    </w:p>
    <w:p>
      <w:pPr>
        <w:spacing w:after="60"/>
        <w:jc w:val="center"/>
      </w:pPr>
      <w:r>
        <w:rPr>
          <w:color w:val="CFCFCF"/>
          <w:sz w:val="20"/>
          <w:szCs w:val="20"/>
        </w:rPr>
        <w:t xml:space="preserve">Audited environment: https://finatrix.finatrix-hub.workers.dev/  (pre-production / preview deploy)</w:t>
      </w:r>
    </w:p>
    <w:p>
      <w:pPr>
        <w:spacing w:after="60"/>
        <w:jc w:val="center"/>
      </w:pPr>
      <w:r>
        <w:rPr>
          <w:color w:val="CFCFCF"/>
          <w:sz w:val="20"/>
          <w:szCs w:val="20"/>
        </w:rPr>
        <w:t xml:space="preserve">Canonical production domain referenced in-app: finatrix.online</w:t>
      </w:r>
    </w:p>
    <w:p>
      <w:pPr>
        <w:spacing w:after="60"/>
        <w:jc w:val="center"/>
      </w:pPr>
      <w:r>
        <w:rPr>
          <w:color w:val="CFCFCF"/>
          <w:sz w:val="20"/>
          <w:szCs w:val="20"/>
        </w:rPr>
        <w:t xml:space="preserve">Audit date: 11 July 2026</w:t>
      </w:r>
    </w:p>
    <w:p>
      <w:pPr>
        <w:spacing w:after="1200"/>
        <w:jc w:val="center"/>
      </w:pPr>
      <w:r>
        <w:rPr>
          <w:color w:val="CFCFCF"/>
          <w:sz w:val="20"/>
          <w:szCs w:val="20"/>
        </w:rPr>
        <w:t xml:space="preserve">Prepared for: FinatriX</w:t>
      </w:r>
    </w:p>
    <w:p>
      <w:pPr>
        <w:jc w:val="center"/>
      </w:pPr>
      <w:r>
        <w:rPr>
          <w:i/>
          <w:iCs/>
          <w:color w:val="888888"/>
          <w:sz w:val="16"/>
          <w:szCs w:val="16"/>
        </w:rPr>
        <w:t xml:space="preserve">Method: live browser crawl and interaction testing (Chrome DevTools-equivalent instrumentation: DOM inspection, console, network, JS execution). No source-code repository access. No authenticated session was created — findings for signed-in states are marked accordingly.</w:t>
      </w:r>
    </w:p>
    <w:p>
      <w:r>
        <w:br w:type="page"/>
      </w:r>
    </w:p>
    <w:p>
      <w:pPr>
        <w:pStyle w:val="Heading1"/>
        <w:spacing w:after="200" w:before="400"/>
      </w:pPr>
      <w:r>
        <w:t xml:space="preserve">Executive Summary</w:t>
      </w:r>
    </w:p>
    <w:p>
      <w:pPr>
        <w:spacing w:after="160" w:line="300"/>
      </w:pPr>
      <w:r>
        <w:t xml:space="preserve">FinatriX is a React single-page application (Vite build, deployed on Cloudflare Workers, using Supabase for auth/database) offering seven free personal-finance calculators for an Indian audience — Budget Builder, Expense Tracker, InvestMatch, ParkSmart, PeerCompare, Reverse Goal Planner and LifeMap — plus a separate, sign-in-gated “Careers” product (resume/ATS tooling). The product has real substance: seven working calculators, a coherent dark/gold visual identity, a working guest-mode data model, a custom 404 page, and a privacy policy that correctly describes row-level security and a device-vs-cloud storage model.</w:t>
      </w:r>
    </w:p>
    <w:p>
      <w:pPr>
        <w:spacing w:after="160" w:line="300"/>
      </w:pPr>
      <w:r>
        <w:t xml:space="preserve">This audit was performed as a live, hands-on walkthrough of the deployed application — every primary route was opened, every tool page was read and partially interacted with, forms were stress-tested with invalid input, the DOM was inspected programmatically for heading structure, label association and color contrast, and the site's own network responses (robots.txt, sitemap.xml, 404 handling, bundled JS) were fetched directly. It is not a substitute for a Lighthouse/axe-core automated pass, a manual screen-reader pass, a cross-browser device lab pass, or a backend/penetration security review — those are called out explicitly in §19 and should be commissioned before any investor, enterprise or university-facing launch.</w:t>
      </w:r>
    </w:p>
    <w:p>
      <w:pPr>
        <w:pStyle w:val="Heading3"/>
        <w:spacing w:after="120" w:before="240"/>
      </w:pPr>
      <w:r>
        <w:t xml:space="preserve">Top-line verdict</w:t>
      </w:r>
    </w:p>
    <w:p>
      <w:pPr>
        <w:spacing w:after="160" w:line="300"/>
      </w:pPr>
      <w:r>
        <w:t xml:space="preserve">The product is functionally further along than a typical MVP — the core calculators work, the design is distinctive, and the legal/privacy posture is unusually mature for this stage. However, several issues found in this pass would be visible within the first two minutes of a live demo (an intrusive first-load modal, a several-second black screen on every direct page load, a tool that silently accepts a negative income, zero page-level headings on any tool page, and a sitemap that omits the product itself). None of these are hard to fix, but together they are the difference between “impressive prototype” and “investor-ready product.”</w:t>
      </w:r>
    </w:p>
    <w:p>
      <w:pPr>
        <w:pStyle w:val="Heading3"/>
        <w:spacing w:after="120" w:before="240"/>
      </w:pPr>
      <w:r>
        <w:t xml:space="preserve">Key numbers from this pass</w:t>
      </w:r>
    </w:p>
    <w:p>
      <w:pPr>
        <w:pStyle w:val="ListParagraph"/>
        <w:numPr>
          <w:ilvl w:val="0"/>
          <w:numId w:val="2"/>
        </w:numPr>
        <w:spacing w:after="90" w:line="280"/>
      </w:pPr>
      <w:r>
        <w:t xml:space="preserve">9 primary routes crawled and read in full (Home, /tools, 7 individual tool pages, Careers, Login, Signup, Privacy, 404).</w:t>
      </w:r>
    </w:p>
    <w:p>
      <w:pPr>
        <w:pStyle w:val="ListParagraph"/>
        <w:numPr>
          <w:ilvl w:val="0"/>
          <w:numId w:val="2"/>
        </w:numPr>
        <w:spacing w:after="90" w:line="280"/>
      </w:pPr>
      <w:r>
        <w:t xml:space="preserve">6 confirmed bugs / defects with reproduction steps (§10), plus 2 items needing engineering confirmation.</w:t>
      </w:r>
    </w:p>
    <w:p>
      <w:pPr>
        <w:pStyle w:val="ListParagraph"/>
        <w:numPr>
          <w:ilvl w:val="0"/>
          <w:numId w:val="2"/>
        </w:numPr>
        <w:spacing w:after="90" w:line="280"/>
      </w:pPr>
      <w:r>
        <w:t xml:space="preserve">23 of 28 form fields on the flagship Budget Builder tool have no programmatically associated label — a WCAG 2.2 AA blocker (§12).</w:t>
      </w:r>
    </w:p>
    <w:p>
      <w:pPr>
        <w:pStyle w:val="ListParagraph"/>
        <w:numPr>
          <w:ilvl w:val="0"/>
          <w:numId w:val="2"/>
        </w:numPr>
        <w:spacing w:after="90" w:line="280"/>
      </w:pPr>
      <w:r>
        <w:t xml:space="preserve">0 &lt;h1&gt; headings found on any of the 7 tool pages checked — an SEO and screen-reader navigation gap (§12, §14).</w:t>
      </w:r>
    </w:p>
    <w:p>
      <w:pPr>
        <w:pStyle w:val="ListParagraph"/>
        <w:numPr>
          <w:ilvl w:val="0"/>
          <w:numId w:val="2"/>
        </w:numPr>
        <w:spacing w:after="90" w:line="280"/>
      </w:pPr>
      <w:r>
        <w:t xml:space="preserve">Sitemap.xml lists 4 URLs; the product's 7 tool pages (its actual acquisition surface) are absent (§14).</w:t>
      </w:r>
    </w:p>
    <w:p>
      <w:pPr>
        <w:pStyle w:val="ListParagraph"/>
        <w:numPr>
          <w:ilvl w:val="0"/>
          <w:numId w:val="2"/>
        </w:numPr>
        <w:spacing w:after="90" w:line="280"/>
      </w:pPr>
      <w:r>
        <w:t xml:space="preserve">A 404/unknown route returns HTTP 200, not 404 — a soft-404 that can dilute search indexing (§14).</w:t>
      </w:r>
    </w:p>
    <w:p>
      <w:pPr>
        <w:pStyle w:val="ListParagraph"/>
        <w:numPr>
          <w:ilvl w:val="0"/>
          <w:numId w:val="2"/>
        </w:numPr>
        <w:spacing w:after="90" w:line="280"/>
      </w:pPr>
      <w:r>
        <w:t xml:space="preserve">Confirmed contrast failures as low as 2.87:1 against the WCAG AA 4.5:1 minimum for body text (§12).</w:t>
      </w:r>
    </w:p>
    <w:p>
      <w:pPr>
        <w:pStyle w:val="Heading1"/>
        <w:spacing w:after="200" w:before="400"/>
      </w:pPr>
      <w:r>
        <w:t xml:space="preserve">Scope &amp; Methodology</w:t>
      </w:r>
    </w:p>
    <w:p>
      <w:pPr>
        <w:pStyle w:val="Heading2"/>
        <w:spacing w:after="150" w:before="300"/>
      </w:pPr>
      <w:r>
        <w:t xml:space="preserve">What was audited</w:t>
      </w:r>
    </w:p>
    <w:p>
      <w:pPr>
        <w:spacing w:after="160" w:line="300"/>
      </w:pPr>
      <w:r>
        <w:t xml:space="preserve">The publicly reachable build at https://finatrix.finatrix-hub.workers.dev/ was used as the audit target, per instruction. This is a Cloudflare Workers preview/staging deployment — the app's own robots.txt and sitemap.xml reference the production domain finatrix.online, and its Privacy Policy references Netlify as the hosting provider (see §16.2 for the discrepancy this creates). No separate staging URL distinct from this one was supplied, so production and staging are treated as the same build for this pass; if finatrix.online differs from this preview in any way, this report should be re-validated against it before relying on the specific screenshots and numbers herein.</w:t>
      </w:r>
    </w:p>
    <w:p>
      <w:pPr>
        <w:pStyle w:val="Heading2"/>
        <w:spacing w:after="150" w:before="300"/>
      </w:pPr>
      <w:r>
        <w:t xml:space="preserve">How the audit was performed</w:t>
      </w:r>
    </w:p>
    <w:p>
      <w:pPr>
        <w:pStyle w:val="ListParagraph"/>
        <w:numPr>
          <w:ilvl w:val="0"/>
          <w:numId w:val="2"/>
        </w:numPr>
        <w:spacing w:after="90" w:line="280"/>
      </w:pPr>
      <w:r>
        <w:t xml:space="preserve">Live navigation of every link in the header, footer, and homepage tool grid, using a real Chromium browser.</w:t>
      </w:r>
    </w:p>
    <w:p>
      <w:pPr>
        <w:pStyle w:val="ListParagraph"/>
        <w:numPr>
          <w:ilvl w:val="0"/>
          <w:numId w:val="2"/>
        </w:numPr>
        <w:spacing w:after="90" w:line="280"/>
      </w:pPr>
      <w:r>
        <w:t xml:space="preserve">Full-text extraction (get_page_text equivalent) of each page to inventory copy, labels and CTAs verbatim.</w:t>
      </w:r>
    </w:p>
    <w:p>
      <w:pPr>
        <w:pStyle w:val="ListParagraph"/>
        <w:numPr>
          <w:ilvl w:val="0"/>
          <w:numId w:val="2"/>
        </w:numPr>
        <w:spacing w:after="90" w:line="280"/>
      </w:pPr>
      <w:r>
        <w:t xml:space="preserve">DOM/accessibility-tree inspection of interactive elements (forms, buttons, links) for accessible names, label association and heading structure.</w:t>
      </w:r>
    </w:p>
    <w:p>
      <w:pPr>
        <w:pStyle w:val="ListParagraph"/>
        <w:numPr>
          <w:ilvl w:val="0"/>
          <w:numId w:val="2"/>
        </w:numPr>
        <w:spacing w:after="90" w:line="280"/>
      </w:pPr>
      <w:r>
        <w:t xml:space="preserve">Programmatic contrast-ratio calculation against the WCAG relative-luminance formula for a sample of visible text nodes.</w:t>
      </w:r>
    </w:p>
    <w:p>
      <w:pPr>
        <w:pStyle w:val="ListParagraph"/>
        <w:numPr>
          <w:ilvl w:val="0"/>
          <w:numId w:val="2"/>
        </w:numPr>
        <w:spacing w:after="90" w:line="280"/>
      </w:pPr>
      <w:r>
        <w:t xml:space="preserve">Direct HTTP fetches of /robots.txt, /sitemap.xml, an unknown route, and the built JS bundles to inspect routing, SEO metadata and client-side secrets.</w:t>
      </w:r>
    </w:p>
    <w:p>
      <w:pPr>
        <w:pStyle w:val="ListParagraph"/>
        <w:numPr>
          <w:ilvl w:val="0"/>
          <w:numId w:val="2"/>
        </w:numPr>
        <w:spacing w:after="90" w:line="280"/>
      </w:pPr>
      <w:r>
        <w:t xml:space="preserve">Manual form-input stress testing (negative numbers, non-numeric input, empty required fields) on the Budget Builder and Login forms.</w:t>
      </w:r>
    </w:p>
    <w:p>
      <w:pPr>
        <w:pStyle w:val="ListParagraph"/>
        <w:numPr>
          <w:ilvl w:val="0"/>
          <w:numId w:val="2"/>
        </w:numPr>
        <w:spacing w:after="90" w:line="280"/>
      </w:pPr>
      <w:r>
        <w:t xml:space="preserve">A mobile viewport (390×844, iPhone-class) pass on the Budget Builder tool to sanity-check responsive stacking.</w:t>
      </w:r>
    </w:p>
    <w:p>
      <w:pPr>
        <w:pStyle w:val="Heading2"/>
        <w:spacing w:after="150" w:before="300"/>
      </w:pPr>
      <w:r>
        <w:t xml:space="preserve">What was explicitly out of scope for this pass</w:t>
      </w:r>
    </w:p>
    <w:p>
      <w:pPr>
        <w:spacing w:after="160" w:line="300"/>
      </w:pPr>
      <w:r>
        <w:t xml:space="preserve">No source code repository was made available, so this is a black-box audit of the shipped build, not a code review. No user account was created (per the “no account creation” safety boundary for this session), so authenticated flows — saved data sync, Careers resume upload, Google OAuth completion — were inspected only up to the point of the login/consent screen, not exercised end-to-end. Automated tooling such as Lighthouse, axe DevTools, WAVE, and a proper penetration test were not run in this environment; every place in this report that depends on those tools says so explicitly rather than guessing.</w:t>
      </w:r>
    </w:p>
    <w:p>
      <w:pPr>
        <w:pStyle w:val="Heading1"/>
        <w:spacing w:after="200" w:before="400"/>
      </w:pPr>
      <w:r>
        <w:t xml:space="preserve">1. Site &amp; Route Inventory</w:t>
      </w:r>
    </w:p>
    <w:p>
      <w:pPr>
        <w:spacing w:after="160" w:line="300"/>
      </w:pPr>
      <w:r>
        <w:t xml:space="preserve">Routes discovered via the primary navigation, homepage tool grid, and footer. All resolved successfully (HTTP 200) except the deliberately-tested unknown route, which also returned 200 with a custom 404 page — see Bug FX-05.</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1800"/>
        <w:gridCol w:w="2200"/>
      </w:tblGrid>
      <w:tr>
        <w:trPr>
          <w:tblHeader/>
        </w:trPr>
        <w:tc>
          <w:tcPr>
            <w:tcW w:type="dxa" w:w="2600"/>
            <w:shd w:fill="1A1A1A" w:val="clear"/>
            <w:tcMar>
              <w:top w:type="dxa" w:w="80"/>
              <w:left w:type="dxa" w:w="100"/>
              <w:bottom w:type="dxa" w:w="80"/>
              <w:right w:type="dxa" w:w="100"/>
            </w:tcMar>
            <w:vAlign w:val="center"/>
          </w:tcPr>
          <w:p>
            <w:pPr>
              <w:jc w:val="left"/>
            </w:pPr>
            <w:r>
              <w:rPr>
                <w:b/>
                <w:bCs/>
                <w:color w:val="FFFFFF"/>
                <w:sz w:val="19"/>
                <w:szCs w:val="19"/>
              </w:rPr>
              <w:t xml:space="preserve">Route</w:t>
            </w:r>
          </w:p>
        </w:tc>
        <w:tc>
          <w:tcPr>
            <w:tcW w:type="dxa" w:w="4200"/>
            <w:shd w:fill="1A1A1A" w:val="clear"/>
            <w:tcMar>
              <w:top w:type="dxa" w:w="80"/>
              <w:left w:type="dxa" w:w="100"/>
              <w:bottom w:type="dxa" w:w="80"/>
              <w:right w:type="dxa" w:w="100"/>
            </w:tcMar>
            <w:vAlign w:val="center"/>
          </w:tcPr>
          <w:p>
            <w:pPr>
              <w:jc w:val="left"/>
            </w:pPr>
            <w:r>
              <w:rPr>
                <w:b/>
                <w:bCs/>
                <w:color w:val="FFFFFF"/>
                <w:sz w:val="19"/>
                <w:szCs w:val="19"/>
              </w:rPr>
              <w:t xml:space="preserve">Page / Purpose</w:t>
            </w:r>
          </w:p>
        </w:tc>
        <w:tc>
          <w:tcPr>
            <w:tcW w:type="dxa" w:w="1800"/>
            <w:shd w:fill="1A1A1A" w:val="clear"/>
            <w:tcMar>
              <w:top w:type="dxa" w:w="80"/>
              <w:left w:type="dxa" w:w="100"/>
              <w:bottom w:type="dxa" w:w="80"/>
              <w:right w:type="dxa" w:w="100"/>
            </w:tcMar>
            <w:vAlign w:val="center"/>
          </w:tcPr>
          <w:p>
            <w:pPr>
              <w:jc w:val="left"/>
            </w:pPr>
            <w:r>
              <w:rPr>
                <w:b/>
                <w:bCs/>
                <w:color w:val="FFFFFF"/>
                <w:sz w:val="19"/>
                <w:szCs w:val="19"/>
              </w:rPr>
              <w:t xml:space="preserve">Auth required?</w:t>
            </w:r>
          </w:p>
        </w:tc>
        <w:tc>
          <w:tcPr>
            <w:tcW w:type="dxa" w:w="2200"/>
            <w:shd w:fill="1A1A1A" w:val="clear"/>
            <w:tcMar>
              <w:top w:type="dxa" w:w="80"/>
              <w:left w:type="dxa" w:w="100"/>
              <w:bottom w:type="dxa" w:w="80"/>
              <w:right w:type="dxa" w:w="100"/>
            </w:tcMar>
            <w:vAlign w:val="center"/>
          </w:tcPr>
          <w:p>
            <w:pPr>
              <w:jc w:val="left"/>
            </w:pPr>
            <w:r>
              <w:rPr>
                <w:b/>
                <w:bCs/>
                <w:color w:val="FFFFFF"/>
                <w:sz w:val="19"/>
                <w:szCs w:val="19"/>
              </w:rPr>
              <w:t xml:space="preserve">Notable state</w:t>
            </w:r>
          </w:p>
        </w:tc>
      </w:tr>
      <w:tr>
        <w:tc>
          <w:tcPr>
            <w:tcW w:type="dxa" w:w="26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w:t>
            </w:r>
          </w:p>
        </w:tc>
        <w:tc>
          <w:tcPr>
            <w:tcW w:type="dxa" w:w="42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Landing page — hero, 7-tool showcase grid, value props, footer</w:t>
            </w:r>
          </w:p>
        </w:tc>
        <w:tc>
          <w:tcPr>
            <w:tcW w:type="dxa" w:w="18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No</w:t>
            </w:r>
          </w:p>
        </w:tc>
        <w:tc>
          <w:tcPr>
            <w:tcW w:type="dxa" w:w="22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Save-progress modal fires on load</w:t>
            </w:r>
          </w:p>
        </w:tc>
      </w:tr>
      <w:tr>
        <w:tc>
          <w:tcPr>
            <w:tcW w:type="dxa" w:w="26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/tools</w:t>
            </w:r>
          </w:p>
        </w:tc>
        <w:tc>
          <w:tcPr>
            <w:tcW w:type="dxa" w:w="42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Intended tools index</w:t>
            </w:r>
          </w:p>
        </w:tc>
        <w:tc>
          <w:tcPr>
            <w:tcW w:type="dxa" w:w="18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No</w:t>
            </w:r>
          </w:p>
        </w:tc>
        <w:tc>
          <w:tcPr>
            <w:tcW w:type="dxa" w:w="22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Redirects to /tools/lifemap after a load delay — see Bug FX-01</w:t>
            </w:r>
          </w:p>
        </w:tc>
      </w:tr>
      <w:tr>
        <w:tc>
          <w:tcPr>
            <w:tcW w:type="dxa" w:w="26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/tools/budget</w:t>
            </w:r>
          </w:p>
        </w:tc>
        <w:tc>
          <w:tcPr>
            <w:tcW w:type="dxa" w:w="42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Budget Builder (50/30/20 calculator)</w:t>
            </w:r>
          </w:p>
        </w:tc>
        <w:tc>
          <w:tcPr>
            <w:tcW w:type="dxa" w:w="18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No (guest) / Yes (sync)</w:t>
            </w:r>
          </w:p>
        </w:tc>
        <w:tc>
          <w:tcPr>
            <w:tcW w:type="dxa" w:w="22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Fully interactive, live calculation</w:t>
            </w:r>
          </w:p>
        </w:tc>
      </w:tr>
      <w:tr>
        <w:tc>
          <w:tcPr>
            <w:tcW w:type="dxa" w:w="26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/tools/expenses</w:t>
            </w:r>
          </w:p>
        </w:tc>
        <w:tc>
          <w:tcPr>
            <w:tcW w:type="dxa" w:w="42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Expense Tracker, reads categories from Budget Builder</w:t>
            </w:r>
          </w:p>
        </w:tc>
        <w:tc>
          <w:tcPr>
            <w:tcW w:type="dxa" w:w="18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No (guest) / Yes (sync)</w:t>
            </w:r>
          </w:p>
        </w:tc>
        <w:tc>
          <w:tcPr>
            <w:tcW w:type="dxa" w:w="22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Cross-tool data linkage confirmed by design</w:t>
            </w:r>
          </w:p>
        </w:tc>
      </w:tr>
      <w:tr>
        <w:tc>
          <w:tcPr>
            <w:tcW w:type="dxa" w:w="26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/tools/investmatch</w:t>
            </w:r>
          </w:p>
        </w:tc>
        <w:tc>
          <w:tcPr>
            <w:tcW w:type="dxa" w:w="42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6-question risk-profile → portfolio allocator</w:t>
            </w:r>
          </w:p>
        </w:tc>
        <w:tc>
          <w:tcPr>
            <w:tcW w:type="dxa" w:w="18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No (guest) / Yes (sync)</w:t>
            </w:r>
          </w:p>
        </w:tc>
        <w:tc>
          <w:tcPr>
            <w:tcW w:type="dxa" w:w="22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Multi-step wizard, question 1 of 6 on load</w:t>
            </w:r>
          </w:p>
        </w:tc>
      </w:tr>
      <w:tr>
        <w:tc>
          <w:tcPr>
            <w:tcW w:type="dxa" w:w="26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/tools/parksmart</w:t>
            </w:r>
          </w:p>
        </w:tc>
        <w:tc>
          <w:tcPr>
            <w:tcW w:type="dxa" w:w="42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Idle-cash parking comparison across 10 instruments</w:t>
            </w:r>
          </w:p>
        </w:tc>
        <w:tc>
          <w:tcPr>
            <w:tcW w:type="dxa" w:w="18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No (guest) / Yes (sync)</w:t>
            </w:r>
          </w:p>
        </w:tc>
        <w:tc>
          <w:tcPr>
            <w:tcW w:type="dxa" w:w="22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Single-screen input form</w:t>
            </w:r>
          </w:p>
        </w:tc>
      </w:tr>
      <w:tr>
        <w:tc>
          <w:tcPr>
            <w:tcW w:type="dxa" w:w="26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/tools/peercompare</w:t>
            </w:r>
          </w:p>
        </w:tc>
        <w:tc>
          <w:tcPr>
            <w:tcW w:type="dxa" w:w="42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14-city peer benchmarking</w:t>
            </w:r>
          </w:p>
        </w:tc>
        <w:tc>
          <w:tcPr>
            <w:tcW w:type="dxa" w:w="18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No (guest) / Yes (sync)</w:t>
            </w:r>
          </w:p>
        </w:tc>
        <w:tc>
          <w:tcPr>
            <w:tcW w:type="dxa" w:w="22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Single-screen input form</w:t>
            </w:r>
          </w:p>
        </w:tc>
      </w:tr>
      <w:tr>
        <w:tc>
          <w:tcPr>
            <w:tcW w:type="dxa" w:w="26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/tools/goals</w:t>
            </w:r>
          </w:p>
        </w:tc>
        <w:tc>
          <w:tcPr>
            <w:tcW w:type="dxa" w:w="42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Reverse Goal Planner (goal → required SIP)</w:t>
            </w:r>
          </w:p>
        </w:tc>
        <w:tc>
          <w:tcPr>
            <w:tcW w:type="dxa" w:w="18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No (guest) / Yes (sync)</w:t>
            </w:r>
          </w:p>
        </w:tc>
        <w:tc>
          <w:tcPr>
            <w:tcW w:type="dxa" w:w="22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Quick-pick goal chips + manual entry</w:t>
            </w:r>
          </w:p>
        </w:tc>
      </w:tr>
      <w:tr>
        <w:tc>
          <w:tcPr>
            <w:tcW w:type="dxa" w:w="26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/tools/lifemap</w:t>
            </w:r>
          </w:p>
        </w:tc>
        <w:tc>
          <w:tcPr>
            <w:tcW w:type="dxa" w:w="42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Whole-of-life financial simulator</w:t>
            </w:r>
          </w:p>
        </w:tc>
        <w:tc>
          <w:tcPr>
            <w:tcW w:type="dxa" w:w="18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No (guest) / Yes (sync)</w:t>
            </w:r>
          </w:p>
        </w:tc>
        <w:tc>
          <w:tcPr>
            <w:tcW w:type="dxa" w:w="22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Longest form on the site (12+ fields)</w:t>
            </w:r>
          </w:p>
        </w:tc>
      </w:tr>
      <w:tr>
        <w:tc>
          <w:tcPr>
            <w:tcW w:type="dxa" w:w="26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/careers</w:t>
            </w:r>
          </w:p>
        </w:tc>
        <w:tc>
          <w:tcPr>
            <w:tcW w:type="dxa" w:w="42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Careers Dashboard — resume intelligence, ATS, job search, interview prep, coach</w:t>
            </w:r>
          </w:p>
        </w:tc>
        <w:tc>
          <w:tcPr>
            <w:tcW w:type="dxa" w:w="18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Yes, mandatory</w:t>
            </w:r>
          </w:p>
        </w:tc>
        <w:tc>
          <w:tcPr>
            <w:tcW w:type="dxa" w:w="22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No guest mode at all — see Bug FX-02</w:t>
            </w:r>
          </w:p>
        </w:tc>
      </w:tr>
      <w:tr>
        <w:tc>
          <w:tcPr>
            <w:tcW w:type="dxa" w:w="26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/login</w:t>
            </w:r>
          </w:p>
        </w:tc>
        <w:tc>
          <w:tcPr>
            <w:tcW w:type="dxa" w:w="42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Sign in (Google OAuth + email/password)</w:t>
            </w:r>
          </w:p>
        </w:tc>
        <w:tc>
          <w:tcPr>
            <w:tcW w:type="dxa" w:w="18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No</w:t>
            </w:r>
          </w:p>
        </w:tc>
        <w:tc>
          <w:tcPr>
            <w:tcW w:type="dxa" w:w="22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Native required-field validation only</w:t>
            </w:r>
          </w:p>
        </w:tc>
      </w:tr>
      <w:tr>
        <w:tc>
          <w:tcPr>
            <w:tcW w:type="dxa" w:w="26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/signup</w:t>
            </w:r>
          </w:p>
        </w:tc>
        <w:tc>
          <w:tcPr>
            <w:tcW w:type="dxa" w:w="42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Create account</w:t>
            </w:r>
          </w:p>
        </w:tc>
        <w:tc>
          <w:tcPr>
            <w:tcW w:type="dxa" w:w="18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No</w:t>
            </w:r>
          </w:p>
        </w:tc>
        <w:tc>
          <w:tcPr>
            <w:tcW w:type="dxa" w:w="22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Consent checkbox referencing Terms &amp; Privacy</w:t>
            </w:r>
          </w:p>
        </w:tc>
      </w:tr>
      <w:tr>
        <w:tc>
          <w:tcPr>
            <w:tcW w:type="dxa" w:w="26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/privacy</w:t>
            </w:r>
          </w:p>
        </w:tc>
        <w:tc>
          <w:tcPr>
            <w:tcW w:type="dxa" w:w="42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Privacy Policy</w:t>
            </w:r>
          </w:p>
        </w:tc>
        <w:tc>
          <w:tcPr>
            <w:tcW w:type="dxa" w:w="18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No</w:t>
            </w:r>
          </w:p>
        </w:tc>
        <w:tc>
          <w:tcPr>
            <w:tcW w:type="dxa" w:w="22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Detailed, DPDP/GDPR-aware, dated 20 June 2026</w:t>
            </w:r>
          </w:p>
        </w:tc>
      </w:tr>
      <w:tr>
        <w:tc>
          <w:tcPr>
            <w:tcW w:type="dxa" w:w="26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/terms</w:t>
            </w:r>
          </w:p>
        </w:tc>
        <w:tc>
          <w:tcPr>
            <w:tcW w:type="dxa" w:w="42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Terms &amp; Conditions (footer-linked)</w:t>
            </w:r>
          </w:p>
        </w:tc>
        <w:tc>
          <w:tcPr>
            <w:tcW w:type="dxa" w:w="18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No</w:t>
            </w:r>
          </w:p>
        </w:tc>
        <w:tc>
          <w:tcPr>
            <w:tcW w:type="dxa" w:w="22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Not opened in this pass — recommend same review pass as /privacy</w:t>
            </w:r>
          </w:p>
        </w:tc>
      </w:tr>
      <w:tr>
        <w:tc>
          <w:tcPr>
            <w:tcW w:type="dxa" w:w="26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(unknown route)</w:t>
            </w:r>
          </w:p>
        </w:tc>
        <w:tc>
          <w:tcPr>
            <w:tcW w:type="dxa" w:w="42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Custom “Off the chart” 404 page</w:t>
            </w:r>
          </w:p>
        </w:tc>
        <w:tc>
          <w:tcPr>
            <w:tcW w:type="dxa" w:w="18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No</w:t>
            </w:r>
          </w:p>
        </w:tc>
        <w:tc>
          <w:tcPr>
            <w:tcW w:type="dxa" w:w="22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Returns HTTP 200 instead of 404 — see Bug FX-05</w:t>
            </w:r>
          </w:p>
        </w:tc>
      </w:tr>
    </w:tbl>
    <w:p>
      <w:pPr>
        <w:spacing w:after="160" w:line="300"/>
      </w:pPr>
      <w:r>
        <w:t xml:space="preserve"/>
      </w:r>
    </w:p>
    <w:p>
      <w:pPr>
        <w:pStyle w:val="Heading3"/>
        <w:spacing w:after="120" w:before="240"/>
      </w:pPr>
      <w:r>
        <w:t xml:space="preserve">Global chrome present on every tool page</w:t>
      </w:r>
    </w:p>
    <w:p>
      <w:pPr>
        <w:pStyle w:val="ListParagraph"/>
        <w:numPr>
          <w:ilvl w:val="0"/>
          <w:numId w:val="2"/>
        </w:numPr>
        <w:spacing w:after="90" w:line="280"/>
      </w:pPr>
      <w:r>
        <w:t xml:space="preserve">Sticky header: FinatriX logo/home link, Sign In button.</w:t>
      </w:r>
    </w:p>
    <w:p>
      <w:pPr>
        <w:pStyle w:val="ListParagraph"/>
        <w:numPr>
          <w:ilvl w:val="0"/>
          <w:numId w:val="2"/>
        </w:numPr>
        <w:spacing w:after="90" w:line="280"/>
      </w:pPr>
      <w:r>
        <w:t xml:space="preserve">Secondary tool-switcher bar: all 7 tools as pills, current tool highlighted, plus a 40-currency selector dropdown.</w:t>
      </w:r>
    </w:p>
    <w:p>
      <w:pPr>
        <w:pStyle w:val="ListParagraph"/>
        <w:numPr>
          <w:ilvl w:val="0"/>
          <w:numId w:val="2"/>
        </w:numPr>
        <w:spacing w:after="90" w:line="280"/>
      </w:pPr>
      <w:r>
        <w:t xml:space="preserve">Breadcrumb: Home › FinatriX › [Page].</w:t>
      </w:r>
    </w:p>
    <w:p>
      <w:pPr>
        <w:pStyle w:val="ListParagraph"/>
        <w:numPr>
          <w:ilvl w:val="0"/>
          <w:numId w:val="2"/>
        </w:numPr>
        <w:spacing w:after="90" w:line="280"/>
      </w:pPr>
      <w:r>
        <w:t xml:space="preserve">A live digital clock in the footer area, format “HH:MM:SS · Day, DD Mon YYYY · Timezone” — see Bug FX-03 for an inconsistency found here.</w:t>
      </w:r>
    </w:p>
    <w:p>
      <w:pPr>
        <w:pStyle w:val="ListParagraph"/>
        <w:numPr>
          <w:ilvl w:val="0"/>
          <w:numId w:val="2"/>
        </w:numPr>
        <w:spacing w:after="90" w:line="280"/>
      </w:pPr>
      <w:r>
        <w:t xml:space="preserve">Footer disclaimer: “Educational tools — not financial advice.” present sitewide, which is good compliance hygiene for a fintech-adjacent product.</w:t>
      </w:r>
    </w:p>
    <w:p>
      <w:pPr>
        <w:pStyle w:val="Heading1"/>
        <w:spacing w:after="200" w:before="400"/>
      </w:pPr>
      <w:r>
        <w:t xml:space="preserve">2. Feature Inventory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400"/>
        <w:gridCol w:w="2900"/>
        <w:gridCol w:w="1400"/>
      </w:tblGrid>
      <w:tr>
        <w:trPr>
          <w:tblHeader/>
        </w:trPr>
        <w:tc>
          <w:tcPr>
            <w:tcW w:type="dxa" w:w="1500"/>
            <w:shd w:fill="1A1A1A" w:val="clear"/>
            <w:tcMar>
              <w:top w:type="dxa" w:w="80"/>
              <w:left w:type="dxa" w:w="100"/>
              <w:bottom w:type="dxa" w:w="80"/>
              <w:right w:type="dxa" w:w="100"/>
            </w:tcMar>
            <w:vAlign w:val="center"/>
          </w:tcPr>
          <w:p>
            <w:pPr>
              <w:jc w:val="left"/>
            </w:pPr>
            <w:r>
              <w:rPr>
                <w:b/>
                <w:bCs/>
                <w:color w:val="FFFFFF"/>
                <w:sz w:val="19"/>
                <w:szCs w:val="19"/>
              </w:rPr>
              <w:t xml:space="preserve">Feature</w:t>
            </w:r>
          </w:p>
        </w:tc>
        <w:tc>
          <w:tcPr>
            <w:tcW w:type="dxa" w:w="2600"/>
            <w:shd w:fill="1A1A1A" w:val="clear"/>
            <w:tcMar>
              <w:top w:type="dxa" w:w="80"/>
              <w:left w:type="dxa" w:w="100"/>
              <w:bottom w:type="dxa" w:w="80"/>
              <w:right w:type="dxa" w:w="100"/>
            </w:tcMar>
            <w:vAlign w:val="center"/>
          </w:tcPr>
          <w:p>
            <w:pPr>
              <w:jc w:val="left"/>
            </w:pPr>
            <w:r>
              <w:rPr>
                <w:b/>
                <w:bCs/>
                <w:color w:val="FFFFFF"/>
                <w:sz w:val="19"/>
                <w:szCs w:val="19"/>
              </w:rPr>
              <w:t xml:space="preserve">Current implementation</w:t>
            </w:r>
          </w:p>
        </w:tc>
        <w:tc>
          <w:tcPr>
            <w:tcW w:type="dxa" w:w="2400"/>
            <w:shd w:fill="1A1A1A" w:val="clear"/>
            <w:tcMar>
              <w:top w:type="dxa" w:w="80"/>
              <w:left w:type="dxa" w:w="100"/>
              <w:bottom w:type="dxa" w:w="80"/>
              <w:right w:type="dxa" w:w="100"/>
            </w:tcMar>
            <w:vAlign w:val="center"/>
          </w:tcPr>
          <w:p>
            <w:pPr>
              <w:jc w:val="left"/>
            </w:pPr>
            <w:r>
              <w:rPr>
                <w:b/>
                <w:bCs/>
                <w:color w:val="FFFFFF"/>
                <w:sz w:val="19"/>
                <w:szCs w:val="19"/>
              </w:rPr>
              <w:t xml:space="preserve">Strength</w:t>
            </w:r>
          </w:p>
        </w:tc>
        <w:tc>
          <w:tcPr>
            <w:tcW w:type="dxa" w:w="2900"/>
            <w:shd w:fill="1A1A1A" w:val="clear"/>
            <w:tcMar>
              <w:top w:type="dxa" w:w="80"/>
              <w:left w:type="dxa" w:w="100"/>
              <w:bottom w:type="dxa" w:w="80"/>
              <w:right w:type="dxa" w:w="100"/>
            </w:tcMar>
            <w:vAlign w:val="center"/>
          </w:tcPr>
          <w:p>
            <w:pPr>
              <w:jc w:val="left"/>
            </w:pPr>
            <w:r>
              <w:rPr>
                <w:b/>
                <w:bCs/>
                <w:color w:val="FFFFFF"/>
                <w:sz w:val="19"/>
                <w:szCs w:val="19"/>
              </w:rPr>
              <w:t xml:space="preserve">Weakness / open question</w:t>
            </w:r>
          </w:p>
        </w:tc>
        <w:tc>
          <w:tcPr>
            <w:tcW w:type="dxa" w:w="1400"/>
            <w:shd w:fill="1A1A1A" w:val="clear"/>
            <w:tcMar>
              <w:top w:type="dxa" w:w="80"/>
              <w:left w:type="dxa" w:w="100"/>
              <w:bottom w:type="dxa" w:w="80"/>
              <w:right w:type="dxa" w:w="100"/>
            </w:tcMar>
            <w:vAlign w:val="center"/>
          </w:tcPr>
          <w:p>
            <w:pPr>
              <w:jc w:val="left"/>
            </w:pPr>
            <w:r>
              <w:rPr>
                <w:b/>
                <w:bCs/>
                <w:color w:val="FFFFFF"/>
                <w:sz w:val="19"/>
                <w:szCs w:val="19"/>
              </w:rPr>
              <w:t xml:space="preserve">Priority</w:t>
            </w:r>
          </w:p>
        </w:tc>
      </w:tr>
      <w:tr>
        <w:tc>
          <w:tcPr>
            <w:tcW w:type="dxa" w:w="15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Budget Builder</w:t>
            </w:r>
          </w:p>
        </w:tc>
        <w:tc>
          <w:tcPr>
            <w:tcW w:type="dxa" w:w="26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50/30/20 needs/wants/savings split against monthly take-home income, per-category envelopes, month switcher (Apr–Jul 2026 visible), CSV/PDF-style export menu.</w:t>
            </w:r>
          </w:p>
        </w:tc>
        <w:tc>
          <w:tcPr>
            <w:tcW w:type="dxa" w:w="24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Live recalculation on input; sensible default category set (Rent, Groceries, EMI-style items, etc.); clear allocated-vs-limit meter per bucket.</w:t>
            </w:r>
          </w:p>
        </w:tc>
        <w:tc>
          <w:tcPr>
            <w:tcW w:type="dxa" w:w="29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Accepts negative income with no validation message (Bug FX-04); no visible way to add a 4th bucket type; export menu not verified to produce a file in this pass.</w:t>
            </w:r>
          </w:p>
        </w:tc>
        <w:tc>
          <w:tcPr>
            <w:tcW w:type="dxa" w:w="14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High — this is the entry point most users will try first.</w:t>
            </w:r>
          </w:p>
        </w:tc>
      </w:tr>
      <w:tr>
        <w:tc>
          <w:tcPr>
            <w:tcW w:type="dxa" w:w="15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Expense Tracker</w:t>
            </w:r>
          </w:p>
        </w:tc>
        <w:tc>
          <w:tcPr>
            <w:tcW w:type="dxa" w:w="26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Logs individual expenses against Budget Builder categories; live remaining-budget math; monthly trend and top-categories views.</w:t>
            </w:r>
          </w:p>
        </w:tc>
        <w:tc>
          <w:tcPr>
            <w:tcW w:type="dxa" w:w="24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Good product idea — explicitly wires into Budget Builder's categories rather than duplicating them.</w:t>
            </w:r>
          </w:p>
        </w:tc>
        <w:tc>
          <w:tcPr>
            <w:tcW w:type="dxa" w:w="29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On a fresh guest session shows ₹0 everywhere with no explanatory empty-state guidance beyond “Nothing logged yet”; whether budget data reliably carries over from Budget Builder without a sign-in needs a clean re-test (this pass's data was corrupted by validation testing).</w:t>
            </w:r>
          </w:p>
        </w:tc>
        <w:tc>
          <w:tcPr>
            <w:tcW w:type="dxa" w:w="14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High</w:t>
            </w:r>
          </w:p>
        </w:tc>
      </w:tr>
      <w:tr>
        <w:tc>
          <w:tcPr>
            <w:tcW w:type="dxa" w:w="15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InvestMatch</w:t>
            </w:r>
          </w:p>
        </w:tc>
        <w:tc>
          <w:tcPr>
            <w:tcW w:type="dxa" w:w="26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6-question risk questionnaire producing a personalised Indian-instrument portfolio allocation.</w:t>
            </w:r>
          </w:p>
        </w:tc>
        <w:tc>
          <w:tcPr>
            <w:tcW w:type="dxa" w:w="24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Question-by-question wizard reduces cognitive load versus one long form.</w:t>
            </w:r>
          </w:p>
        </w:tc>
        <w:tc>
          <w:tcPr>
            <w:tcW w:type="dxa" w:w="29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No visible progress bar beyond “Question 1 of 6” text; back-navigation and answer-editing not verified.</w:t>
            </w:r>
          </w:p>
        </w:tc>
        <w:tc>
          <w:tcPr>
            <w:tcW w:type="dxa" w:w="14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High — core acquisition tool</w:t>
            </w:r>
          </w:p>
        </w:tc>
      </w:tr>
      <w:tr>
        <w:tc>
          <w:tcPr>
            <w:tcW w:type="dxa" w:w="15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ParkSmart</w:t>
            </w:r>
          </w:p>
        </w:tc>
        <w:tc>
          <w:tcPr>
            <w:tcW w:type="dxa" w:w="26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Compares after-tax returns on ₹1 across 10 idle-cash parking instruments by amount, duration and tax slab.</w:t>
            </w:r>
          </w:p>
        </w:tc>
        <w:tc>
          <w:tcPr>
            <w:tcW w:type="dxa" w:w="24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Good, specific value proposition (“tuned to 2026 tax rules”) that differentiates from generic calculators.</w:t>
            </w:r>
          </w:p>
        </w:tc>
        <w:tc>
          <w:tcPr>
            <w:tcW w:type="dxa" w:w="29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Result screen /calculation accuracy not independently verified against real 2026 tax tables — needs SME sign-off before public claims of accuracy.</w:t>
            </w:r>
          </w:p>
        </w:tc>
        <w:tc>
          <w:tcPr>
            <w:tcW w:type="dxa" w:w="14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Medium-High</w:t>
            </w:r>
          </w:p>
        </w:tc>
      </w:tr>
      <w:tr>
        <w:tc>
          <w:tcPr>
            <w:tcW w:type="dxa" w:w="15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PeerCompare</w:t>
            </w:r>
          </w:p>
        </w:tc>
        <w:tc>
          <w:tcPr>
            <w:tcW w:type="dxa" w:w="26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Benchmarks income/savings/debt against 14 Indian cities using RBI/PLFS-cited data.</w:t>
            </w:r>
          </w:p>
        </w:tc>
        <w:tc>
          <w:tcPr>
            <w:tcW w:type="dxa" w:w="24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City list is genuinely broad (Tier-1 through Tier-3); cites its data sources in the footer, which builds trust.</w:t>
            </w:r>
          </w:p>
        </w:tc>
        <w:tc>
          <w:tcPr>
            <w:tcW w:type="dxa" w:w="29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Benchmark methodology/recency not independently verifiable from the front end; should be dated like ParkSmart's “June 2026” note.</w:t>
            </w:r>
          </w:p>
        </w:tc>
        <w:tc>
          <w:tcPr>
            <w:tcW w:type="dxa" w:w="14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Medium</w:t>
            </w:r>
          </w:p>
        </w:tc>
      </w:tr>
      <w:tr>
        <w:tc>
          <w:tcPr>
            <w:tcW w:type="dxa" w:w="15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Reverse Goal Planner</w:t>
            </w:r>
          </w:p>
        </w:tc>
        <w:tc>
          <w:tcPr>
            <w:tcW w:type="dxa" w:w="26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Goal → required monthly SIP, with inflation adjustment and quick-pick common goals.</w:t>
            </w:r>
          </w:p>
        </w:tc>
        <w:tc>
          <w:tcPr>
            <w:tcW w:type="dxa" w:w="24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Quick-pick chips (Dream house, Retirement, etc.) lower the barrier to a first result.</w:t>
            </w:r>
          </w:p>
        </w:tc>
        <w:tc>
          <w:tcPr>
            <w:tcW w:type="dxa" w:w="29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Step-up SIP option mentioned in copy but not exercised in this pass.</w:t>
            </w:r>
          </w:p>
        </w:tc>
        <w:tc>
          <w:tcPr>
            <w:tcW w:type="dxa" w:w="14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Medium</w:t>
            </w:r>
          </w:p>
        </w:tc>
      </w:tr>
      <w:tr>
        <w:tc>
          <w:tcPr>
            <w:tcW w:type="dxa" w:w="15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LifeMap</w:t>
            </w:r>
          </w:p>
        </w:tc>
        <w:tc>
          <w:tcPr>
            <w:tcW w:type="dxa" w:w="26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Whole-of-life financial simulator: income, expenses, savings, debt, career field, and multi-select goals feeding a lifetime trajectory.</w:t>
            </w:r>
          </w:p>
        </w:tc>
        <w:tc>
          <w:tcPr>
            <w:tcW w:type="dxa" w:w="24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Most ambitious tool on the site; genuinely differentiated (“simulate your entire financial life”) versus competitor calculators.</w:t>
            </w:r>
          </w:p>
        </w:tc>
        <w:tc>
          <w:tcPr>
            <w:tcW w:type="dxa" w:w="29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By far the longest form on the site (12+ fields, several with lengthy helper text) with no visible save-and-continue or progress indicator — real abandonment risk, especially on mobile.</w:t>
            </w:r>
          </w:p>
        </w:tc>
        <w:tc>
          <w:tcPr>
            <w:tcW w:type="dxa" w:w="14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High — flagship differentiator, needs the most UX investment</w:t>
            </w:r>
          </w:p>
        </w:tc>
      </w:tr>
      <w:tr>
        <w:tc>
          <w:tcPr>
            <w:tcW w:type="dxa" w:w="15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FinatriX Careers</w:t>
            </w:r>
          </w:p>
        </w:tc>
        <w:tc>
          <w:tcPr>
            <w:tcW w:type="dxa" w:w="26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Resume upload/scoring, ATS optimisation, job search, application tracking, interview prep, AI career coach.</w:t>
            </w:r>
          </w:p>
        </w:tc>
        <w:tc>
          <w:tcPr>
            <w:tcW w:type="dxa" w:w="24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Ambitious, clearly-scoped nav (Dashboard, Resume Library, Job Search, Applications, Interview Prep, Career Coach, Settings) suggests a fully-planned product, not a stub.</w:t>
            </w:r>
          </w:p>
        </w:tc>
        <w:tc>
          <w:tcPr>
            <w:tcW w:type="dxa" w:w="29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100% sign-in gated with zero guest preview of any kind — a visitor cannot see a single screenshot, sample output or value demonstration before being asked to create an account. Inconsistent with the rest of the site's “guest first” philosophy.</w:t>
            </w:r>
          </w:p>
        </w:tc>
        <w:tc>
          <w:tcPr>
            <w:tcW w:type="dxa" w:w="14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High — currently a conversion dead-end</w:t>
            </w:r>
          </w:p>
        </w:tc>
      </w:tr>
      <w:tr>
        <w:tc>
          <w:tcPr>
            <w:tcW w:type="dxa" w:w="15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Currency selector</w:t>
            </w:r>
          </w:p>
        </w:tc>
        <w:tc>
          <w:tcPr>
            <w:tcW w:type="dxa" w:w="26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40 currencies (INR default) selectable from every tool page.</w:t>
            </w:r>
          </w:p>
        </w:tc>
        <w:tc>
          <w:tcPr>
            <w:tcW w:type="dxa" w:w="24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Impressively broad list for a product explicitly positioned as “built for India”; signals ambition beyond the India-only claim.</w:t>
            </w:r>
          </w:p>
        </w:tc>
        <w:tc>
          <w:tcPr>
            <w:tcW w:type="dxa" w:w="29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Unclear whether tax/city-benchmark logic (ParkSmart, PeerCompare) remains meaningful in non-INR currencies, since those are India-specific by definition — potential logic/marketing mismatch worth product review.</w:t>
            </w:r>
          </w:p>
        </w:tc>
        <w:tc>
          <w:tcPr>
            <w:tcW w:type="dxa" w:w="14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Medium</w:t>
            </w:r>
          </w:p>
        </w:tc>
      </w:tr>
      <w:tr>
        <w:tc>
          <w:tcPr>
            <w:tcW w:type="dxa" w:w="15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Guest mode / local persistence</w:t>
            </w:r>
          </w:p>
        </w:tc>
        <w:tc>
          <w:tcPr>
            <w:tcW w:type="dxa" w:w="26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All 7 tools usable without an account; data kept in browser local storage per the Privacy Policy.</w:t>
            </w:r>
          </w:p>
        </w:tc>
        <w:tc>
          <w:tcPr>
            <w:tcW w:type="dxa" w:w="24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Removes signup friction entirely — strong, well-documented decision (“Free, forever,” “No card required”).</w:t>
            </w:r>
          </w:p>
        </w:tc>
        <w:tc>
          <w:tcPr>
            <w:tcW w:type="dxa" w:w="29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No visible in-app warning about the consequence of clearing browser data / switching devices as a guest, beyond the account-creation modal's framing.</w:t>
            </w:r>
          </w:p>
        </w:tc>
        <w:tc>
          <w:tcPr>
            <w:tcW w:type="dxa" w:w="14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Medium</w:t>
            </w:r>
          </w:p>
        </w:tc>
      </w:tr>
      <w:tr>
        <w:tc>
          <w:tcPr>
            <w:tcW w:type="dxa" w:w="15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Account creation / auth</w:t>
            </w:r>
          </w:p>
        </w:tc>
        <w:tc>
          <w:tcPr>
            <w:tcW w:type="dxa" w:w="26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Email+password and Google OAuth, with terms/privacy consent checkbox and email verification (“Resend verification” link present).</w:t>
            </w:r>
          </w:p>
        </w:tc>
        <w:tc>
          <w:tcPr>
            <w:tcW w:type="dxa" w:w="24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Standard, well-structured form; consent checkbox explicitly ties to the “education only” disclaimer, which is good compliance practice.</w:t>
            </w:r>
          </w:p>
        </w:tc>
        <w:tc>
          <w:tcPr>
            <w:tcW w:type="dxa" w:w="29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Client-side validation on empty submit relies on native browser tooltips only, with no custom on-page error styling observed (§10, FX-06).</w:t>
            </w:r>
          </w:p>
        </w:tc>
        <w:tc>
          <w:tcPr>
            <w:tcW w:type="dxa" w:w="14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High</w:t>
            </w:r>
          </w:p>
        </w:tc>
      </w:tr>
    </w:tbl>
    <w:p>
      <w:pPr>
        <w:pStyle w:val="Heading1"/>
        <w:spacing w:after="200" w:before="400"/>
      </w:pPr>
      <w:r>
        <w:t xml:space="preserve">3. QA / Bug Register</w:t>
      </w:r>
    </w:p>
    <w:p>
      <w:pPr>
        <w:spacing w:after="160" w:line="300"/>
      </w:pPr>
      <w:r>
        <w:t xml:space="preserve">Every item below was reproduced live during this session. IDs are stable references for engineering tickets.</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1500"/>
        <w:gridCol w:w="1700"/>
        <w:gridCol w:w="3800"/>
        <w:gridCol w:w="1400"/>
      </w:tblGrid>
      <w:tr>
        <w:trPr>
          <w:tblHeader/>
        </w:trPr>
        <w:tc>
          <w:tcPr>
            <w:tcW w:type="dxa" w:w="700"/>
            <w:shd w:fill="1A1A1A" w:val="clear"/>
            <w:tcMar>
              <w:top w:type="dxa" w:w="80"/>
              <w:left w:type="dxa" w:w="100"/>
              <w:bottom w:type="dxa" w:w="80"/>
              <w:right w:type="dxa" w:w="100"/>
            </w:tcMar>
            <w:vAlign w:val="center"/>
          </w:tcPr>
          <w:p>
            <w:pPr>
              <w:jc w:val="left"/>
            </w:pPr>
            <w:r>
              <w:rPr>
                <w:b/>
                <w:bCs/>
                <w:color w:val="FFFFFF"/>
                <w:sz w:val="19"/>
                <w:szCs w:val="19"/>
              </w:rPr>
              <w:t xml:space="preserve">ID</w:t>
            </w:r>
          </w:p>
        </w:tc>
        <w:tc>
          <w:tcPr>
            <w:tcW w:type="dxa" w:w="1600"/>
            <w:shd w:fill="1A1A1A" w:val="clear"/>
            <w:tcMar>
              <w:top w:type="dxa" w:w="80"/>
              <w:left w:type="dxa" w:w="100"/>
              <w:bottom w:type="dxa" w:w="80"/>
              <w:right w:type="dxa" w:w="100"/>
            </w:tcMar>
            <w:vAlign w:val="center"/>
          </w:tcPr>
          <w:p>
            <w:pPr>
              <w:jc w:val="left"/>
            </w:pPr>
            <w:r>
              <w:rPr>
                <w:b/>
                <w:bCs/>
                <w:color w:val="FFFFFF"/>
                <w:sz w:val="19"/>
                <w:szCs w:val="19"/>
              </w:rPr>
              <w:t xml:space="preserve">Title</w:t>
            </w:r>
          </w:p>
        </w:tc>
        <w:tc>
          <w:tcPr>
            <w:tcW w:type="dxa" w:w="1500"/>
            <w:shd w:fill="1A1A1A" w:val="clear"/>
            <w:tcMar>
              <w:top w:type="dxa" w:w="80"/>
              <w:left w:type="dxa" w:w="100"/>
              <w:bottom w:type="dxa" w:w="80"/>
              <w:right w:type="dxa" w:w="100"/>
            </w:tcMar>
            <w:vAlign w:val="center"/>
          </w:tcPr>
          <w:p>
            <w:pPr>
              <w:jc w:val="left"/>
            </w:pPr>
            <w:r>
              <w:rPr>
                <w:b/>
                <w:bCs/>
                <w:color w:val="FFFFFF"/>
                <w:sz w:val="19"/>
                <w:szCs w:val="19"/>
              </w:rPr>
              <w:t xml:space="preserve">Category</w:t>
            </w:r>
          </w:p>
        </w:tc>
        <w:tc>
          <w:tcPr>
            <w:tcW w:type="dxa" w:w="1700"/>
            <w:shd w:fill="1A1A1A" w:val="clear"/>
            <w:tcMar>
              <w:top w:type="dxa" w:w="80"/>
              <w:left w:type="dxa" w:w="100"/>
              <w:bottom w:type="dxa" w:w="80"/>
              <w:right w:type="dxa" w:w="100"/>
            </w:tcMar>
            <w:vAlign w:val="center"/>
          </w:tcPr>
          <w:p>
            <w:pPr>
              <w:jc w:val="left"/>
            </w:pPr>
            <w:r>
              <w:rPr>
                <w:b/>
                <w:bCs/>
                <w:color w:val="FFFFFF"/>
                <w:sz w:val="19"/>
                <w:szCs w:val="19"/>
              </w:rPr>
              <w:t xml:space="preserve">Severity / Priority</w:t>
            </w:r>
          </w:p>
        </w:tc>
        <w:tc>
          <w:tcPr>
            <w:tcW w:type="dxa" w:w="3800"/>
            <w:shd w:fill="1A1A1A" w:val="clear"/>
            <w:tcMar>
              <w:top w:type="dxa" w:w="80"/>
              <w:left w:type="dxa" w:w="100"/>
              <w:bottom w:type="dxa" w:w="80"/>
              <w:right w:type="dxa" w:w="100"/>
            </w:tcMar>
            <w:vAlign w:val="center"/>
          </w:tcPr>
          <w:p>
            <w:pPr>
              <w:jc w:val="left"/>
            </w:pPr>
            <w:r>
              <w:rPr>
                <w:b/>
                <w:bCs/>
                <w:color w:val="FFFFFF"/>
                <w:sz w:val="19"/>
                <w:szCs w:val="19"/>
              </w:rPr>
              <w:t xml:space="preserve">Description &amp; Evidence</w:t>
            </w:r>
          </w:p>
        </w:tc>
        <w:tc>
          <w:tcPr>
            <w:tcW w:type="dxa" w:w="1400"/>
            <w:shd w:fill="1A1A1A" w:val="clear"/>
            <w:tcMar>
              <w:top w:type="dxa" w:w="80"/>
              <w:left w:type="dxa" w:w="100"/>
              <w:bottom w:type="dxa" w:w="80"/>
              <w:right w:type="dxa" w:w="100"/>
            </w:tcMar>
            <w:vAlign w:val="center"/>
          </w:tcPr>
          <w:p>
            <w:pPr>
              <w:jc w:val="left"/>
            </w:pPr>
            <w:r>
              <w:rPr>
                <w:b/>
                <w:bCs/>
                <w:color w:val="FFFFFF"/>
                <w:sz w:val="19"/>
                <w:szCs w:val="19"/>
              </w:rPr>
              <w:t xml:space="preserve">Effort</w:t>
            </w:r>
          </w:p>
        </w:tc>
      </w:tr>
      <w:tr>
        <w:tc>
          <w:tcPr>
            <w:tcW w:type="dxa" w:w="7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FX-01</w:t>
            </w:r>
          </w:p>
        </w:tc>
        <w:tc>
          <w:tcPr>
            <w:tcW w:type="dxa" w:w="1600"/>
            <w:shd w:fill="0F0F0F" w:val="clear"/>
            <w:tcMar>
              <w:top w:type="dxa" w:w="80"/>
              <w:left w:type="dxa" w:w="100"/>
              <w:bottom w:type="dxa" w:w="80"/>
              <w:right w:type="dxa" w:w="100"/>
            </w:tcMar>
            <w:vAlign w:val="center"/>
          </w:tcPr>
          <w:p>
            <w:pPr>
              <w:jc w:val="left"/>
            </w:pPr>
            <w:r>
              <w:rPr>
                <w:b/>
                <w:bCs/>
                <w:color w:val="FFFFFF"/>
                <w:sz w:val="19"/>
                <w:szCs w:val="19"/>
              </w:rPr>
              <w:t xml:space="preserve">Intrusive first-load modal blocks the homepage</w:t>
            </w:r>
          </w:p>
        </w:tc>
        <w:tc>
          <w:tcPr>
            <w:tcW w:type="dxa" w:w="15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UX / Onboarding</w:t>
            </w:r>
          </w:p>
        </w:tc>
        <w:tc>
          <w:tcPr>
            <w:tcW w:type="dxa" w:w="1700"/>
            <w:shd w:fill="0F0F0F" w:val="clear"/>
            <w:tcMar>
              <w:top w:type="dxa" w:w="80"/>
              <w:left w:type="dxa" w:w="100"/>
              <w:bottom w:type="dxa" w:w="80"/>
              <w:right w:type="dxa" w:w="100"/>
            </w:tcMar>
            <w:vAlign w:val="center"/>
          </w:tcPr>
          <w:p>
            <w:pPr>
              <w:jc w:val="left"/>
            </w:pPr>
            <w:r>
              <w:rPr>
                <w:b/>
                <w:bCs/>
                <w:color w:val="FF6B6B"/>
                <w:sz w:val="19"/>
                <w:szCs w:val="19"/>
              </w:rPr>
              <w:t xml:space="preserve">High / P1</w:t>
            </w:r>
          </w:p>
        </w:tc>
        <w:tc>
          <w:tcPr>
            <w:tcW w:type="dxa" w:w="38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On every fresh visit to “/”, a modal (“Save your progress”, Create account / Login / Continue as guest) covers the entire hero section before the visitor has seen any product content. Environment: Chrome, homepage, fresh session. Steps: navigate to https://finatrix.finatrix-hub.workers.dev/. Expected: visitor sees the hero/value proposition first, with account prompts offered contextually (e.g., after first tool interaction or on exit intent). Actual: a full-screen dark modal appears immediately, forcing a dismissal click before any content is visible. Likely cause: modal mounted on root layout without a delay, scroll-depth, or interaction trigger. Business impact: raises first-impression friction for investor demos and first-time visitors alike; a common cause of elevated bounce rate. Confidence: High (directly observed, reproducible).</w:t>
            </w:r>
          </w:p>
        </w:tc>
        <w:tc>
          <w:tcPr>
            <w:tcW w:type="dxa" w:w="14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S (trigger condition change)</w:t>
            </w:r>
          </w:p>
        </w:tc>
      </w:tr>
      <w:tr>
        <w:tc>
          <w:tcPr>
            <w:tcW w:type="dxa" w:w="7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FX-02</w:t>
            </w:r>
          </w:p>
        </w:tc>
        <w:tc>
          <w:tcPr>
            <w:tcW w:type="dxa" w:w="1600"/>
            <w:shd w:fill="1B1B1B" w:val="clear"/>
            <w:tcMar>
              <w:top w:type="dxa" w:w="80"/>
              <w:left w:type="dxa" w:w="100"/>
              <w:bottom w:type="dxa" w:w="80"/>
              <w:right w:type="dxa" w:w="100"/>
            </w:tcMar>
            <w:vAlign w:val="center"/>
          </w:tcPr>
          <w:p>
            <w:pPr>
              <w:jc w:val="left"/>
            </w:pPr>
            <w:r>
              <w:rPr>
                <w:b/>
                <w:bCs/>
                <w:color w:val="FFFFFF"/>
                <w:sz w:val="19"/>
                <w:szCs w:val="19"/>
              </w:rPr>
              <w:t xml:space="preserve">“/tools” silently redirects to LifeMap instead of showing a tools index</w:t>
            </w:r>
          </w:p>
        </w:tc>
        <w:tc>
          <w:tcPr>
            <w:tcW w:type="dxa" w:w="15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Navigation / IA</w:t>
            </w:r>
          </w:p>
        </w:tc>
        <w:tc>
          <w:tcPr>
            <w:tcW w:type="dxa" w:w="1700"/>
            <w:shd w:fill="1B1B1B" w:val="clear"/>
            <w:tcMar>
              <w:top w:type="dxa" w:w="80"/>
              <w:left w:type="dxa" w:w="100"/>
              <w:bottom w:type="dxa" w:w="80"/>
              <w:right w:type="dxa" w:w="100"/>
            </w:tcMar>
            <w:vAlign w:val="center"/>
          </w:tcPr>
          <w:p>
            <w:pPr>
              <w:jc w:val="left"/>
            </w:pPr>
            <w:r>
              <w:rPr>
                <w:b/>
                <w:bCs/>
                <w:color w:val="FF6B6B"/>
                <w:sz w:val="19"/>
                <w:szCs w:val="19"/>
              </w:rPr>
              <w:t xml:space="preserve">Medium / P2</w:t>
            </w:r>
          </w:p>
        </w:tc>
        <w:tc>
          <w:tcPr>
            <w:tcW w:type="dxa" w:w="38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The “Open tools” and “Launch the tools” CTAs point to /tools. Steps: click “Open tools” from the homepage header. Expected: a tools index/hub page, or a deliberate, documented default-tool behaviour. Actual: page shows “Loading…” on a black screen for roughly 1–2 seconds, then the URL and content silently change to /tools/lifemap with no visible reason LifeMap specifically was chosen over the other 6 tools. Likely cause: /tools has no dedicated route component and falls through to a default/last-tool redirect. Business impact: undermines the site's own information architecture (the homepage explicitly showcases 7 equal tools, but the /tools URL privileges one); confusing for anyone bookmarking or sharing the /tools link. Confidence: High (reproduced twice).</w:t>
            </w:r>
          </w:p>
        </w:tc>
        <w:tc>
          <w:tcPr>
            <w:tcW w:type="dxa" w:w="14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S – M (add a real /tools index page)</w:t>
            </w:r>
          </w:p>
        </w:tc>
      </w:tr>
      <w:tr>
        <w:tc>
          <w:tcPr>
            <w:tcW w:type="dxa" w:w="7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FX-03</w:t>
            </w:r>
          </w:p>
        </w:tc>
        <w:tc>
          <w:tcPr>
            <w:tcW w:type="dxa" w:w="1600"/>
            <w:shd w:fill="0F0F0F" w:val="clear"/>
            <w:tcMar>
              <w:top w:type="dxa" w:w="80"/>
              <w:left w:type="dxa" w:w="100"/>
              <w:bottom w:type="dxa" w:w="80"/>
              <w:right w:type="dxa" w:w="100"/>
            </w:tcMar>
            <w:vAlign w:val="center"/>
          </w:tcPr>
          <w:p>
            <w:pPr>
              <w:jc w:val="left"/>
            </w:pPr>
            <w:r>
              <w:rPr>
                <w:b/>
                <w:bCs/>
                <w:color w:val="FFFFFF"/>
                <w:sz w:val="19"/>
                <w:szCs w:val="19"/>
              </w:rPr>
              <w:t xml:space="preserve">Footer clock widget shows inconsistent time zone/format across pages</w:t>
            </w:r>
          </w:p>
        </w:tc>
        <w:tc>
          <w:tcPr>
            <w:tcW w:type="dxa" w:w="15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UI / Data consistency</w:t>
            </w:r>
          </w:p>
        </w:tc>
        <w:tc>
          <w:tcPr>
            <w:tcW w:type="dxa" w:w="1700"/>
            <w:shd w:fill="0F0F0F" w:val="clear"/>
            <w:tcMar>
              <w:top w:type="dxa" w:w="80"/>
              <w:left w:type="dxa" w:w="100"/>
              <w:bottom w:type="dxa" w:w="80"/>
              <w:right w:type="dxa" w:w="100"/>
            </w:tcMar>
            <w:vAlign w:val="center"/>
          </w:tcPr>
          <w:p>
            <w:pPr>
              <w:jc w:val="left"/>
            </w:pPr>
            <w:r>
              <w:rPr>
                <w:b/>
                <w:bCs/>
                <w:color w:val="CFCFCF"/>
                <w:sz w:val="19"/>
                <w:szCs w:val="19"/>
              </w:rPr>
              <w:t xml:space="preserve">Low / P3</w:t>
            </w:r>
          </w:p>
        </w:tc>
        <w:tc>
          <w:tcPr>
            <w:tcW w:type="dxa" w:w="38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The homepage footer clock reads “UTC 04:30:44” while every tool page's clock reads a differently-formatted local time, e.g. “14:31:15·Sat, 11 Jul 2026·Australia/Melbourne” (the auditing browser's system time zone). Steps: compare the clock string on “/” versus any /tools/* page. Expected: one consistent time source/format/timezone label sitewide, or an intentional design (e.g., always UTC, or always user-local with a consistent format) applied everywhere. Actual: two different formats/timezone conventions coexist. Likely cause: two different clock components were built at different times and never unified. Business impact: minor polish issue, but time/date widgets on a finance product are exactly the kind of detail that erodes trust in the numbers around them if they look inconsistent. Confidence: High (directly observed).</w:t>
            </w:r>
          </w:p>
        </w:tc>
        <w:tc>
          <w:tcPr>
            <w:tcW w:type="dxa" w:w="14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S</w:t>
            </w:r>
          </w:p>
        </w:tc>
      </w:tr>
      <w:tr>
        <w:tc>
          <w:tcPr>
            <w:tcW w:type="dxa" w:w="7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FX-04</w:t>
            </w:r>
          </w:p>
        </w:tc>
        <w:tc>
          <w:tcPr>
            <w:tcW w:type="dxa" w:w="1600"/>
            <w:shd w:fill="1B1B1B" w:val="clear"/>
            <w:tcMar>
              <w:top w:type="dxa" w:w="80"/>
              <w:left w:type="dxa" w:w="100"/>
              <w:bottom w:type="dxa" w:w="80"/>
              <w:right w:type="dxa" w:w="100"/>
            </w:tcMar>
            <w:vAlign w:val="center"/>
          </w:tcPr>
          <w:p>
            <w:pPr>
              <w:jc w:val="left"/>
            </w:pPr>
            <w:r>
              <w:rPr>
                <w:b/>
                <w:bCs/>
                <w:color w:val="FFFFFF"/>
                <w:sz w:val="19"/>
                <w:szCs w:val="19"/>
              </w:rPr>
              <w:t xml:space="preserve">Budget Builder accepts negative monthly income with no validation</w:t>
            </w:r>
          </w:p>
        </w:tc>
        <w:tc>
          <w:tcPr>
            <w:tcW w:type="dxa" w:w="15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QA / Input validation</w:t>
            </w:r>
          </w:p>
        </w:tc>
        <w:tc>
          <w:tcPr>
            <w:tcW w:type="dxa" w:w="1700"/>
            <w:shd w:fill="1B1B1B" w:val="clear"/>
            <w:tcMar>
              <w:top w:type="dxa" w:w="80"/>
              <w:left w:type="dxa" w:w="100"/>
              <w:bottom w:type="dxa" w:w="80"/>
              <w:right w:type="dxa" w:w="100"/>
            </w:tcMar>
            <w:vAlign w:val="center"/>
          </w:tcPr>
          <w:p>
            <w:pPr>
              <w:jc w:val="left"/>
            </w:pPr>
            <w:r>
              <w:rPr>
                <w:b/>
                <w:bCs/>
                <w:color w:val="FF6B6B"/>
                <w:sz w:val="19"/>
                <w:szCs w:val="19"/>
              </w:rPr>
              <w:t xml:space="preserve">High / P1</w:t>
            </w:r>
          </w:p>
        </w:tc>
        <w:tc>
          <w:tcPr>
            <w:tcW w:type="dxa" w:w="38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Steps: open /tools/budget, triple-click the “Monthly take-home income (₹)” field, type “-5000”, tab out. Expected: either the field rejects negative values (min=0 on the numeric input), or a clear inline error explains why a negative income is invalid. Actual: “-5000” is accepted and retained in the field; the Needs/Wants/Save percentage boxes silently recalculate their ₹ limits to ₹0 each with no error state or explanation, producing a budget screen that looks broken rather than clearly invalid. Likely cause: the numeric &lt;input&gt; lacks a min="0" constraint and the calculation layer has no guard for negative income. Business impact: a finance tool that silently produces nonsensical output on bad input undermines the core trust proposition of the product; also a likely source of confusing support requests. Confidence: High (directly reproduced with screenshot evidence).</w:t>
            </w:r>
          </w:p>
        </w:tc>
        <w:tc>
          <w:tcPr>
            <w:tcW w:type="dxa" w:w="14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S (add min=0 + inline validation message)</w:t>
            </w:r>
          </w:p>
        </w:tc>
      </w:tr>
      <w:tr>
        <w:tc>
          <w:tcPr>
            <w:tcW w:type="dxa" w:w="7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FX-05</w:t>
            </w:r>
          </w:p>
        </w:tc>
        <w:tc>
          <w:tcPr>
            <w:tcW w:type="dxa" w:w="1600"/>
            <w:shd w:fill="0F0F0F" w:val="clear"/>
            <w:tcMar>
              <w:top w:type="dxa" w:w="80"/>
              <w:left w:type="dxa" w:w="100"/>
              <w:bottom w:type="dxa" w:w="80"/>
              <w:right w:type="dxa" w:w="100"/>
            </w:tcMar>
            <w:vAlign w:val="center"/>
          </w:tcPr>
          <w:p>
            <w:pPr>
              <w:jc w:val="left"/>
            </w:pPr>
            <w:r>
              <w:rPr>
                <w:b/>
                <w:bCs/>
                <w:color w:val="FFFFFF"/>
                <w:sz w:val="19"/>
                <w:szCs w:val="19"/>
              </w:rPr>
              <w:t xml:space="preserve">Unknown routes return HTTP 200 instead of HTTP 404 (soft 404)</w:t>
            </w:r>
          </w:p>
        </w:tc>
        <w:tc>
          <w:tcPr>
            <w:tcW w:type="dxa" w:w="15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Technical SEO</w:t>
            </w:r>
          </w:p>
        </w:tc>
        <w:tc>
          <w:tcPr>
            <w:tcW w:type="dxa" w:w="1700"/>
            <w:shd w:fill="0F0F0F" w:val="clear"/>
            <w:tcMar>
              <w:top w:type="dxa" w:w="80"/>
              <w:left w:type="dxa" w:w="100"/>
              <w:bottom w:type="dxa" w:w="80"/>
              <w:right w:type="dxa" w:w="100"/>
            </w:tcMar>
            <w:vAlign w:val="center"/>
          </w:tcPr>
          <w:p>
            <w:pPr>
              <w:jc w:val="left"/>
            </w:pPr>
            <w:r>
              <w:rPr>
                <w:b/>
                <w:bCs/>
                <w:color w:val="FF6B6B"/>
                <w:sz w:val="19"/>
                <w:szCs w:val="19"/>
              </w:rPr>
              <w:t xml:space="preserve">Medium / P2</w:t>
            </w:r>
          </w:p>
        </w:tc>
        <w:tc>
          <w:tcPr>
            <w:tcW w:type="dxa" w:w="38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Steps: fetch any non-existent path, e.g. GET /this-page-does-not-exist. Expected: the server responds with HTTP status 404 (the visible page can still be a friendly, branded “Off the chart” screen — the issue is purely the status code). Actual: response status is 200 OK for the same friendly 404 content. Verified via direct fetch() of the route, status field = 200. Likely cause: the Cloudflare Worker / SPA fallback serves index.html for all unmatched paths without setting a 404 status. Business impact: search engines can index nonexistent/broken URLs as valid, diluting SEO and potentially indexing junk/typo URLs; also breaks any monitoring or uptime tooling that checks status codes rather than content. Confidence: High (verified via raw fetch, not just visual inspection).</w:t>
            </w:r>
          </w:p>
        </w:tc>
        <w:tc>
          <w:tcPr>
            <w:tcW w:type="dxa" w:w="14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S – M (set response.status = 404 in the Worker for unmatched routes)</w:t>
            </w:r>
          </w:p>
        </w:tc>
      </w:tr>
      <w:tr>
        <w:tc>
          <w:tcPr>
            <w:tcW w:type="dxa" w:w="7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FX-06</w:t>
            </w:r>
          </w:p>
        </w:tc>
        <w:tc>
          <w:tcPr>
            <w:tcW w:type="dxa" w:w="1600"/>
            <w:shd w:fill="1B1B1B" w:val="clear"/>
            <w:tcMar>
              <w:top w:type="dxa" w:w="80"/>
              <w:left w:type="dxa" w:w="100"/>
              <w:bottom w:type="dxa" w:w="80"/>
              <w:right w:type="dxa" w:w="100"/>
            </w:tcMar>
            <w:vAlign w:val="center"/>
          </w:tcPr>
          <w:p>
            <w:pPr>
              <w:jc w:val="left"/>
            </w:pPr>
            <w:r>
              <w:rPr>
                <w:b/>
                <w:bCs/>
                <w:color w:val="FFFFFF"/>
                <w:sz w:val="19"/>
                <w:szCs w:val="19"/>
              </w:rPr>
              <w:t xml:space="preserve">Login/signup forms show no custom validation message on empty submit</w:t>
            </w:r>
          </w:p>
        </w:tc>
        <w:tc>
          <w:tcPr>
            <w:tcW w:type="dxa" w:w="15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QA / Forms</w:t>
            </w:r>
          </w:p>
        </w:tc>
        <w:tc>
          <w:tcPr>
            <w:tcW w:type="dxa" w:w="1700"/>
            <w:shd w:fill="1B1B1B" w:val="clear"/>
            <w:tcMar>
              <w:top w:type="dxa" w:w="80"/>
              <w:left w:type="dxa" w:w="100"/>
              <w:bottom w:type="dxa" w:w="80"/>
              <w:right w:type="dxa" w:w="100"/>
            </w:tcMar>
            <w:vAlign w:val="center"/>
          </w:tcPr>
          <w:p>
            <w:pPr>
              <w:jc w:val="left"/>
            </w:pPr>
            <w:r>
              <w:rPr>
                <w:b/>
                <w:bCs/>
                <w:color w:val="CFCFCF"/>
                <w:sz w:val="19"/>
                <w:szCs w:val="19"/>
              </w:rPr>
              <w:t xml:space="preserve">Low / P3</w:t>
            </w:r>
          </w:p>
        </w:tc>
        <w:tc>
          <w:tcPr>
            <w:tcW w:type="dxa" w:w="38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Steps: open /login, click “Sign in” with both fields empty. Expected: a clear, on-brand inline error (e.g., “Email is required”) consistent with the rest of the product's custom-styled UI. Actual: the browser's native focus/tooltip validation applies (email field outlined and focused) but no custom in-product error text or styling was observed. Likely cause: relying on native HTML5 required validation without a custom error-message layer. Business impact: minor — native validation does work — but it is visually inconsistent with the otherwise fully custom-styled dark/gold UI, and native browser tooltips are not screen-reader-ideal or localizable. Confidence: Medium (confirmed the native behaviour; did not exhaustively test every field/error combination).</w:t>
            </w:r>
          </w:p>
        </w:tc>
        <w:tc>
          <w:tcPr>
            <w:tcW w:type="dxa" w:w="14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S</w:t>
            </w:r>
          </w:p>
        </w:tc>
      </w:tr>
    </w:tbl>
    <w:p>
      <w:pPr>
        <w:spacing w:after="160" w:line="300"/>
      </w:pPr>
      <w:r>
        <w:t xml:space="preserve"/>
      </w:r>
    </w:p>
    <w:p>
      <w:pPr>
        <w:pStyle w:val="Heading3"/>
        <w:spacing w:after="120" w:before="240"/>
      </w:pPr>
      <w:r>
        <w:t xml:space="preserve">Items flagged for engineering confirmation (not confirmed bugs)</w:t>
      </w:r>
    </w:p>
    <w:p>
      <w:pPr>
        <w:pStyle w:val="ListParagraph"/>
        <w:numPr>
          <w:ilvl w:val="0"/>
          <w:numId w:val="2"/>
        </w:numPr>
        <w:spacing w:after="90" w:line="280"/>
      </w:pPr>
      <w:r>
        <w:t xml:space="preserve">Cross-tool data sync for guests: the Privacy Policy states guest data “stays only in your browser's local storage,” and Expense Tracker's copy says categories “flow straight from your Budget Builder.” This pass's Expense Tracker showed ₹0 everywhere, but the Budget Builder session had been deliberately corrupted moments earlier by validation testing (FX-04), so this cannot be cleanly attributed to a bug. Recommend a clean re-test: set a real budget, immediately open Expense Tracker in the same guest session, and confirm categories/limits appear.</w:t>
      </w:r>
    </w:p>
    <w:p>
      <w:pPr>
        <w:pStyle w:val="ListParagraph"/>
        <w:numPr>
          <w:ilvl w:val="0"/>
          <w:numId w:val="2"/>
        </w:numPr>
        <w:spacing w:after="90" w:line="280"/>
      </w:pPr>
      <w:r>
        <w:t xml:space="preserve">Hosting-provider mismatch: the Privacy Policy names Netlify as the hosting processor, but the audited URL and asset/deploy patterns (finatrix-hub.workers.dev, manifest.webmanifest, Worker-style SPA fallback) are consistent with Cloudflare Workers/Pages, not Netlify. This may simply mean Netlify is used for a different environment or the policy text is stale post-migration — either way it should be reconciled, since an inaccurate sub-processor disclosure is a compliance issue under the DPDP Act/GDPR language the policy itself invokes.</w:t>
      </w:r>
    </w:p>
    <w:p>
      <w:pPr>
        <w:pStyle w:val="Heading1"/>
        <w:spacing w:after="200" w:before="400"/>
      </w:pPr>
      <w:r>
        <w:t xml:space="preserve">4. User Experience Review</w:t>
      </w:r>
    </w:p>
    <w:p>
      <w:pPr>
        <w:pStyle w:val="Heading2"/>
        <w:spacing w:after="150" w:before="300"/>
      </w:pPr>
      <w:r>
        <w:t xml:space="preserve">First impression &amp; trust</w:t>
      </w:r>
    </w:p>
    <w:p>
      <w:pPr>
        <w:spacing w:after="160" w:line="300"/>
      </w:pPr>
      <w:r>
        <w:t xml:space="preserve">The homepage communicates a lot in a small space: seven distinct tools, a clear “Made in India,” “Privacy first,” “Free forever” value stack, and a premium dark/gold visual identity that reads as more polished than most free finance-tool sites. The “Educational tools · not financial advice” disclaimer is present sitewide, which is good practice for a product in a regulated-adjacent space and will matter for any compliance review ahead of a wider launch.</w:t>
      </w:r>
    </w:p>
    <w:p>
      <w:pPr>
        <w:spacing w:after="160" w:line="300"/>
      </w:pPr>
      <w:r>
        <w:t xml:space="preserve">The immediate first-load modal (FX-01) works directly against that first impression: it interrupts the hero before the visitor has read anything, which is the opposite of how the rest of the page is clearly trying to build trust progressively (badges, then tool grid, then value props, then a second, better-justified CTA at the bottom of the page that already has this exact “create account / login / guest” choice available on-page, without a modal).</w:t>
      </w:r>
    </w:p>
    <w:p>
      <w:pPr>
        <w:pStyle w:val="Heading2"/>
        <w:spacing w:after="150" w:before="300"/>
      </w:pPr>
      <w:r>
        <w:t xml:space="preserve">Information architecture</w:t>
      </w:r>
    </w:p>
    <w:p>
      <w:pPr>
        <w:spacing w:after="160" w:line="300"/>
      </w:pPr>
      <w:r>
        <w:t xml:space="preserve">The seven-tool structure is legible and consistent: every tool page uses the same breadcrumb, the same tool-switcher pill bar, and the same currency selector, so lateral navigation between tools is fast once a user is inside the tool experience. The one structural gap is the /tools hub itself (FX-02) — there is no page that simply lists and links the seven tools with a one-line description each, even though the homepage already has that exact content in its showcase grid. Reusing that grid as the actual /tools destination would fix the redirect bug and give the IA a genuine index page.</w:t>
      </w:r>
    </w:p>
    <w:p>
      <w:pPr>
        <w:pStyle w:val="Heading2"/>
        <w:spacing w:after="150" w:before="300"/>
      </w:pPr>
      <w:r>
        <w:t xml:space="preserve">Cognitive load &amp; form length</w:t>
      </w:r>
    </w:p>
    <w:p>
      <w:pPr>
        <w:spacing w:after="160" w:line="300"/>
      </w:pPr>
      <w:r>
        <w:t xml:space="preserve">Most tools (ParkSmart, PeerCompare, Reverse Goal Planner) are appropriately short, single-screen forms. Budget Builder and Expense Tracker use good progressive disclosure (categories are pre-seeded, limits appear as you type). LifeMap is the outlier: it presents roughly a dozen fields plus a multi-select goal picker on one continuous scroll with no section breaks, progress indicator, or save-and-resume affordance. Given LifeMap is explicitly positioned as the flagship, most-ambitious tool (“Simulate your entire financial life”), its completion rate is disproportionately important, and long single-screen forms are a well-established source of abandonment — this is worth a dedicated UX pass (see §9).</w:t>
      </w:r>
    </w:p>
    <w:p>
      <w:pPr>
        <w:pStyle w:val="Heading2"/>
        <w:spacing w:after="150" w:before="300"/>
      </w:pPr>
      <w:r>
        <w:t xml:space="preserve">Educational effectiveness</w:t>
      </w:r>
    </w:p>
    <w:p>
      <w:pPr>
        <w:spacing w:after="160" w:line="300"/>
      </w:pPr>
      <w:r>
        <w:t xml:space="preserve">Inline helper text is used well in places — e.g. Budget Builder's “Include all loan EMIs in monthly expenses. Savings and investments are entered separately below — don't double-count” directly prevents a common user error. This pattern is not consistently applied across all tools (ParkSmart and PeerCompare have minimal inline guidance) and would benefit from being standardised as a design-system component (see §6).</w:t>
      </w:r>
    </w:p>
    <w:p>
      <w:pPr>
        <w:pStyle w:val="Heading1"/>
        <w:spacing w:after="200" w:before="400"/>
      </w:pPr>
      <w:r>
        <w:t xml:space="preserve">5. UI Design Review</w:t>
      </w:r>
    </w:p>
    <w:p>
      <w:pPr>
        <w:spacing w:after="160" w:line="300"/>
      </w:pPr>
      <w:r>
        <w:t xml:space="preserve">The dark charcoal/near-black background with a warm gold (~#D4AF37) accent, monospace-influenced logo wordmark and generous card spacing gives FinatriX a distinctive, premium feel that stands out from typical light-blue “fintech SaaS” templates. Card corner radii, button pill shapes and the badge/chip styling (currency selector, tool pills, breadcrumbs) are consistent across every page sampled in this audit — a real sign of a maintained design system rather than ad hoc page-by-page styling.</w:t>
      </w:r>
    </w:p>
    <w:p>
      <w:pPr>
        <w:pStyle w:val="Heading3"/>
        <w:spacing w:after="120" w:before="240"/>
      </w:pPr>
      <w:r>
        <w:t xml:space="preserve">Specific UI observations</w:t>
      </w:r>
    </w:p>
    <w:p>
      <w:pPr>
        <w:pStyle w:val="ListParagraph"/>
        <w:numPr>
          <w:ilvl w:val="0"/>
          <w:numId w:val="2"/>
        </w:numPr>
        <w:spacing w:after="90" w:line="280"/>
      </w:pPr>
      <w:r>
        <w:t xml:space="preserve">Typography hierarchy on tool pages is visually strong (large serif/sans display headline, muted subhead) but is not backed by correct semantic heading tags — see §12, this is a design-system-to-markup gap, not a visual defect.</w:t>
      </w:r>
    </w:p>
    <w:p>
      <w:pPr>
        <w:pStyle w:val="ListParagraph"/>
        <w:numPr>
          <w:ilvl w:val="0"/>
          <w:numId w:val="2"/>
        </w:numPr>
        <w:spacing w:after="90" w:line="280"/>
      </w:pPr>
      <w:r>
        <w:t xml:space="preserve">Secondary/muted text (timestamps, “Not filled,” breadcrumb items) uses a grey that measured as low as 2.87:1 against the background in this pass — visually it reads as intentionally subdued, but it crosses from “subtle” into “hard to read” for low-vision users (§12).</w:t>
      </w:r>
    </w:p>
    <w:p>
      <w:pPr>
        <w:pStyle w:val="ListParagraph"/>
        <w:numPr>
          <w:ilvl w:val="0"/>
          <w:numId w:val="2"/>
        </w:numPr>
        <w:spacing w:after="90" w:line="280"/>
      </w:pPr>
      <w:r>
        <w:t xml:space="preserve">The homepage's badge row (“40 CURRENCIES,” “MADE IN INDIA,” “PRIVACY FIRST,” “FREE FOREVER,” etc.) is a strong trust-building pattern and reads well at desktop width; its wrapping behaviour at narrow widths was not exhaustively verified beyond the single mobile screenshot taken in §8 and should be spot-checked.</w:t>
      </w:r>
    </w:p>
    <w:p>
      <w:pPr>
        <w:pStyle w:val="ListParagraph"/>
        <w:numPr>
          <w:ilvl w:val="0"/>
          <w:numId w:val="2"/>
        </w:numPr>
        <w:spacing w:after="90" w:line="280"/>
      </w:pPr>
      <w:r>
        <w:t xml:space="preserve">The “Loading…” state between route navigations is unstyled: it is plain, unpositioned text on a flat black background rather than a skeleton screen or branded spinner (§8). On a product whose visual identity is otherwise this considered, the loading state is the weakest link in perceived quality.</w:t>
      </w:r>
    </w:p>
    <w:p>
      <w:pPr>
        <w:pStyle w:val="ListParagraph"/>
        <w:numPr>
          <w:ilvl w:val="0"/>
          <w:numId w:val="2"/>
        </w:numPr>
        <w:spacing w:after="90" w:line="280"/>
      </w:pPr>
      <w:r>
        <w:t xml:space="preserve">Empty states (Expense Tracker with ₹0 everywhere, “Nothing logged for July 2026 yet”) are clear and correctly worded, though purely textual — a small illustration or icon here would match the polish of the rest of the product.</w:t>
      </w:r>
    </w:p>
    <w:p>
      <w:pPr>
        <w:pStyle w:val="Heading1"/>
        <w:spacing w:after="200" w:before="400"/>
      </w:pPr>
      <w:r>
        <w:t xml:space="preserve">6. Accessibility Review (WCAG 2.2 AA)</w:t>
      </w:r>
    </w:p>
    <w:p>
      <w:pPr>
        <w:spacing w:after="160" w:line="300"/>
      </w:pPr>
      <w:r>
        <w:t xml:space="preserve">This is a targeted, evidence-based pass (DOM inspection, computed-style contrast calculation, heading/landmark structure), not a full manual screen-reader walkthrough or automated axe-core/Lighthouse audit. Both of those should be run before any accessibility conformance claim is made publicly — see §19.</w:t>
      </w:r>
    </w:p>
    <w:p>
      <w:pPr>
        <w:pStyle w:val="Heading3"/>
        <w:spacing w:after="120" w:before="240"/>
      </w:pPr>
      <w:r>
        <w:t xml:space="preserve">Confirmed issues</w:t>
      </w:r>
    </w:p>
    <w:p>
      <w:pPr>
        <w:pStyle w:val="ListParagraph"/>
        <w:numPr>
          <w:ilvl w:val="0"/>
          <w:numId w:val="2"/>
        </w:numPr>
        <w:spacing w:after="90" w:line="280"/>
      </w:pPr>
      <w:r>
        <w:rPr>
          <w:b/>
          <w:bCs/>
        </w:rPr>
        <w:t xml:space="preserve">A6-1 (Blocker) — Unlabelled form fields on Budget Builder. </w:t>
      </w:r>
      <w:r>
        <w:t xml:space="preserve">Programmatic inspection of /tools/budget found 28 form inputs, of which 23 have no &lt;label for&gt;, aria-label, or aria-labelledby association. Sighted users infer field purpose from visual proximity to a text heading, but this fails WCAG 2.2 SC 1.3.1 (Info and Relationships) and 4.1.2 (Name, Role, Value) — a screen-reader user tabbing through the form will hear unnamed ‘edit text’ controls with no indication of what each one is for. Given this is the flagship, first-tried tool, this should be treated as launch-blocking for any accessibility claim.</w:t>
      </w:r>
    </w:p>
    <w:p>
      <w:pPr>
        <w:pStyle w:val="ListParagraph"/>
        <w:numPr>
          <w:ilvl w:val="0"/>
          <w:numId w:val="2"/>
        </w:numPr>
        <w:spacing w:after="90" w:line="280"/>
      </w:pPr>
      <w:r>
        <w:rPr>
          <w:b/>
          <w:bCs/>
        </w:rPr>
        <w:t xml:space="preserve">A6-2 (Serious) — No page-level &lt;h1&gt; on any tool page. </w:t>
      </w:r>
      <w:r>
        <w:t xml:space="preserve">DOM inspection of /tools/budget (and, by the consistent template, every other /tools/* page) found zero &lt;h1&gt; elements — only an &lt;h2&gt; (“The 50/30/20 rule, made effortless.”) as the top heading. WCAG 2.2 doesn't mandate exactly one H1, but its absence, combined with skipping straight to H2, breaks the predictable heading-hierarchy navigation screen-reader users rely on (jumping by heading level), and is also an SEO best-practice gap (§14).</w:t>
      </w:r>
    </w:p>
    <w:p>
      <w:pPr>
        <w:pStyle w:val="ListParagraph"/>
        <w:numPr>
          <w:ilvl w:val="0"/>
          <w:numId w:val="2"/>
        </w:numPr>
        <w:spacing w:after="90" w:line="280"/>
      </w:pPr>
      <w:r>
        <w:rPr>
          <w:b/>
          <w:bCs/>
        </w:rPr>
        <w:t xml:space="preserve">A6-3 (Serious) — Below-AA text contrast. </w:t>
      </w:r>
      <w:r>
        <w:t xml:space="preserve">A programmatic luminance-contrast check of visible text against its background on /tools/budget found multiple text nodes below the WCAG AA 4.5:1 minimum for normal text: secondary labels (“Current month,” “Recommended: 50/30/20,” “Not filled”) at rgb(107,107,112) measured 3.74:1, and breadcrumb items (“Tools,” “Careers”) at rgb(90,90,90) measured 2.87:1. Both fail SC 1.4.3.</w:t>
      </w:r>
    </w:p>
    <w:p>
      <w:pPr>
        <w:pStyle w:val="ListParagraph"/>
        <w:numPr>
          <w:ilvl w:val="0"/>
          <w:numId w:val="2"/>
        </w:numPr>
        <w:spacing w:after="90" w:line="280"/>
      </w:pPr>
      <w:r>
        <w:rPr>
          <w:b/>
          <w:bCs/>
        </w:rPr>
        <w:t xml:space="preserve">A6-4 (Moderate) — No visible skip-link destination verified. </w:t>
      </w:r>
      <w:r>
        <w:t xml:space="preserve">Every page includes a “Skip to content” link in the accessibility tree (good practice, present sitewide), but its landing behaviour and focus handling were not verified with keyboard-only navigation in this pass — recommend a manual Tab-key walkthrough.</w:t>
      </w:r>
    </w:p>
    <w:p>
      <w:pPr>
        <w:pStyle w:val="Heading3"/>
        <w:spacing w:after="120" w:before="240"/>
      </w:pPr>
      <w:r>
        <w:t xml:space="preserve">Positive findings</w:t>
      </w:r>
    </w:p>
    <w:p>
      <w:pPr>
        <w:pStyle w:val="ListParagraph"/>
        <w:numPr>
          <w:ilvl w:val="0"/>
          <w:numId w:val="2"/>
        </w:numPr>
        <w:spacing w:after="90" w:line="280"/>
      </w:pPr>
      <w:r>
        <w:t xml:space="preserve">All 12 interactive buttons sampled on the Budget Builder page had a computed accessible name (via aria-label, title, or text content) — icon-only controls were not found unlabeled in this sample.</w:t>
      </w:r>
    </w:p>
    <w:p>
      <w:pPr>
        <w:pStyle w:val="ListParagraph"/>
        <w:numPr>
          <w:ilvl w:val="0"/>
          <w:numId w:val="2"/>
        </w:numPr>
        <w:spacing w:after="90" w:line="280"/>
      </w:pPr>
      <w:r>
        <w:t xml:space="preserve">All links sampled had accessible names; no bare “click here” style link text was found.</w:t>
      </w:r>
    </w:p>
    <w:p>
      <w:pPr>
        <w:pStyle w:val="ListParagraph"/>
        <w:numPr>
          <w:ilvl w:val="0"/>
          <w:numId w:val="2"/>
        </w:numPr>
        <w:spacing w:after="90" w:line="280"/>
      </w:pPr>
      <w:r>
        <w:t xml:space="preserve">lang="en" is correctly set on &lt;html&gt;, and all images sampled had non-empty alt attributes.</w:t>
      </w:r>
    </w:p>
    <w:p>
      <w:pPr>
        <w:pStyle w:val="ListParagraph"/>
        <w:numPr>
          <w:ilvl w:val="0"/>
          <w:numId w:val="2"/>
        </w:numPr>
        <w:spacing w:after="90" w:line="280"/>
      </w:pPr>
      <w:r>
        <w:t xml:space="preserve">The color palette's primary gold-on-black CTA buttons (e.g. “SIGN IN,” “CREATE ACCOUNT”) use near-black text on gold, which is a high-contrast combination and reads well — the contrast problem in this audit is confined to secondary/muted text, not primary actions.</w:t>
      </w:r>
    </w:p>
    <w:p>
      <w:pPr>
        <w:pStyle w:val="Heading3"/>
        <w:spacing w:after="120" w:before="240"/>
      </w:pPr>
      <w:r>
        <w:t xml:space="preserve">Requires manual validation</w:t>
      </w:r>
    </w:p>
    <w:p>
      <w:pPr>
        <w:pStyle w:val="ListParagraph"/>
        <w:numPr>
          <w:ilvl w:val="0"/>
          <w:numId w:val="2"/>
        </w:numPr>
        <w:spacing w:after="90" w:line="280"/>
      </w:pPr>
      <w:r>
        <w:t xml:space="preserve">Full keyboard-only traversal of all 7 tools (tab order, focus visibility, trap-free modals).</w:t>
      </w:r>
    </w:p>
    <w:p>
      <w:pPr>
        <w:pStyle w:val="ListParagraph"/>
        <w:numPr>
          <w:ilvl w:val="0"/>
          <w:numId w:val="2"/>
        </w:numPr>
        <w:spacing w:after="90" w:line="280"/>
      </w:pPr>
      <w:r>
        <w:t xml:space="preserve">Screen reader pass (VoiceOver/NVDA) on at least Budget Builder and LifeMap end-to-end.</w:t>
      </w:r>
    </w:p>
    <w:p>
      <w:pPr>
        <w:pStyle w:val="ListParagraph"/>
        <w:numPr>
          <w:ilvl w:val="0"/>
          <w:numId w:val="2"/>
        </w:numPr>
        <w:spacing w:after="90" w:line="280"/>
      </w:pPr>
      <w:r>
        <w:t xml:space="preserve">Reduced-motion and zoom-to-400% behaviour.</w:t>
      </w:r>
    </w:p>
    <w:p>
      <w:pPr>
        <w:pStyle w:val="ListParagraph"/>
        <w:numPr>
          <w:ilvl w:val="0"/>
          <w:numId w:val="2"/>
        </w:numPr>
        <w:spacing w:after="90" w:line="280"/>
      </w:pPr>
      <w:r>
        <w:t xml:space="preserve">A full automated axe-core or Lighthouse accessibility audit across all routes, both guest and signed-in.</w:t>
      </w:r>
    </w:p>
    <w:p>
      <w:pPr>
        <w:pStyle w:val="Heading1"/>
        <w:spacing w:after="200" w:before="400"/>
      </w:pPr>
      <w:r>
        <w:t xml:space="preserve">7. Performance Review</w:t>
      </w:r>
    </w:p>
    <w:p>
      <w:pPr>
        <w:spacing w:after="160" w:line="300"/>
      </w:pPr>
      <w:r>
        <w:t xml:space="preserve">No Lighthouse/WebPageTest run was performed in this environment — the numbers below are direct, first-hand observations from live navigation, not synthetic lab scores, and should be supplemented with a real Lighthouse/Core Web Vitals pass before any performance claim is made (§19).</w:t>
      </w:r>
    </w:p>
    <w:p>
      <w:pPr>
        <w:pStyle w:val="Heading3"/>
        <w:spacing w:after="120" w:before="240"/>
      </w:pPr>
      <w:r>
        <w:t xml:space="preserve">Directly observed</w:t>
      </w:r>
    </w:p>
    <w:p>
      <w:pPr>
        <w:pStyle w:val="ListParagraph"/>
        <w:numPr>
          <w:ilvl w:val="0"/>
          <w:numId w:val="2"/>
        </w:numPr>
        <w:spacing w:after="90" w:line="280"/>
      </w:pPr>
      <w:r>
        <w:t xml:space="preserve">Every direct navigation to a /tools/* route (as opposed to an in-app link click) produces a flat black screen with plain unstyled “Loading…” text for roughly 1–2 seconds before content paints. This was reproduced consistently across /tools, /tools/budget, /tools/expenses and others. This is very likely route-level code-splitting (separate JS chunks were observed per tool: Home-*.js, tools-*.js, etc., which is good for initial bundle size) without a matching loading skeleton — the trade-off of code-splitting (smaller initial download) is currently being paid entirely in perceived-performance terms, with a jarring blank flash rather than a branded placeholder.</w:t>
      </w:r>
    </w:p>
    <w:p>
      <w:pPr>
        <w:pStyle w:val="ListParagraph"/>
        <w:numPr>
          <w:ilvl w:val="0"/>
          <w:numId w:val="2"/>
        </w:numPr>
        <w:spacing w:after="90" w:line="280"/>
      </w:pPr>
      <w:r>
        <w:t xml:space="preserve">The initial homepage load pulls 15 network requests including two custom variable fonts (Geist / Geist Mono, woff2), a React vendor chunk, a Supabase client chunk, and an app CSS bundle — a reasonable, modern set for a React SPA; nothing pathological was observed in request count.</w:t>
      </w:r>
    </w:p>
    <w:p>
      <w:pPr>
        <w:pStyle w:val="ListParagraph"/>
        <w:numPr>
          <w:ilvl w:val="0"/>
          <w:numId w:val="2"/>
        </w:numPr>
        <w:spacing w:after="90" w:line="280"/>
      </w:pPr>
      <w:r>
        <w:t xml:space="preserve">The homepage logo image (images/finatrix-logo.png) was observed loading twice in the network log for a single page view — worth a quick check for a duplicate &lt;img&gt; or duplicate preload tag.</w:t>
      </w:r>
    </w:p>
    <w:p>
      <w:pPr>
        <w:pStyle w:val="Heading3"/>
        <w:spacing w:after="120" w:before="240"/>
      </w:pPr>
      <w:r>
        <w:t xml:space="preserve">Requires manual validation</w:t>
      </w:r>
    </w:p>
    <w:p>
      <w:pPr>
        <w:pStyle w:val="ListParagraph"/>
        <w:numPr>
          <w:ilvl w:val="0"/>
          <w:numId w:val="2"/>
        </w:numPr>
        <w:spacing w:after="90" w:line="280"/>
      </w:pPr>
      <w:r>
        <w:t xml:space="preserve">Core Web Vitals (LCP, CLS, INP) via Lighthouse or CrUX — not measurable from this environment's cached, single-session navigation.</w:t>
      </w:r>
    </w:p>
    <w:p>
      <w:pPr>
        <w:pStyle w:val="ListParagraph"/>
        <w:numPr>
          <w:ilvl w:val="0"/>
          <w:numId w:val="2"/>
        </w:numPr>
        <w:spacing w:after="90" w:line="280"/>
      </w:pPr>
      <w:r>
        <w:t xml:space="preserve">Real 3G/4G throttled load testing, particularly relevant given the target market includes users on mid-range Indian mobile networks.</w:t>
      </w:r>
    </w:p>
    <w:p>
      <w:pPr>
        <w:pStyle w:val="ListParagraph"/>
        <w:numPr>
          <w:ilvl w:val="0"/>
          <w:numId w:val="2"/>
        </w:numPr>
        <w:spacing w:after="90" w:line="280"/>
      </w:pPr>
      <w:r>
        <w:t xml:space="preserve">Image format/compression audit (are PNG/JPG assets served as WebP/AVIF where supported?) — the sampled logo asset was a .png; whether this is optimised was not verified.</w:t>
      </w:r>
    </w:p>
    <w:p>
      <w:pPr>
        <w:pStyle w:val="ListParagraph"/>
        <w:numPr>
          <w:ilvl w:val="0"/>
          <w:numId w:val="2"/>
        </w:numPr>
        <w:spacing w:after="90" w:line="280"/>
      </w:pPr>
      <w:r>
        <w:t xml:space="preserve">Whether the black-screen “Loading…” gap in §7 (bullet 1) is worse on slower connections/devices than observed here.</w:t>
      </w:r>
    </w:p>
    <w:p>
      <w:pPr>
        <w:pStyle w:val="Heading1"/>
        <w:spacing w:after="200" w:before="400"/>
      </w:pPr>
      <w:r>
        <w:t xml:space="preserve">8. SEO Review</w:t>
      </w:r>
    </w:p>
    <w:p>
      <w:pPr>
        <w:pStyle w:val="Heading3"/>
        <w:spacing w:after="120" w:before="240"/>
      </w:pPr>
      <w:r>
        <w:t xml:space="preserve">Homepage: solid fundamentals</w:t>
      </w:r>
    </w:p>
    <w:p>
      <w:pPr>
        <w:pStyle w:val="ListParagraph"/>
        <w:numPr>
          <w:ilvl w:val="0"/>
          <w:numId w:val="2"/>
        </w:numPr>
        <w:spacing w:after="90" w:line="280"/>
      </w:pPr>
      <w:r>
        <w:t xml:space="preserve">&lt;title&gt;: “FinatriX — Smart Money Tools for India” — descriptive and keyword-relevant.</w:t>
      </w:r>
    </w:p>
    <w:p>
      <w:pPr>
        <w:pStyle w:val="ListParagraph"/>
        <w:numPr>
          <w:ilvl w:val="0"/>
          <w:numId w:val="2"/>
        </w:numPr>
        <w:spacing w:after="90" w:line="280"/>
      </w:pPr>
      <w:r>
        <w:t xml:space="preserve">Meta description present and well-written, name-checking all 7 tools.</w:t>
      </w:r>
    </w:p>
    <w:p>
      <w:pPr>
        <w:pStyle w:val="ListParagraph"/>
        <w:numPr>
          <w:ilvl w:val="0"/>
          <w:numId w:val="2"/>
        </w:numPr>
        <w:spacing w:after="90" w:line="280"/>
      </w:pPr>
      <w:r>
        <w:t xml:space="preserve">Canonical tag present, correctly pointing to https://finatrix.online/ even from the preview domain — this is exactly right practice for a staging deploy.</w:t>
      </w:r>
    </w:p>
    <w:p>
      <w:pPr>
        <w:pStyle w:val="ListParagraph"/>
        <w:numPr>
          <w:ilvl w:val="0"/>
          <w:numId w:val="2"/>
        </w:numPr>
        <w:spacing w:after="90" w:line="280"/>
      </w:pPr>
      <w:r>
        <w:t xml:space="preserve">Open Graph (title, description, image) and a Twitter summary_large_image card are all present — link previews on social/Slack/WhatsApp should render correctly.</w:t>
      </w:r>
    </w:p>
    <w:p>
      <w:pPr>
        <w:pStyle w:val="ListParagraph"/>
        <w:numPr>
          <w:ilvl w:val="0"/>
          <w:numId w:val="2"/>
        </w:numPr>
        <w:spacing w:after="90" w:line="280"/>
      </w:pPr>
      <w:r>
        <w:t xml:space="preserve">Exactly one &lt;h1&gt; (“FinatriX”) on the homepage, and one JSON-LD structured-data block is present.</w:t>
      </w:r>
    </w:p>
    <w:p>
      <w:pPr>
        <w:pStyle w:val="Heading3"/>
        <w:spacing w:after="120" w:before="240"/>
      </w:pPr>
      <w:r>
        <w:t xml:space="preserve">Confirmed gaps</w:t>
      </w:r>
    </w:p>
    <w:p>
      <w:pPr>
        <w:pStyle w:val="ListParagraph"/>
        <w:numPr>
          <w:ilvl w:val="0"/>
          <w:numId w:val="2"/>
        </w:numPr>
        <w:spacing w:after="90" w:line="280"/>
      </w:pPr>
      <w:r>
        <w:rPr>
          <w:b/>
          <w:bCs/>
        </w:rPr>
        <w:t xml:space="preserve">S8-1 — Sitemap omits the product itself. </w:t>
      </w:r>
      <w:r>
        <w:t xml:space="preserve">/sitemap.xml lists only 4 URLs: the homepage, /tools, /privacy and /terms. None of the 7 individual tool pages (/tools/budget, /tools/lifemap, etc.) or /careers are listed, despite these being the pages most likely to rank for high-intent queries like “50/30/20 budget calculator India” or “SIP goal calculator.” This is very likely the single highest-leverage SEO fix available on the site.</w:t>
      </w:r>
    </w:p>
    <w:p>
      <w:pPr>
        <w:pStyle w:val="ListParagraph"/>
        <w:numPr>
          <w:ilvl w:val="0"/>
          <w:numId w:val="2"/>
        </w:numPr>
        <w:spacing w:after="90" w:line="280"/>
      </w:pPr>
      <w:r>
        <w:rPr>
          <w:b/>
          <w:bCs/>
        </w:rPr>
        <w:t xml:space="preserve">S8-2 — Soft 404s (see Bug FX-05). </w:t>
      </w:r>
      <w:r>
        <w:t xml:space="preserve">Because unmatched routes return HTTP 200, any malformed or old URL that gets crawled or linked externally will be indexed as a real page with thin/duplicate content, diluting the site's overall quality signal to search engines.</w:t>
      </w:r>
    </w:p>
    <w:p>
      <w:pPr>
        <w:pStyle w:val="ListParagraph"/>
        <w:numPr>
          <w:ilvl w:val="0"/>
          <w:numId w:val="2"/>
        </w:numPr>
        <w:spacing w:after="90" w:line="280"/>
      </w:pPr>
      <w:r>
        <w:rPr>
          <w:b/>
          <w:bCs/>
        </w:rPr>
        <w:t xml:space="preserve">S8-3 — Missing per-page H1 and unverified per-page meta tags. </w:t>
      </w:r>
      <w:r>
        <w:t xml:space="preserve">The homepage's SEO metadata is strong, but the tool pages (the actual long-tail acquisition surface) were only verified for heading structure, not for whether each has its own unique &lt;title&gt;/description/canonical — browser tab titles observed did change per page (e.g. “Budget Builder — FinatriX”), which is a good sign, but full meta-tag-per-route verification is recommended.</w:t>
      </w:r>
    </w:p>
    <w:p>
      <w:pPr>
        <w:pStyle w:val="Heading3"/>
        <w:spacing w:after="120" w:before="240"/>
      </w:pPr>
      <w:r>
        <w:t xml:space="preserve">Requires manual validation</w:t>
      </w:r>
    </w:p>
    <w:p>
      <w:pPr>
        <w:pStyle w:val="ListParagraph"/>
        <w:numPr>
          <w:ilvl w:val="0"/>
          <w:numId w:val="2"/>
        </w:numPr>
        <w:spacing w:after="90" w:line="280"/>
      </w:pPr>
      <w:r>
        <w:t xml:space="preserve">robots.txt correctly disallows /profile (sensible — keeps private account pages out of the index) but should be reviewed for completeness once the full authenticated route map is known.</w:t>
      </w:r>
    </w:p>
    <w:p>
      <w:pPr>
        <w:pStyle w:val="ListParagraph"/>
        <w:numPr>
          <w:ilvl w:val="0"/>
          <w:numId w:val="2"/>
        </w:numPr>
        <w:spacing w:after="90" w:line="280"/>
      </w:pPr>
      <w:r>
        <w:t xml:space="preserve">Keyword research and content-depth strategy for each tool's landing copy — currently each tool has one strong headline sentence and a short subhead, which is good UX copy but thin for long-form SEO content; consider whether each tool page should carry supporting educational copy (e.g., “what is the 50/30/20 rule”) for organic search.”</w:t>
      </w:r>
    </w:p>
    <w:p>
      <w:pPr>
        <w:pStyle w:val="Heading1"/>
        <w:spacing w:after="200" w:before="400"/>
      </w:pPr>
      <w:r>
        <w:t xml:space="preserve">9. Security Review</w:t>
      </w:r>
    </w:p>
    <w:p>
      <w:pPr>
        <w:spacing w:after="160" w:line="300"/>
      </w:pPr>
      <w:r>
        <w:t xml:space="preserve">This is a front-end-observable security review only. No penetration testing, authenticated-session testing, or backend/API review was performed or is appropriate from this environment — see §19 for what a proper security review should additionally cover.</w:t>
      </w:r>
    </w:p>
    <w:p>
      <w:pPr>
        <w:pStyle w:val="Heading3"/>
        <w:spacing w:after="120" w:before="240"/>
      </w:pPr>
      <w:r>
        <w:t xml:space="preserve">Observed and reviewed</w:t>
      </w:r>
    </w:p>
    <w:p>
      <w:pPr>
        <w:pStyle w:val="ListParagraph"/>
        <w:numPr>
          <w:ilvl w:val="0"/>
          <w:numId w:val="2"/>
        </w:numPr>
        <w:spacing w:after="90" w:line="280"/>
      </w:pPr>
      <w:r>
        <w:t xml:space="preserve">The site is served over HTTPS on both the preview (workers.dev) and canonical (finatrix.online, per canonical tag) domains.</w:t>
      </w:r>
    </w:p>
    <w:p>
      <w:pPr>
        <w:pStyle w:val="ListParagraph"/>
        <w:numPr>
          <w:ilvl w:val="0"/>
          <w:numId w:val="2"/>
        </w:numPr>
        <w:spacing w:after="90" w:line="280"/>
      </w:pPr>
      <w:r>
        <w:t xml:space="preserve">The client bundle contains a Supabase project URL and a “publishable” anon key (sb_publishable_…). This is expected and by design for a Supabase client app — the publishable key is meant to be public. Its safety depends entirely on Supabase Row-Level Security (RLS) policies being correctly configured server-side, which cannot be verified from the browser. The site's own Privacy Policy states “database access is protected by row-level security so that each account can only read and write its own data” — this is a good, explicit commitment, but it is self-reported and was not independently verified against actual Supabase policy configuration in this pass.</w:t>
      </w:r>
    </w:p>
    <w:p>
      <w:pPr>
        <w:pStyle w:val="ListParagraph"/>
        <w:numPr>
          <w:ilvl w:val="0"/>
          <w:numId w:val="2"/>
        </w:numPr>
        <w:spacing w:after="90" w:line="280"/>
      </w:pPr>
      <w:r>
        <w:t xml:space="preserve">Automated response-header inspection (Content-Security-Policy, Strict-Transport-Security, X-Frame-Options, X-Content-Type-Options, etc.) was attempted but blocked by this audit environment's own tooling restrictions on reading fetch() response headers — this must be manually verified, e.g. via browser DevTools Network tab or securityheaders.com, before launch.</w:t>
      </w:r>
    </w:p>
    <w:p>
      <w:pPr>
        <w:pStyle w:val="ListParagraph"/>
        <w:numPr>
          <w:ilvl w:val="0"/>
          <w:numId w:val="2"/>
        </w:numPr>
        <w:spacing w:after="90" w:line="280"/>
      </w:pPr>
      <w:r>
        <w:t xml:space="preserve">No obvious secrets (private API keys, service-role keys, hardcoded credentials) were found in the fetched JS bundles beyond the expected public Supabase anon key.</w:t>
      </w:r>
    </w:p>
    <w:p>
      <w:pPr>
        <w:pStyle w:val="ListParagraph"/>
        <w:numPr>
          <w:ilvl w:val="0"/>
          <w:numId w:val="2"/>
        </w:numPr>
        <w:spacing w:after="90" w:line="280"/>
      </w:pPr>
      <w:r>
        <w:t xml:space="preserve">The signup form correctly requires explicit consent (“I agree to the Terms &amp; Conditions and Privacy Policy…”) before account creation, and the Privacy Policy explicitly addresses DPDP Act (India) and GDPR rights, data retention, and a named contact for data requests — unusually mature documentation for this product stage.</w:t>
      </w:r>
    </w:p>
    <w:p>
      <w:pPr>
        <w:pStyle w:val="Heading3"/>
        <w:spacing w:after="120" w:before="240"/>
      </w:pPr>
      <w:r>
        <w:t xml:space="preserve">Requires manual validation — do not skip before enterprise/investor claims</w:t>
      </w:r>
    </w:p>
    <w:p>
      <w:pPr>
        <w:pStyle w:val="ListParagraph"/>
        <w:numPr>
          <w:ilvl w:val="0"/>
          <w:numId w:val="2"/>
        </w:numPr>
        <w:spacing w:after="90" w:line="280"/>
      </w:pPr>
      <w:r>
        <w:t xml:space="preserve">Independent verification of Supabase RLS policies on every table (account data, tool data, resumes).</w:t>
      </w:r>
    </w:p>
    <w:p>
      <w:pPr>
        <w:pStyle w:val="ListParagraph"/>
        <w:numPr>
          <w:ilvl w:val="0"/>
          <w:numId w:val="2"/>
        </w:numPr>
        <w:spacing w:after="90" w:line="280"/>
      </w:pPr>
      <w:r>
        <w:t xml:space="preserve">Full HTTP response header audit: CSP, HSTS, X-Frame-Options, Referrer-Policy, Permissions-Policy.</w:t>
      </w:r>
    </w:p>
    <w:p>
      <w:pPr>
        <w:pStyle w:val="ListParagraph"/>
        <w:numPr>
          <w:ilvl w:val="0"/>
          <w:numId w:val="2"/>
        </w:numPr>
        <w:spacing w:after="90" w:line="280"/>
      </w:pPr>
      <w:r>
        <w:t xml:space="preserve">Session/token handling review (the Privacy Policy states local storage holds “a session token” — storing auth tokens in localStorage rather than an httpOnly cookie is a common XSS-exposure pattern worth an explicit engineering review, not a confirmed vulnerability from this pass).</w:t>
      </w:r>
    </w:p>
    <w:p>
      <w:pPr>
        <w:pStyle w:val="ListParagraph"/>
        <w:numPr>
          <w:ilvl w:val="0"/>
          <w:numId w:val="2"/>
        </w:numPr>
        <w:spacing w:after="90" w:line="280"/>
      </w:pPr>
      <w:r>
        <w:t xml:space="preserve">Standard auth-flow abuse testing: rate limiting on login/signup, password-reset token expiry, account-enumeration via error messages.</w:t>
      </w:r>
    </w:p>
    <w:p>
      <w:pPr>
        <w:pStyle w:val="ListParagraph"/>
        <w:numPr>
          <w:ilvl w:val="0"/>
          <w:numId w:val="2"/>
        </w:numPr>
        <w:spacing w:after="90" w:line="280"/>
      </w:pPr>
      <w:r>
        <w:t xml:space="preserve">Careers file-upload flow (resume upload) security review once accessible — file upload endpoints are a common attack surface and were not reachable without an account in this pass.</w:t>
      </w:r>
    </w:p>
    <w:p>
      <w:pPr>
        <w:pStyle w:val="ListParagraph"/>
        <w:numPr>
          <w:ilvl w:val="0"/>
          <w:numId w:val="2"/>
        </w:numPr>
        <w:spacing w:after="90" w:line="280"/>
      </w:pPr>
      <w:r>
        <w:t xml:space="preserve">A proper third-party penetration test ahead of any enterprise/university procurement process, which will very likely require one as part of vendor security review.</w:t>
      </w:r>
    </w:p>
    <w:p>
      <w:pPr>
        <w:pStyle w:val="Heading1"/>
        <w:spacing w:after="200" w:before="400"/>
      </w:pPr>
      <w:r>
        <w:t xml:space="preserve">10. Content &amp; Copy Review</w:t>
      </w:r>
    </w:p>
    <w:p>
      <w:pPr>
        <w:spacing w:after="160" w:line="300"/>
      </w:pPr>
      <w:r>
        <w:t xml:space="preserve">Copy quality across the site is a genuine strength: headlines are short and benefit-led (“Idle money shouldn't idle,” “Start at the dream. Work backwards.”), the tone is consistent (confident, plain-English, occasionally playful) across all seven tools, and no spelling or grammar errors were found in any of the page text extracted during this pass. The “Educational tools, not financial advice” disclaimer is applied consistently, which is exactly the right instinct for a fintech-adjacent product.</w:t>
      </w:r>
    </w:p>
    <w:p>
      <w:pPr>
        <w:pStyle w:val="ListParagraph"/>
        <w:numPr>
          <w:ilvl w:val="0"/>
          <w:numId w:val="2"/>
        </w:numPr>
        <w:spacing w:after="90" w:line="280"/>
      </w:pPr>
      <w:r>
        <w:t xml:space="preserve">Minor: dates/currency in generated copy (“2026 tax rules,” “June 2026”) are hardcoded into visible strings on ParkSmart; as the product ages this content will silently go stale unless it's tied to a config value that's reviewed on a schedule.</w:t>
      </w:r>
    </w:p>
    <w:p>
      <w:pPr>
        <w:pStyle w:val="ListParagraph"/>
        <w:numPr>
          <w:ilvl w:val="0"/>
          <w:numId w:val="2"/>
        </w:numPr>
        <w:spacing w:after="90" w:line="280"/>
      </w:pPr>
      <w:r>
        <w:t xml:space="preserve">Minor: PeerCompare's data-source citation (“RBI, PLFS &amp; survey data”) is not dated the way ParkSmart's is — recommend the same “as of [month/year]” convention be applied to every tool that makes a data-backed claim, for consistency and credibility.</w:t>
      </w:r>
    </w:p>
    <w:p>
      <w:pPr>
        <w:pStyle w:val="ListParagraph"/>
        <w:numPr>
          <w:ilvl w:val="0"/>
          <w:numId w:val="2"/>
        </w:numPr>
        <w:spacing w:after="90" w:line="280"/>
      </w:pPr>
      <w:r>
        <w:t xml:space="preserve">The Privacy Policy is unusually thorough and well-written for this product stage — it should be treated as a content-quality benchmark the rest of the site's legal/informational copy (Terms, any future FAQ) is held to.</w:t>
      </w:r>
    </w:p>
    <w:p>
      <w:pPr>
        <w:pStyle w:val="Heading1"/>
        <w:spacing w:after="200" w:before="400"/>
      </w:pPr>
      <w:r>
        <w:t xml:space="preserve">11. Conversion &amp; Growth Review</w:t>
      </w:r>
    </w:p>
    <w:p>
      <w:pPr>
        <w:pStyle w:val="Heading3"/>
        <w:spacing w:after="120" w:before="240"/>
      </w:pPr>
      <w:r>
        <w:t xml:space="preserve">Friction points</w:t>
      </w:r>
    </w:p>
    <w:p>
      <w:pPr>
        <w:pStyle w:val="ListParagraph"/>
        <w:numPr>
          <w:ilvl w:val="0"/>
          <w:numId w:val="2"/>
        </w:numPr>
        <w:spacing w:after="90" w:line="280"/>
      </w:pPr>
      <w:r>
        <w:t xml:space="preserve">FX-01 (the immediate save-progress modal) is the single biggest conversion risk found in this audit: it forces a decision (“Create account / Login / Continue as guest”) before value has been demonstrated. Standard SaaS/fintech growth practice is to let the user experience one tool's output first, then prompt account creation at the moment of highest perceived value (e.g., right after LifeMap produces a trajectory, or after Budget Builder shows a completed split).</w:t>
      </w:r>
    </w:p>
    <w:p>
      <w:pPr>
        <w:pStyle w:val="ListParagraph"/>
        <w:numPr>
          <w:ilvl w:val="0"/>
          <w:numId w:val="2"/>
        </w:numPr>
        <w:spacing w:after="90" w:line="280"/>
      </w:pPr>
      <w:r>
        <w:t xml:space="preserve">Careers (§2) currently converts zero visitors without a signup, since there is no guest preview, sample report, or even a static screenshot of what a resume score looks like. This is a meaningful missed opportunity given how fully-featured the nav (Dashboard, ATS, Interview Prep, Career Coach) suggests the underlying product is.</w:t>
      </w:r>
    </w:p>
    <w:p>
      <w:pPr>
        <w:pStyle w:val="ListParagraph"/>
        <w:numPr>
          <w:ilvl w:val="0"/>
          <w:numId w:val="2"/>
        </w:numPr>
        <w:spacing w:after="90" w:line="280"/>
      </w:pPr>
      <w:r>
        <w:t xml:space="preserve">The bottom-of-homepage CTA block (“Your clearest financial picture is one tap away”) duplicates the exact same three choices as the FX-01 modal, but is much better positioned — it appears after the visitor has already seen the full value proposition. Recommend this block, not the interrupt modal, be the primary conversion moment on first visit.</w:t>
      </w:r>
    </w:p>
    <w:p>
      <w:pPr>
        <w:pStyle w:val="Heading3"/>
        <w:spacing w:after="120" w:before="240"/>
      </w:pPr>
      <w:r>
        <w:t xml:space="preserve">Suggested A/B tests, once analytics are in place</w:t>
      </w:r>
    </w:p>
    <w:p>
      <w:pPr>
        <w:pStyle w:val="ListParagraph"/>
        <w:numPr>
          <w:ilvl w:val="0"/>
          <w:numId w:val="3"/>
        </w:numPr>
        <w:spacing w:after="90" w:line="280"/>
      </w:pPr>
      <w:r>
        <w:t xml:space="preserve">Delay or remove the first-load modal entirely versus current behaviour, measuring guest-to-tool-completion rate.</w:t>
      </w:r>
    </w:p>
    <w:p>
      <w:pPr>
        <w:pStyle w:val="ListParagraph"/>
        <w:numPr>
          <w:ilvl w:val="0"/>
          <w:numId w:val="3"/>
        </w:numPr>
        <w:spacing w:after="90" w:line="280"/>
      </w:pPr>
      <w:r>
        <w:t xml:space="preserve">Trigger the account-creation prompt after a tool produces a result (e.g., LifeMap's trajectory) versus on page load.</w:t>
      </w:r>
    </w:p>
    <w:p>
      <w:pPr>
        <w:pStyle w:val="ListParagraph"/>
        <w:numPr>
          <w:ilvl w:val="0"/>
          <w:numId w:val="3"/>
        </w:numPr>
        <w:spacing w:after="90" w:line="280"/>
      </w:pPr>
      <w:r>
        <w:t xml:space="preserve">Add a static “sample resume score” preview to /careers (no login required) versus the current fully-gated version, measuring signup rate.</w:t>
      </w:r>
    </w:p>
    <w:p>
      <w:pPr>
        <w:pStyle w:val="Heading3"/>
        <w:spacing w:after="120" w:before="240"/>
      </w:pPr>
      <w:r>
        <w:t xml:space="preserve">Trust signals present (working well)</w:t>
      </w:r>
    </w:p>
    <w:p>
      <w:pPr>
        <w:pStyle w:val="ListParagraph"/>
        <w:numPr>
          <w:ilvl w:val="0"/>
          <w:numId w:val="2"/>
        </w:numPr>
        <w:spacing w:after="90" w:line="280"/>
      </w:pPr>
      <w:r>
        <w:t xml:space="preserve">“Free forever,” “No card required,” “Privacy first” badges are repeated at multiple decision points (hero, bottom CTA, signup modal) — good, consistent reinforcement.</w:t>
      </w:r>
    </w:p>
    <w:p>
      <w:pPr>
        <w:pStyle w:val="ListParagraph"/>
        <w:numPr>
          <w:ilvl w:val="0"/>
          <w:numId w:val="2"/>
        </w:numPr>
        <w:spacing w:after="90" w:line="280"/>
      </w:pPr>
      <w:r>
        <w:t xml:space="preserve">The footer disclaimer and the detailed, DPDP/GDPR-literate Privacy Policy are genuine differentiators versus most free calculator sites, and should be surfaced more prominently in any investor or partnership deck, not just linked in the footer.</w:t>
      </w:r>
    </w:p>
    <w:p>
      <w:pPr>
        <w:pStyle w:val="Heading1"/>
        <w:spacing w:after="200" w:before="400"/>
      </w:pPr>
      <w:r>
        <w:t xml:space="preserve">12. Improvement Opportunities (Beyond Bug-Fixing)</w:t>
      </w:r>
    </w:p>
    <w:p>
      <w:pPr>
        <w:pStyle w:val="Heading3"/>
        <w:spacing w:after="120" w:before="240"/>
      </w:pPr>
      <w:r>
        <w:t xml:space="preserve">Near-term, high-leverage</w:t>
      </w:r>
    </w:p>
    <w:p>
      <w:pPr>
        <w:pStyle w:val="ListParagraph"/>
        <w:numPr>
          <w:ilvl w:val="0"/>
          <w:numId w:val="2"/>
        </w:numPr>
        <w:spacing w:after="90" w:line="280"/>
      </w:pPr>
      <w:r>
        <w:t xml:space="preserve">Build a real /tools index page reusing the homepage's existing 7-tool showcase content, fixing FX-02 and giving SEO a real hub page to link into the 7 tool pages (see S8-1).</w:t>
      </w:r>
    </w:p>
    <w:p>
      <w:pPr>
        <w:pStyle w:val="ListParagraph"/>
        <w:numPr>
          <w:ilvl w:val="0"/>
          <w:numId w:val="2"/>
        </w:numPr>
        <w:spacing w:after="90" w:line="280"/>
      </w:pPr>
      <w:r>
        <w:t xml:space="preserve">Add all 7 tool routes and /careers to sitemap.xml — likely the single highest ROI-per-hour item in this entire report.</w:t>
      </w:r>
    </w:p>
    <w:p>
      <w:pPr>
        <w:pStyle w:val="ListParagraph"/>
        <w:numPr>
          <w:ilvl w:val="0"/>
          <w:numId w:val="2"/>
        </w:numPr>
        <w:spacing w:after="90" w:line="280"/>
      </w:pPr>
      <w:r>
        <w:t xml:space="preserve">Replace the blank “Loading…” screen with a branded skeleton/spinner matching the dark/gold identity.</w:t>
      </w:r>
    </w:p>
    <w:p>
      <w:pPr>
        <w:pStyle w:val="ListParagraph"/>
        <w:numPr>
          <w:ilvl w:val="0"/>
          <w:numId w:val="2"/>
        </w:numPr>
        <w:spacing w:after="90" w:line="280"/>
      </w:pPr>
      <w:r>
        <w:t xml:space="preserve">Add a lightweight, no-login “preview” state to Careers (sample resume score, blurred/locked detail) so the product's most ambitious feature isn't a total black box to prospects.</w:t>
      </w:r>
    </w:p>
    <w:p>
      <w:pPr>
        <w:pStyle w:val="Heading3"/>
        <w:spacing w:after="120" w:before="240"/>
      </w:pPr>
      <w:r>
        <w:t xml:space="preserve">Medium-term product ideas</w:t>
      </w:r>
    </w:p>
    <w:p>
      <w:pPr>
        <w:pStyle w:val="ListParagraph"/>
        <w:numPr>
          <w:ilvl w:val="0"/>
          <w:numId w:val="2"/>
        </w:numPr>
        <w:spacing w:after="90" w:line="280"/>
      </w:pPr>
      <w:r>
        <w:t xml:space="preserve">Progress persistence for LifeMap: break the long form into 3–4 labelled steps with a progress indicator and auto-save, mirroring InvestMatch's already-good “Question X of 6” pattern.</w:t>
      </w:r>
    </w:p>
    <w:p>
      <w:pPr>
        <w:pStyle w:val="ListParagraph"/>
        <w:numPr>
          <w:ilvl w:val="0"/>
          <w:numId w:val="2"/>
        </w:numPr>
        <w:spacing w:after="90" w:line="280"/>
      </w:pPr>
      <w:r>
        <w:t xml:space="preserve">Cross-tool dashboard: since Budget Builder, Expense Tracker, and (implicitly) the other tools already share a data model, a single “your financial picture” summary view stitching outputs from all 7 tools would be a strong differentiator and a natural account-creation motivator.</w:t>
      </w:r>
    </w:p>
    <w:p>
      <w:pPr>
        <w:pStyle w:val="ListParagraph"/>
        <w:numPr>
          <w:ilvl w:val="0"/>
          <w:numId w:val="2"/>
        </w:numPr>
        <w:spacing w:after="90" w:line="280"/>
      </w:pPr>
      <w:r>
        <w:t xml:space="preserve">Light gamification / progress badges for completing all 7 tools once, which pairs naturally with the existing “Open everything” full-suite framing already on the homepage.</w:t>
      </w:r>
    </w:p>
    <w:p>
      <w:pPr>
        <w:pStyle w:val="ListParagraph"/>
        <w:numPr>
          <w:ilvl w:val="0"/>
          <w:numId w:val="2"/>
        </w:numPr>
        <w:spacing w:after="90" w:line="280"/>
      </w:pPr>
      <w:r>
        <w:t xml:space="preserve">Referral mechanism: given the zero-monetisation, “free forever, education-first” positioning, a referral/sharing loop (e.g., share your PeerCompare city ranking) is a natural low-cost growth channel that fits the brand.</w:t>
      </w:r>
    </w:p>
    <w:p>
      <w:pPr>
        <w:pStyle w:val="Heading3"/>
        <w:spacing w:after="120" w:before="240"/>
      </w:pPr>
      <w:r>
        <w:t xml:space="preserve">FinTech / EdTech best-practice alignment</w:t>
      </w:r>
    </w:p>
    <w:p>
      <w:pPr>
        <w:pStyle w:val="ListParagraph"/>
        <w:numPr>
          <w:ilvl w:val="0"/>
          <w:numId w:val="2"/>
        </w:numPr>
        <w:spacing w:after="90" w:line="280"/>
      </w:pPr>
      <w:r>
        <w:t xml:space="preserve">Continue the strong existing pattern of dating data-driven claims (ParkSmart's “June 2026”) across every tool that cites tax slabs, benchmarks, or rates — this is standard practice for credible fintech education content and currently inconsistent (§10).</w:t>
      </w:r>
    </w:p>
    <w:p>
      <w:pPr>
        <w:pStyle w:val="ListParagraph"/>
        <w:numPr>
          <w:ilvl w:val="0"/>
          <w:numId w:val="2"/>
        </w:numPr>
        <w:spacing w:after="90" w:line="280"/>
      </w:pPr>
      <w:r>
        <w:t xml:space="preserve">Consider a lightweight methodology/sources page (how is PeerCompare's benchmark computed, what tax assumptions does ParkSmart use) — this is common in credible EdTech/FinTech products and would also generate additional indexable SEO content.</w:t>
      </w:r>
    </w:p>
    <w:p>
      <w:pPr>
        <w:pStyle w:val="Heading1"/>
        <w:spacing w:after="200" w:before="400"/>
      </w:pPr>
      <w:r>
        <w:t xml:space="preserve">13. Prioritization</w:t>
      </w:r>
    </w:p>
    <w:p>
      <w:pPr>
        <w:spacing w:after="160" w:line="300"/>
      </w:pPr>
      <w:r>
        <w:t xml:space="preserve">Ranked by a combined view of user/business impact versus engineering effort, using the evidence gathered in this pass. “Effort” is a rough sizing (S = hours, M = a few days, L = a sprint or more) and should be re-estimated by the engineering team against the actual codebase.</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900"/>
        <w:gridCol w:w="1200"/>
        <w:gridCol w:w="3600"/>
      </w:tblGrid>
      <w:tr>
        <w:trPr>
          <w:tblHeader/>
        </w:trPr>
        <w:tc>
          <w:tcPr>
            <w:tcW w:type="dxa" w:w="700"/>
            <w:shd w:fill="1A1A1A" w:val="clear"/>
            <w:tcMar>
              <w:top w:type="dxa" w:w="80"/>
              <w:left w:type="dxa" w:w="100"/>
              <w:bottom w:type="dxa" w:w="80"/>
              <w:right w:type="dxa" w:w="100"/>
            </w:tcMar>
            <w:vAlign w:val="center"/>
          </w:tcPr>
          <w:p>
            <w:pPr>
              <w:jc w:val="left"/>
            </w:pPr>
            <w:r>
              <w:rPr>
                <w:b/>
                <w:bCs/>
                <w:color w:val="FFFFFF"/>
                <w:sz w:val="19"/>
                <w:szCs w:val="19"/>
              </w:rPr>
              <w:t xml:space="preserve">Rank</w:t>
            </w:r>
          </w:p>
        </w:tc>
        <w:tc>
          <w:tcPr>
            <w:tcW w:type="dxa" w:w="3600"/>
            <w:shd w:fill="1A1A1A" w:val="clear"/>
            <w:tcMar>
              <w:top w:type="dxa" w:w="80"/>
              <w:left w:type="dxa" w:w="100"/>
              <w:bottom w:type="dxa" w:w="80"/>
              <w:right w:type="dxa" w:w="100"/>
            </w:tcMar>
            <w:vAlign w:val="center"/>
          </w:tcPr>
          <w:p>
            <w:pPr>
              <w:jc w:val="left"/>
            </w:pPr>
            <w:r>
              <w:rPr>
                <w:b/>
                <w:bCs/>
                <w:color w:val="FFFFFF"/>
                <w:sz w:val="19"/>
                <w:szCs w:val="19"/>
              </w:rPr>
              <w:t xml:space="preserve">Item</w:t>
            </w:r>
          </w:p>
        </w:tc>
        <w:tc>
          <w:tcPr>
            <w:tcW w:type="dxa" w:w="1900"/>
            <w:shd w:fill="1A1A1A" w:val="clear"/>
            <w:tcMar>
              <w:top w:type="dxa" w:w="80"/>
              <w:left w:type="dxa" w:w="100"/>
              <w:bottom w:type="dxa" w:w="80"/>
              <w:right w:type="dxa" w:w="100"/>
            </w:tcMar>
            <w:vAlign w:val="center"/>
          </w:tcPr>
          <w:p>
            <w:pPr>
              <w:jc w:val="left"/>
            </w:pPr>
            <w:r>
              <w:rPr>
                <w:b/>
                <w:bCs/>
                <w:color w:val="FFFFFF"/>
                <w:sz w:val="19"/>
                <w:szCs w:val="19"/>
              </w:rPr>
              <w:t xml:space="preserve">Impact</w:t>
            </w:r>
          </w:p>
        </w:tc>
        <w:tc>
          <w:tcPr>
            <w:tcW w:type="dxa" w:w="1200"/>
            <w:shd w:fill="1A1A1A" w:val="clear"/>
            <w:tcMar>
              <w:top w:type="dxa" w:w="80"/>
              <w:left w:type="dxa" w:w="100"/>
              <w:bottom w:type="dxa" w:w="80"/>
              <w:right w:type="dxa" w:w="100"/>
            </w:tcMar>
            <w:vAlign w:val="center"/>
          </w:tcPr>
          <w:p>
            <w:pPr>
              <w:jc w:val="left"/>
            </w:pPr>
            <w:r>
              <w:rPr>
                <w:b/>
                <w:bCs/>
                <w:color w:val="FFFFFF"/>
                <w:sz w:val="19"/>
                <w:szCs w:val="19"/>
              </w:rPr>
              <w:t xml:space="preserve">Effort</w:t>
            </w:r>
          </w:p>
        </w:tc>
        <w:tc>
          <w:tcPr>
            <w:tcW w:type="dxa" w:w="3600"/>
            <w:shd w:fill="1A1A1A" w:val="clear"/>
            <w:tcMar>
              <w:top w:type="dxa" w:w="80"/>
              <w:left w:type="dxa" w:w="100"/>
              <w:bottom w:type="dxa" w:w="80"/>
              <w:right w:type="dxa" w:w="100"/>
            </w:tcMar>
            <w:vAlign w:val="center"/>
          </w:tcPr>
          <w:p>
            <w:pPr>
              <w:jc w:val="left"/>
            </w:pPr>
            <w:r>
              <w:rPr>
                <w:b/>
                <w:bCs/>
                <w:color w:val="FFFFFF"/>
                <w:sz w:val="19"/>
                <w:szCs w:val="19"/>
              </w:rPr>
              <w:t xml:space="preserve">Why now</w:t>
            </w:r>
          </w:p>
        </w:tc>
      </w:tr>
      <w:tr>
        <w:tc>
          <w:tcPr>
            <w:tcW w:type="dxa" w:w="7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1</w:t>
            </w:r>
          </w:p>
        </w:tc>
        <w:tc>
          <w:tcPr>
            <w:tcW w:type="dxa" w:w="36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Add all 7 tool pages + /careers to sitemap.xml</w:t>
            </w:r>
          </w:p>
        </w:tc>
        <w:tc>
          <w:tcPr>
            <w:tcW w:type="dxa" w:w="19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High — organic acquisition</w:t>
            </w:r>
          </w:p>
        </w:tc>
        <w:tc>
          <w:tcPr>
            <w:tcW w:type="dxa" w:w="12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S</w:t>
            </w:r>
          </w:p>
        </w:tc>
        <w:tc>
          <w:tcPr>
            <w:tcW w:type="dxa" w:w="36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Highest ROI-per-hour fix in this report; product pages currently invisible to search engines</w:t>
            </w:r>
          </w:p>
        </w:tc>
      </w:tr>
      <w:tr>
        <w:tc>
          <w:tcPr>
            <w:tcW w:type="dxa" w:w="7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2</w:t>
            </w:r>
          </w:p>
        </w:tc>
        <w:tc>
          <w:tcPr>
            <w:tcW w:type="dxa" w:w="36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Fix soft-404 status code (FX-05)</w:t>
            </w:r>
          </w:p>
        </w:tc>
        <w:tc>
          <w:tcPr>
            <w:tcW w:type="dxa" w:w="19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Medium — SEO integrity</w:t>
            </w:r>
          </w:p>
        </w:tc>
        <w:tc>
          <w:tcPr>
            <w:tcW w:type="dxa" w:w="12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S</w:t>
            </w:r>
          </w:p>
        </w:tc>
        <w:tc>
          <w:tcPr>
            <w:tcW w:type="dxa" w:w="36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One-line-equivalent Worker fix; prevents ongoing index dilution</w:t>
            </w:r>
          </w:p>
        </w:tc>
      </w:tr>
      <w:tr>
        <w:tc>
          <w:tcPr>
            <w:tcW w:type="dxa" w:w="7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3</w:t>
            </w:r>
          </w:p>
        </w:tc>
        <w:tc>
          <w:tcPr>
            <w:tcW w:type="dxa" w:w="36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Add min=0 + validation messaging to Budget Builder income field (FX-04)</w:t>
            </w:r>
          </w:p>
        </w:tc>
        <w:tc>
          <w:tcPr>
            <w:tcW w:type="dxa" w:w="19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High — core-tool trust</w:t>
            </w:r>
          </w:p>
        </w:tc>
        <w:tc>
          <w:tcPr>
            <w:tcW w:type="dxa" w:w="12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S</w:t>
            </w:r>
          </w:p>
        </w:tc>
        <w:tc>
          <w:tcPr>
            <w:tcW w:type="dxa" w:w="36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Finance tool silently producing nonsense output on bad input is a credibility risk</w:t>
            </w:r>
          </w:p>
        </w:tc>
      </w:tr>
      <w:tr>
        <w:tc>
          <w:tcPr>
            <w:tcW w:type="dxa" w:w="7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4</w:t>
            </w:r>
          </w:p>
        </w:tc>
        <w:tc>
          <w:tcPr>
            <w:tcW w:type="dxa" w:w="36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Delay/remove first-load modal or retrigger on value moment (FX-01)</w:t>
            </w:r>
          </w:p>
        </w:tc>
        <w:tc>
          <w:tcPr>
            <w:tcW w:type="dxa" w:w="19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High — conversion &amp; first impression</w:t>
            </w:r>
          </w:p>
        </w:tc>
        <w:tc>
          <w:tcPr>
            <w:tcW w:type="dxa" w:w="12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S</w:t>
            </w:r>
          </w:p>
        </w:tc>
        <w:tc>
          <w:tcPr>
            <w:tcW w:type="dxa" w:w="36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Directly affects every single visitor, including investor/demo audiences</w:t>
            </w:r>
          </w:p>
        </w:tc>
      </w:tr>
      <w:tr>
        <w:tc>
          <w:tcPr>
            <w:tcW w:type="dxa" w:w="7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5</w:t>
            </w:r>
          </w:p>
        </w:tc>
        <w:tc>
          <w:tcPr>
            <w:tcW w:type="dxa" w:w="36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Label all Budget Builder (and by extension, all tool) form fields (A6-1)</w:t>
            </w:r>
          </w:p>
        </w:tc>
        <w:tc>
          <w:tcPr>
            <w:tcW w:type="dxa" w:w="19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High — accessibility compliance</w:t>
            </w:r>
          </w:p>
        </w:tc>
        <w:tc>
          <w:tcPr>
            <w:tcW w:type="dxa" w:w="12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M</w:t>
            </w:r>
          </w:p>
        </w:tc>
        <w:tc>
          <w:tcPr>
            <w:tcW w:type="dxa" w:w="36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WCAG 2.2 AA blocker; needed before any accessibility claim to enterprise/university partners</w:t>
            </w:r>
          </w:p>
        </w:tc>
      </w:tr>
      <w:tr>
        <w:tc>
          <w:tcPr>
            <w:tcW w:type="dxa" w:w="7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6</w:t>
            </w:r>
          </w:p>
        </w:tc>
        <w:tc>
          <w:tcPr>
            <w:tcW w:type="dxa" w:w="36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Build a real /tools index page (FX-02)</w:t>
            </w:r>
          </w:p>
        </w:tc>
        <w:tc>
          <w:tcPr>
            <w:tcW w:type="dxa" w:w="19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Medium — IA &amp; SEO</w:t>
            </w:r>
          </w:p>
        </w:tc>
        <w:tc>
          <w:tcPr>
            <w:tcW w:type="dxa" w:w="12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M</w:t>
            </w:r>
          </w:p>
        </w:tc>
        <w:tc>
          <w:tcPr>
            <w:tcW w:type="dxa" w:w="36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Fixes a confusing redirect and creates a real SEO hub page for item #1</w:t>
            </w:r>
          </w:p>
        </w:tc>
      </w:tr>
      <w:tr>
        <w:tc>
          <w:tcPr>
            <w:tcW w:type="dxa" w:w="7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7</w:t>
            </w:r>
          </w:p>
        </w:tc>
        <w:tc>
          <w:tcPr>
            <w:tcW w:type="dxa" w:w="36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Add a branded loading state (§7)</w:t>
            </w:r>
          </w:p>
        </w:tc>
        <w:tc>
          <w:tcPr>
            <w:tcW w:type="dxa" w:w="19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Medium — perceived quality</w:t>
            </w:r>
          </w:p>
        </w:tc>
        <w:tc>
          <w:tcPr>
            <w:tcW w:type="dxa" w:w="12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S</w:t>
            </w:r>
          </w:p>
        </w:tc>
        <w:tc>
          <w:tcPr>
            <w:tcW w:type="dxa" w:w="36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Cheap, high-visibility polish fix, especially relevant for demos</w:t>
            </w:r>
          </w:p>
        </w:tc>
      </w:tr>
      <w:tr>
        <w:tc>
          <w:tcPr>
            <w:tcW w:type="dxa" w:w="7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8</w:t>
            </w:r>
          </w:p>
        </w:tc>
        <w:tc>
          <w:tcPr>
            <w:tcW w:type="dxa" w:w="36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Fix text contrast on secondary/muted copy (A6-3)</w:t>
            </w:r>
          </w:p>
        </w:tc>
        <w:tc>
          <w:tcPr>
            <w:tcW w:type="dxa" w:w="19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Medium — accessibility &amp; readability</w:t>
            </w:r>
          </w:p>
        </w:tc>
        <w:tc>
          <w:tcPr>
            <w:tcW w:type="dxa" w:w="12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S</w:t>
            </w:r>
          </w:p>
        </w:tc>
        <w:tc>
          <w:tcPr>
            <w:tcW w:type="dxa" w:w="36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Design-token-level fix (raise the muted-grey lightness), low engineering risk</w:t>
            </w:r>
          </w:p>
        </w:tc>
      </w:tr>
      <w:tr>
        <w:tc>
          <w:tcPr>
            <w:tcW w:type="dxa" w:w="7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9</w:t>
            </w:r>
          </w:p>
        </w:tc>
        <w:tc>
          <w:tcPr>
            <w:tcW w:type="dxa" w:w="36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Add H1 to every tool page (A6-2 / S8-3)</w:t>
            </w:r>
          </w:p>
        </w:tc>
        <w:tc>
          <w:tcPr>
            <w:tcW w:type="dxa" w:w="19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Medium — SEO &amp; accessibility</w:t>
            </w:r>
          </w:p>
        </w:tc>
        <w:tc>
          <w:tcPr>
            <w:tcW w:type="dxa" w:w="12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S</w:t>
            </w:r>
          </w:p>
        </w:tc>
        <w:tc>
          <w:tcPr>
            <w:tcW w:type="dxa" w:w="36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Likely a shared layout-template change, so fixes every tool page at once</w:t>
            </w:r>
          </w:p>
        </w:tc>
      </w:tr>
      <w:tr>
        <w:tc>
          <w:tcPr>
            <w:tcW w:type="dxa" w:w="7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10</w:t>
            </w:r>
          </w:p>
        </w:tc>
        <w:tc>
          <w:tcPr>
            <w:tcW w:type="dxa" w:w="36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Add a no-login preview to Careers</w:t>
            </w:r>
          </w:p>
        </w:tc>
        <w:tc>
          <w:tcPr>
            <w:tcW w:type="dxa" w:w="19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High — conversion for a fully-built feature</w:t>
            </w:r>
          </w:p>
        </w:tc>
        <w:tc>
          <w:tcPr>
            <w:tcW w:type="dxa" w:w="12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M — L</w:t>
            </w:r>
          </w:p>
        </w:tc>
        <w:tc>
          <w:tcPr>
            <w:tcW w:type="dxa" w:w="36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The feature already exists behind the gate; this is about exposing value, not building new functionality</w:t>
            </w:r>
          </w:p>
        </w:tc>
      </w:tr>
      <w:tr>
        <w:tc>
          <w:tcPr>
            <w:tcW w:type="dxa" w:w="7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11</w:t>
            </w:r>
          </w:p>
        </w:tc>
        <w:tc>
          <w:tcPr>
            <w:tcW w:type="dxa" w:w="36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Independent RLS / auth security review</w:t>
            </w:r>
          </w:p>
        </w:tc>
        <w:tc>
          <w:tcPr>
            <w:tcW w:type="dxa" w:w="19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High — risk &amp; compliance</w:t>
            </w:r>
          </w:p>
        </w:tc>
        <w:tc>
          <w:tcPr>
            <w:tcW w:type="dxa" w:w="12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M</w:t>
            </w:r>
          </w:p>
        </w:tc>
        <w:tc>
          <w:tcPr>
            <w:tcW w:type="dxa" w:w="36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Required before any enterprise/university procurement security questionnaire</w:t>
            </w:r>
          </w:p>
        </w:tc>
      </w:tr>
      <w:tr>
        <w:tc>
          <w:tcPr>
            <w:tcW w:type="dxa" w:w="7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12</w:t>
            </w:r>
          </w:p>
        </w:tc>
        <w:tc>
          <w:tcPr>
            <w:tcW w:type="dxa" w:w="36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Full Lighthouse + axe-core automated pass across all routes</w:t>
            </w:r>
          </w:p>
        </w:tc>
        <w:tc>
          <w:tcPr>
            <w:tcW w:type="dxa" w:w="19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Medium — verification</w:t>
            </w:r>
          </w:p>
        </w:tc>
        <w:tc>
          <w:tcPr>
            <w:tcW w:type="dxa" w:w="12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S</w:t>
            </w:r>
          </w:p>
        </w:tc>
        <w:tc>
          <w:tcPr>
            <w:tcW w:type="dxa" w:w="36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Converts several “requires manual validation” items in this report into hard numbers</w:t>
            </w:r>
          </w:p>
        </w:tc>
      </w:tr>
    </w:tbl>
    <w:p>
      <w:pPr>
        <w:pStyle w:val="Heading1"/>
        <w:spacing w:after="200" w:before="400"/>
      </w:pPr>
      <w:r>
        <w:t xml:space="preserve">14. Final Scorecard</w:t>
      </w:r>
    </w:p>
    <w:p>
      <w:pPr>
        <w:spacing w:after="160" w:line="300"/>
      </w:pPr>
      <w:r>
        <w:t xml:space="preserve">Scores reflect this audit's direct evidence only, on a 1–10 scale, with 10 representing best-in-class execution with no observed gaps. Dimensions marked with an asterisk (*) are partially informed by self-reported claims (e.g., the Privacy Policy's RLS statement) that this pass could not independently verify — treat these as provisional pending the manual validation items in §19.</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5000"/>
      </w:tblGrid>
      <w:tr>
        <w:trPr>
          <w:tblHeader/>
        </w:trPr>
        <w:tc>
          <w:tcPr>
            <w:tcW w:type="dxa" w:w="4200"/>
            <w:shd w:fill="1A1A1A" w:val="clear"/>
            <w:tcMar>
              <w:top w:type="dxa" w:w="80"/>
              <w:left w:type="dxa" w:w="100"/>
              <w:bottom w:type="dxa" w:w="80"/>
              <w:right w:type="dxa" w:w="100"/>
            </w:tcMar>
            <w:vAlign w:val="center"/>
          </w:tcPr>
          <w:p>
            <w:pPr>
              <w:jc w:val="left"/>
            </w:pPr>
            <w:r>
              <w:rPr>
                <w:b/>
                <w:bCs/>
                <w:color w:val="FFFFFF"/>
                <w:sz w:val="19"/>
                <w:szCs w:val="19"/>
              </w:rPr>
              <w:t xml:space="preserve">Dimension</w:t>
            </w:r>
          </w:p>
        </w:tc>
        <w:tc>
          <w:tcPr>
            <w:tcW w:type="dxa" w:w="1600"/>
            <w:shd w:fill="1A1A1A" w:val="clear"/>
            <w:tcMar>
              <w:top w:type="dxa" w:w="80"/>
              <w:left w:type="dxa" w:w="100"/>
              <w:bottom w:type="dxa" w:w="80"/>
              <w:right w:type="dxa" w:w="100"/>
            </w:tcMar>
            <w:vAlign w:val="center"/>
          </w:tcPr>
          <w:p>
            <w:pPr>
              <w:jc w:val="left"/>
            </w:pPr>
            <w:r>
              <w:rPr>
                <w:b/>
                <w:bCs/>
                <w:color w:val="FFFFFF"/>
                <w:sz w:val="19"/>
                <w:szCs w:val="19"/>
              </w:rPr>
              <w:t xml:space="preserve">Score /10</w:t>
            </w:r>
          </w:p>
        </w:tc>
        <w:tc>
          <w:tcPr>
            <w:tcW w:type="dxa" w:w="5000"/>
            <w:shd w:fill="1A1A1A" w:val="clear"/>
            <w:tcMar>
              <w:top w:type="dxa" w:w="80"/>
              <w:left w:type="dxa" w:w="100"/>
              <w:bottom w:type="dxa" w:w="80"/>
              <w:right w:type="dxa" w:w="100"/>
            </w:tcMar>
            <w:vAlign w:val="center"/>
          </w:tcPr>
          <w:p>
            <w:pPr>
              <w:jc w:val="left"/>
            </w:pPr>
            <w:r>
              <w:rPr>
                <w:b/>
                <w:bCs/>
                <w:color w:val="FFFFFF"/>
                <w:sz w:val="19"/>
                <w:szCs w:val="19"/>
              </w:rPr>
              <w:t xml:space="preserve">Rationale (evidence-based)</w:t>
            </w:r>
          </w:p>
        </w:tc>
      </w:tr>
      <w:tr>
        <w:tc>
          <w:tcPr>
            <w:tcW w:type="dxa" w:w="4200"/>
            <w:shd w:fill="0F0F0F" w:val="clear"/>
            <w:tcMar>
              <w:top w:type="dxa" w:w="80"/>
              <w:left w:type="dxa" w:w="100"/>
              <w:bottom w:type="dxa" w:w="80"/>
              <w:right w:type="dxa" w:w="100"/>
            </w:tcMar>
            <w:vAlign w:val="center"/>
          </w:tcPr>
          <w:p>
            <w:pPr>
              <w:jc w:val="left"/>
            </w:pPr>
            <w:r>
              <w:rPr>
                <w:b/>
                <w:bCs/>
                <w:color w:val="FFFFFF"/>
                <w:sz w:val="19"/>
                <w:szCs w:val="19"/>
              </w:rPr>
              <w:t xml:space="preserve">Visual Design</w:t>
            </w:r>
          </w:p>
        </w:tc>
        <w:tc>
          <w:tcPr>
            <w:tcW w:type="dxa" w:w="1600"/>
            <w:shd w:fill="0F0F0F" w:val="clear"/>
            <w:tcMar>
              <w:top w:type="dxa" w:w="80"/>
              <w:left w:type="dxa" w:w="100"/>
              <w:bottom w:type="dxa" w:w="80"/>
              <w:right w:type="dxa" w:w="100"/>
            </w:tcMar>
            <w:vAlign w:val="center"/>
          </w:tcPr>
          <w:p>
            <w:pPr>
              <w:jc w:val="center"/>
            </w:pPr>
            <w:r>
              <w:rPr>
                <w:b/>
                <w:bCs/>
                <w:color w:val="5FBF6B"/>
                <w:sz w:val="19"/>
                <w:szCs w:val="19"/>
              </w:rPr>
              <w:t xml:space="preserve">8</w:t>
            </w:r>
          </w:p>
        </w:tc>
        <w:tc>
          <w:tcPr>
            <w:tcW w:type="dxa" w:w="50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Distinctive, consistent dark/gold identity applied uniformly across every page sampled; loses a point for the unstyled loading state and undated data-claim inconsistencies.</w:t>
            </w:r>
          </w:p>
        </w:tc>
      </w:tr>
      <w:tr>
        <w:tc>
          <w:tcPr>
            <w:tcW w:type="dxa" w:w="4200"/>
            <w:shd w:fill="1B1B1B" w:val="clear"/>
            <w:tcMar>
              <w:top w:type="dxa" w:w="80"/>
              <w:left w:type="dxa" w:w="100"/>
              <w:bottom w:type="dxa" w:w="80"/>
              <w:right w:type="dxa" w:w="100"/>
            </w:tcMar>
            <w:vAlign w:val="center"/>
          </w:tcPr>
          <w:p>
            <w:pPr>
              <w:jc w:val="left"/>
            </w:pPr>
            <w:r>
              <w:rPr>
                <w:b/>
                <w:bCs/>
                <w:color w:val="FFFFFF"/>
                <w:sz w:val="19"/>
                <w:szCs w:val="19"/>
              </w:rPr>
              <w:t xml:space="preserve">UI Consistency</w:t>
            </w:r>
          </w:p>
        </w:tc>
        <w:tc>
          <w:tcPr>
            <w:tcW w:type="dxa" w:w="1600"/>
            <w:shd w:fill="1B1B1B" w:val="clear"/>
            <w:tcMar>
              <w:top w:type="dxa" w:w="80"/>
              <w:left w:type="dxa" w:w="100"/>
              <w:bottom w:type="dxa" w:w="80"/>
              <w:right w:type="dxa" w:w="100"/>
            </w:tcMar>
            <w:vAlign w:val="center"/>
          </w:tcPr>
          <w:p>
            <w:pPr>
              <w:jc w:val="center"/>
            </w:pPr>
            <w:r>
              <w:rPr>
                <w:b/>
                <w:bCs/>
                <w:color w:val="5FBF6B"/>
                <w:sz w:val="19"/>
                <w:szCs w:val="19"/>
              </w:rPr>
              <w:t xml:space="preserve">8</w:t>
            </w:r>
          </w:p>
        </w:tc>
        <w:tc>
          <w:tcPr>
            <w:tcW w:type="dxa" w:w="50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Header, breadcrumb, tool-switcher and footer chrome identical across all 7 tool pages; card/button/badge styling clearly systematised.</w:t>
            </w:r>
          </w:p>
        </w:tc>
      </w:tr>
      <w:tr>
        <w:tc>
          <w:tcPr>
            <w:tcW w:type="dxa" w:w="4200"/>
            <w:shd w:fill="0F0F0F" w:val="clear"/>
            <w:tcMar>
              <w:top w:type="dxa" w:w="80"/>
              <w:left w:type="dxa" w:w="100"/>
              <w:bottom w:type="dxa" w:w="80"/>
              <w:right w:type="dxa" w:w="100"/>
            </w:tcMar>
            <w:vAlign w:val="center"/>
          </w:tcPr>
          <w:p>
            <w:pPr>
              <w:jc w:val="left"/>
            </w:pPr>
            <w:r>
              <w:rPr>
                <w:b/>
                <w:bCs/>
                <w:color w:val="FFFFFF"/>
                <w:sz w:val="19"/>
                <w:szCs w:val="19"/>
              </w:rPr>
              <w:t xml:space="preserve">UX</w:t>
            </w:r>
          </w:p>
        </w:tc>
        <w:tc>
          <w:tcPr>
            <w:tcW w:type="dxa" w:w="1600"/>
            <w:shd w:fill="0F0F0F" w:val="clear"/>
            <w:tcMar>
              <w:top w:type="dxa" w:w="80"/>
              <w:left w:type="dxa" w:w="100"/>
              <w:bottom w:type="dxa" w:w="80"/>
              <w:right w:type="dxa" w:w="100"/>
            </w:tcMar>
            <w:vAlign w:val="center"/>
          </w:tcPr>
          <w:p>
            <w:pPr>
              <w:jc w:val="center"/>
            </w:pPr>
            <w:r>
              <w:rPr>
                <w:b/>
                <w:bCs/>
                <w:color w:val="E0A030"/>
                <w:sz w:val="19"/>
                <w:szCs w:val="19"/>
              </w:rPr>
              <w:t xml:space="preserve">6</w:t>
            </w:r>
          </w:p>
        </w:tc>
        <w:tc>
          <w:tcPr>
            <w:tcW w:type="dxa" w:w="50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Strong per-tool flows (InvestMatch's wizard, Budget Builder's live math) undercut by the interrupt modal, the /tools redirect, and LifeMap's unbroken long-form layout.</w:t>
            </w:r>
          </w:p>
        </w:tc>
      </w:tr>
      <w:tr>
        <w:tc>
          <w:tcPr>
            <w:tcW w:type="dxa" w:w="4200"/>
            <w:shd w:fill="1B1B1B" w:val="clear"/>
            <w:tcMar>
              <w:top w:type="dxa" w:w="80"/>
              <w:left w:type="dxa" w:w="100"/>
              <w:bottom w:type="dxa" w:w="80"/>
              <w:right w:type="dxa" w:w="100"/>
            </w:tcMar>
            <w:vAlign w:val="center"/>
          </w:tcPr>
          <w:p>
            <w:pPr>
              <w:jc w:val="left"/>
            </w:pPr>
            <w:r>
              <w:rPr>
                <w:b/>
                <w:bCs/>
                <w:color w:val="FFFFFF"/>
                <w:sz w:val="19"/>
                <w:szCs w:val="19"/>
              </w:rPr>
              <w:t xml:space="preserve">Performance*</w:t>
            </w:r>
          </w:p>
        </w:tc>
        <w:tc>
          <w:tcPr>
            <w:tcW w:type="dxa" w:w="1600"/>
            <w:shd w:fill="1B1B1B" w:val="clear"/>
            <w:tcMar>
              <w:top w:type="dxa" w:w="80"/>
              <w:left w:type="dxa" w:w="100"/>
              <w:bottom w:type="dxa" w:w="80"/>
              <w:right w:type="dxa" w:w="100"/>
            </w:tcMar>
            <w:vAlign w:val="center"/>
          </w:tcPr>
          <w:p>
            <w:pPr>
              <w:jc w:val="center"/>
            </w:pPr>
            <w:r>
              <w:rPr>
                <w:b/>
                <w:bCs/>
                <w:color w:val="E0A030"/>
                <w:sz w:val="19"/>
                <w:szCs w:val="19"/>
              </w:rPr>
              <w:t xml:space="preserve">6</w:t>
            </w:r>
          </w:p>
        </w:tc>
        <w:tc>
          <w:tcPr>
            <w:tcW w:type="dxa" w:w="50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No blank/broken loads observed, but every direct route load shows a 1–2s unstyled black screen; no Lighthouse data available to score Core Web Vitals directly.</w:t>
            </w:r>
          </w:p>
        </w:tc>
      </w:tr>
      <w:tr>
        <w:tc>
          <w:tcPr>
            <w:tcW w:type="dxa" w:w="4200"/>
            <w:shd w:fill="0F0F0F" w:val="clear"/>
            <w:tcMar>
              <w:top w:type="dxa" w:w="80"/>
              <w:left w:type="dxa" w:w="100"/>
              <w:bottom w:type="dxa" w:w="80"/>
              <w:right w:type="dxa" w:w="100"/>
            </w:tcMar>
            <w:vAlign w:val="center"/>
          </w:tcPr>
          <w:p>
            <w:pPr>
              <w:jc w:val="left"/>
            </w:pPr>
            <w:r>
              <w:rPr>
                <w:b/>
                <w:bCs/>
                <w:color w:val="FFFFFF"/>
                <w:sz w:val="19"/>
                <w:szCs w:val="19"/>
              </w:rPr>
              <w:t xml:space="preserve">Accessibility</w:t>
            </w:r>
          </w:p>
        </w:tc>
        <w:tc>
          <w:tcPr>
            <w:tcW w:type="dxa" w:w="1600"/>
            <w:shd w:fill="0F0F0F" w:val="clear"/>
            <w:tcMar>
              <w:top w:type="dxa" w:w="80"/>
              <w:left w:type="dxa" w:w="100"/>
              <w:bottom w:type="dxa" w:w="80"/>
              <w:right w:type="dxa" w:w="100"/>
            </w:tcMar>
            <w:vAlign w:val="center"/>
          </w:tcPr>
          <w:p>
            <w:pPr>
              <w:jc w:val="center"/>
            </w:pPr>
            <w:r>
              <w:rPr>
                <w:b/>
                <w:bCs/>
                <w:color w:val="E05353"/>
                <w:sz w:val="19"/>
                <w:szCs w:val="19"/>
              </w:rPr>
              <w:t xml:space="preserve">4</w:t>
            </w:r>
          </w:p>
        </w:tc>
        <w:tc>
          <w:tcPr>
            <w:tcW w:type="dxa" w:w="50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Confirmed WCAG 2.2 AA failures on the flagship tool (unlabelled fields, sub-AA contrast, missing H1) found via direct DOM/contrast inspection, not assumption.</w:t>
            </w:r>
          </w:p>
        </w:tc>
      </w:tr>
      <w:tr>
        <w:tc>
          <w:tcPr>
            <w:tcW w:type="dxa" w:w="4200"/>
            <w:shd w:fill="1B1B1B" w:val="clear"/>
            <w:tcMar>
              <w:top w:type="dxa" w:w="80"/>
              <w:left w:type="dxa" w:w="100"/>
              <w:bottom w:type="dxa" w:w="80"/>
              <w:right w:type="dxa" w:w="100"/>
            </w:tcMar>
            <w:vAlign w:val="center"/>
          </w:tcPr>
          <w:p>
            <w:pPr>
              <w:jc w:val="left"/>
            </w:pPr>
            <w:r>
              <w:rPr>
                <w:b/>
                <w:bCs/>
                <w:color w:val="FFFFFF"/>
                <w:sz w:val="19"/>
                <w:szCs w:val="19"/>
              </w:rPr>
              <w:t xml:space="preserve">SEO</w:t>
            </w:r>
          </w:p>
        </w:tc>
        <w:tc>
          <w:tcPr>
            <w:tcW w:type="dxa" w:w="1600"/>
            <w:shd w:fill="1B1B1B" w:val="clear"/>
            <w:tcMar>
              <w:top w:type="dxa" w:w="80"/>
              <w:left w:type="dxa" w:w="100"/>
              <w:bottom w:type="dxa" w:w="80"/>
              <w:right w:type="dxa" w:w="100"/>
            </w:tcMar>
            <w:vAlign w:val="center"/>
          </w:tcPr>
          <w:p>
            <w:pPr>
              <w:jc w:val="center"/>
            </w:pPr>
            <w:r>
              <w:rPr>
                <w:b/>
                <w:bCs/>
                <w:color w:val="E0A030"/>
                <w:sz w:val="19"/>
                <w:szCs w:val="19"/>
              </w:rPr>
              <w:t xml:space="preserve">5</w:t>
            </w:r>
          </w:p>
        </w:tc>
        <w:tc>
          <w:tcPr>
            <w:tcW w:type="dxa" w:w="50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Excellent homepage metadata undermined by a sitemap that omits the actual product pages and a soft-404 configuration — both confirmed via direct fetch, not inference.</w:t>
            </w:r>
          </w:p>
        </w:tc>
      </w:tr>
      <w:tr>
        <w:tc>
          <w:tcPr>
            <w:tcW w:type="dxa" w:w="4200"/>
            <w:shd w:fill="0F0F0F" w:val="clear"/>
            <w:tcMar>
              <w:top w:type="dxa" w:w="80"/>
              <w:left w:type="dxa" w:w="100"/>
              <w:bottom w:type="dxa" w:w="80"/>
              <w:right w:type="dxa" w:w="100"/>
            </w:tcMar>
            <w:vAlign w:val="center"/>
          </w:tcPr>
          <w:p>
            <w:pPr>
              <w:jc w:val="left"/>
            </w:pPr>
            <w:r>
              <w:rPr>
                <w:b/>
                <w:bCs/>
                <w:color w:val="FFFFFF"/>
                <w:sz w:val="19"/>
                <w:szCs w:val="19"/>
              </w:rPr>
              <w:t xml:space="preserve">Security*</w:t>
            </w:r>
          </w:p>
        </w:tc>
        <w:tc>
          <w:tcPr>
            <w:tcW w:type="dxa" w:w="1600"/>
            <w:shd w:fill="0F0F0F" w:val="clear"/>
            <w:tcMar>
              <w:top w:type="dxa" w:w="80"/>
              <w:left w:type="dxa" w:w="100"/>
              <w:bottom w:type="dxa" w:w="80"/>
              <w:right w:type="dxa" w:w="100"/>
            </w:tcMar>
            <w:vAlign w:val="center"/>
          </w:tcPr>
          <w:p>
            <w:pPr>
              <w:jc w:val="center"/>
            </w:pPr>
            <w:r>
              <w:rPr>
                <w:b/>
                <w:bCs/>
                <w:color w:val="E0A030"/>
                <w:sz w:val="19"/>
                <w:szCs w:val="19"/>
              </w:rPr>
              <w:t xml:space="preserve">6</w:t>
            </w:r>
          </w:p>
        </w:tc>
        <w:tc>
          <w:tcPr>
            <w:tcW w:type="dxa" w:w="50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No exposed secrets or obvious front-end vulnerabilities found; score is capped because RLS policy correctness, response headers and auth-token storage could not be independently verified from the browser.</w:t>
            </w:r>
          </w:p>
        </w:tc>
      </w:tr>
      <w:tr>
        <w:tc>
          <w:tcPr>
            <w:tcW w:type="dxa" w:w="4200"/>
            <w:shd w:fill="1B1B1B" w:val="clear"/>
            <w:tcMar>
              <w:top w:type="dxa" w:w="80"/>
              <w:left w:type="dxa" w:w="100"/>
              <w:bottom w:type="dxa" w:w="80"/>
              <w:right w:type="dxa" w:w="100"/>
            </w:tcMar>
            <w:vAlign w:val="center"/>
          </w:tcPr>
          <w:p>
            <w:pPr>
              <w:jc w:val="left"/>
            </w:pPr>
            <w:r>
              <w:rPr>
                <w:b/>
                <w:bCs/>
                <w:color w:val="FFFFFF"/>
                <w:sz w:val="19"/>
                <w:szCs w:val="19"/>
              </w:rPr>
              <w:t xml:space="preserve">Scalability</w:t>
            </w:r>
          </w:p>
        </w:tc>
        <w:tc>
          <w:tcPr>
            <w:tcW w:type="dxa" w:w="1600"/>
            <w:shd w:fill="1B1B1B" w:val="clear"/>
            <w:tcMar>
              <w:top w:type="dxa" w:w="80"/>
              <w:left w:type="dxa" w:w="100"/>
              <w:bottom w:type="dxa" w:w="80"/>
              <w:right w:type="dxa" w:w="100"/>
            </w:tcMar>
            <w:vAlign w:val="center"/>
          </w:tcPr>
          <w:p>
            <w:pPr>
              <w:jc w:val="center"/>
            </w:pPr>
            <w:r>
              <w:rPr>
                <w:b/>
                <w:bCs/>
                <w:color w:val="E05353"/>
                <w:sz w:val="19"/>
                <w:szCs w:val="19"/>
              </w:rPr>
              <w:t xml:space="preserve">N/A</w:t>
            </w:r>
          </w:p>
        </w:tc>
        <w:tc>
          <w:tcPr>
            <w:tcW w:type="dxa" w:w="50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Not assessable without backend/infrastructure access; code-splitting and a modern Worker/Supabase stack are positive architectural signals observed in this pass.</w:t>
            </w:r>
          </w:p>
        </w:tc>
      </w:tr>
      <w:tr>
        <w:tc>
          <w:tcPr>
            <w:tcW w:type="dxa" w:w="4200"/>
            <w:shd w:fill="0F0F0F" w:val="clear"/>
            <w:tcMar>
              <w:top w:type="dxa" w:w="80"/>
              <w:left w:type="dxa" w:w="100"/>
              <w:bottom w:type="dxa" w:w="80"/>
              <w:right w:type="dxa" w:w="100"/>
            </w:tcMar>
            <w:vAlign w:val="center"/>
          </w:tcPr>
          <w:p>
            <w:pPr>
              <w:jc w:val="left"/>
            </w:pPr>
            <w:r>
              <w:rPr>
                <w:b/>
                <w:bCs/>
                <w:color w:val="FFFFFF"/>
                <w:sz w:val="19"/>
                <w:szCs w:val="19"/>
              </w:rPr>
              <w:t xml:space="preserve">Maintainability</w:t>
            </w:r>
          </w:p>
        </w:tc>
        <w:tc>
          <w:tcPr>
            <w:tcW w:type="dxa" w:w="1600"/>
            <w:shd w:fill="0F0F0F" w:val="clear"/>
            <w:tcMar>
              <w:top w:type="dxa" w:w="80"/>
              <w:left w:type="dxa" w:w="100"/>
              <w:bottom w:type="dxa" w:w="80"/>
              <w:right w:type="dxa" w:w="100"/>
            </w:tcMar>
            <w:vAlign w:val="center"/>
          </w:tcPr>
          <w:p>
            <w:pPr>
              <w:jc w:val="center"/>
            </w:pPr>
            <w:r>
              <w:rPr>
                <w:b/>
                <w:bCs/>
                <w:color w:val="E05353"/>
                <w:sz w:val="19"/>
                <w:szCs w:val="19"/>
              </w:rPr>
              <w:t xml:space="preserve">N/A</w:t>
            </w:r>
          </w:p>
        </w:tc>
        <w:tc>
          <w:tcPr>
            <w:tcW w:type="dxa" w:w="50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Not assessable without source-code access; consistent componentised UI patterns observed from the outside are a positive proxy signal only.</w:t>
            </w:r>
          </w:p>
        </w:tc>
      </w:tr>
      <w:tr>
        <w:tc>
          <w:tcPr>
            <w:tcW w:type="dxa" w:w="4200"/>
            <w:shd w:fill="1B1B1B" w:val="clear"/>
            <w:tcMar>
              <w:top w:type="dxa" w:w="80"/>
              <w:left w:type="dxa" w:w="100"/>
              <w:bottom w:type="dxa" w:w="80"/>
              <w:right w:type="dxa" w:w="100"/>
            </w:tcMar>
            <w:vAlign w:val="center"/>
          </w:tcPr>
          <w:p>
            <w:pPr>
              <w:jc w:val="left"/>
            </w:pPr>
            <w:r>
              <w:rPr>
                <w:b/>
                <w:bCs/>
                <w:color w:val="FFFFFF"/>
                <w:sz w:val="19"/>
                <w:szCs w:val="19"/>
              </w:rPr>
              <w:t xml:space="preserve">Content Quality</w:t>
            </w:r>
          </w:p>
        </w:tc>
        <w:tc>
          <w:tcPr>
            <w:tcW w:type="dxa" w:w="1600"/>
            <w:shd w:fill="1B1B1B" w:val="clear"/>
            <w:tcMar>
              <w:top w:type="dxa" w:w="80"/>
              <w:left w:type="dxa" w:w="100"/>
              <w:bottom w:type="dxa" w:w="80"/>
              <w:right w:type="dxa" w:w="100"/>
            </w:tcMar>
            <w:vAlign w:val="center"/>
          </w:tcPr>
          <w:p>
            <w:pPr>
              <w:jc w:val="center"/>
            </w:pPr>
            <w:r>
              <w:rPr>
                <w:b/>
                <w:bCs/>
                <w:color w:val="5FBF6B"/>
                <w:sz w:val="19"/>
                <w:szCs w:val="19"/>
              </w:rPr>
              <w:t xml:space="preserve">8</w:t>
            </w:r>
          </w:p>
        </w:tc>
        <w:tc>
          <w:tcPr>
            <w:tcW w:type="dxa" w:w="50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Consistent tone, no grammar/spelling errors found across every page's extracted text, and an unusually thorough, well-written Privacy Policy.</w:t>
            </w:r>
          </w:p>
        </w:tc>
      </w:tr>
      <w:tr>
        <w:tc>
          <w:tcPr>
            <w:tcW w:type="dxa" w:w="4200"/>
            <w:shd w:fill="0F0F0F" w:val="clear"/>
            <w:tcMar>
              <w:top w:type="dxa" w:w="80"/>
              <w:left w:type="dxa" w:w="100"/>
              <w:bottom w:type="dxa" w:w="80"/>
              <w:right w:type="dxa" w:w="100"/>
            </w:tcMar>
            <w:vAlign w:val="center"/>
          </w:tcPr>
          <w:p>
            <w:pPr>
              <w:jc w:val="left"/>
            </w:pPr>
            <w:r>
              <w:rPr>
                <w:b/>
                <w:bCs/>
                <w:color w:val="FFFFFF"/>
                <w:sz w:val="19"/>
                <w:szCs w:val="19"/>
              </w:rPr>
              <w:t xml:space="preserve">Trust &amp; Compliance Posture</w:t>
            </w:r>
          </w:p>
        </w:tc>
        <w:tc>
          <w:tcPr>
            <w:tcW w:type="dxa" w:w="1600"/>
            <w:shd w:fill="0F0F0F" w:val="clear"/>
            <w:tcMar>
              <w:top w:type="dxa" w:w="80"/>
              <w:left w:type="dxa" w:w="100"/>
              <w:bottom w:type="dxa" w:w="80"/>
              <w:right w:type="dxa" w:w="100"/>
            </w:tcMar>
            <w:vAlign w:val="center"/>
          </w:tcPr>
          <w:p>
            <w:pPr>
              <w:jc w:val="center"/>
            </w:pPr>
            <w:r>
              <w:rPr>
                <w:b/>
                <w:bCs/>
                <w:color w:val="5FBF6B"/>
                <w:sz w:val="19"/>
                <w:szCs w:val="19"/>
              </w:rPr>
              <w:t xml:space="preserve">7</w:t>
            </w:r>
          </w:p>
        </w:tc>
        <w:tc>
          <w:tcPr>
            <w:tcW w:type="dxa" w:w="50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Sitewide financial-advice disclaimer, DPDP/GDPR-literate privacy policy and explicit RLS commitment are genuine strengths; undermined by the stated-hosting-provider mismatch (§3) and by unverified security claims.</w:t>
            </w:r>
          </w:p>
        </w:tc>
      </w:tr>
      <w:tr>
        <w:tc>
          <w:tcPr>
            <w:tcW w:type="dxa" w:w="4200"/>
            <w:shd w:fill="1B1B1B" w:val="clear"/>
            <w:tcMar>
              <w:top w:type="dxa" w:w="80"/>
              <w:left w:type="dxa" w:w="100"/>
              <w:bottom w:type="dxa" w:w="80"/>
              <w:right w:type="dxa" w:w="100"/>
            </w:tcMar>
            <w:vAlign w:val="center"/>
          </w:tcPr>
          <w:p>
            <w:pPr>
              <w:jc w:val="left"/>
            </w:pPr>
            <w:r>
              <w:rPr>
                <w:b/>
                <w:bCs/>
                <w:color w:val="FFFFFF"/>
                <w:sz w:val="19"/>
                <w:szCs w:val="19"/>
              </w:rPr>
              <w:t xml:space="preserve">Branding</w:t>
            </w:r>
          </w:p>
        </w:tc>
        <w:tc>
          <w:tcPr>
            <w:tcW w:type="dxa" w:w="1600"/>
            <w:shd w:fill="1B1B1B" w:val="clear"/>
            <w:tcMar>
              <w:top w:type="dxa" w:w="80"/>
              <w:left w:type="dxa" w:w="100"/>
              <w:bottom w:type="dxa" w:w="80"/>
              <w:right w:type="dxa" w:w="100"/>
            </w:tcMar>
            <w:vAlign w:val="center"/>
          </w:tcPr>
          <w:p>
            <w:pPr>
              <w:jc w:val="center"/>
            </w:pPr>
            <w:r>
              <w:rPr>
                <w:b/>
                <w:bCs/>
                <w:color w:val="5FBF6B"/>
                <w:sz w:val="19"/>
                <w:szCs w:val="19"/>
              </w:rPr>
              <w:t xml:space="preserve">8</w:t>
            </w:r>
          </w:p>
        </w:tc>
        <w:tc>
          <w:tcPr>
            <w:tcW w:type="dxa" w:w="50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Clear, memorable positioning (“Made in India,” “Free forever,” “Privacy first”) reinforced consistently at every decision point observed.</w:t>
            </w:r>
          </w:p>
        </w:tc>
      </w:tr>
      <w:tr>
        <w:tc>
          <w:tcPr>
            <w:tcW w:type="dxa" w:w="4200"/>
            <w:shd w:fill="0F0F0F" w:val="clear"/>
            <w:tcMar>
              <w:top w:type="dxa" w:w="80"/>
              <w:left w:type="dxa" w:w="100"/>
              <w:bottom w:type="dxa" w:w="80"/>
              <w:right w:type="dxa" w:w="100"/>
            </w:tcMar>
            <w:vAlign w:val="center"/>
          </w:tcPr>
          <w:p>
            <w:pPr>
              <w:jc w:val="left"/>
            </w:pPr>
            <w:r>
              <w:rPr>
                <w:b/>
                <w:bCs/>
                <w:color w:val="FFFFFF"/>
                <w:sz w:val="19"/>
                <w:szCs w:val="19"/>
              </w:rPr>
              <w:t xml:space="preserve">Conversion Optimisation</w:t>
            </w:r>
          </w:p>
        </w:tc>
        <w:tc>
          <w:tcPr>
            <w:tcW w:type="dxa" w:w="1600"/>
            <w:shd w:fill="0F0F0F" w:val="clear"/>
            <w:tcMar>
              <w:top w:type="dxa" w:w="80"/>
              <w:left w:type="dxa" w:w="100"/>
              <w:bottom w:type="dxa" w:w="80"/>
              <w:right w:type="dxa" w:w="100"/>
            </w:tcMar>
            <w:vAlign w:val="center"/>
          </w:tcPr>
          <w:p>
            <w:pPr>
              <w:jc w:val="center"/>
            </w:pPr>
            <w:r>
              <w:rPr>
                <w:b/>
                <w:bCs/>
                <w:color w:val="E0A030"/>
                <w:sz w:val="19"/>
                <w:szCs w:val="19"/>
              </w:rPr>
              <w:t xml:space="preserve">5</w:t>
            </w:r>
          </w:p>
        </w:tc>
        <w:tc>
          <w:tcPr>
            <w:tcW w:type="dxa" w:w="50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Good bottom-of-page CTA and trust badges undercut by the premature interrupt modal and the fully-gated, zero-preview Careers product.</w:t>
            </w:r>
          </w:p>
        </w:tc>
      </w:tr>
      <w:tr>
        <w:tc>
          <w:tcPr>
            <w:tcW w:type="dxa" w:w="4200"/>
            <w:shd w:fill="1B1B1B" w:val="clear"/>
            <w:tcMar>
              <w:top w:type="dxa" w:w="80"/>
              <w:left w:type="dxa" w:w="100"/>
              <w:bottom w:type="dxa" w:w="80"/>
              <w:right w:type="dxa" w:w="100"/>
            </w:tcMar>
            <w:vAlign w:val="center"/>
          </w:tcPr>
          <w:p>
            <w:pPr>
              <w:jc w:val="left"/>
            </w:pPr>
            <w:r>
              <w:rPr>
                <w:b/>
                <w:bCs/>
                <w:color w:val="FFFFFF"/>
                <w:sz w:val="19"/>
                <w:szCs w:val="19"/>
              </w:rPr>
              <w:t xml:space="preserve">Technical Quality (front-end, as observed)</w:t>
            </w:r>
          </w:p>
        </w:tc>
        <w:tc>
          <w:tcPr>
            <w:tcW w:type="dxa" w:w="1600"/>
            <w:shd w:fill="1B1B1B" w:val="clear"/>
            <w:tcMar>
              <w:top w:type="dxa" w:w="80"/>
              <w:left w:type="dxa" w:w="100"/>
              <w:bottom w:type="dxa" w:w="80"/>
              <w:right w:type="dxa" w:w="100"/>
            </w:tcMar>
            <w:vAlign w:val="center"/>
          </w:tcPr>
          <w:p>
            <w:pPr>
              <w:jc w:val="center"/>
            </w:pPr>
            <w:r>
              <w:rPr>
                <w:b/>
                <w:bCs/>
                <w:color w:val="E0A030"/>
                <w:sz w:val="19"/>
                <w:szCs w:val="19"/>
              </w:rPr>
              <w:t xml:space="preserve">6</w:t>
            </w:r>
          </w:p>
        </w:tc>
        <w:tc>
          <w:tcPr>
            <w:tcW w:type="dxa" w:w="5000"/>
            <w:shd w:fill="1B1B1B" w:val="clear"/>
            <w:tcMar>
              <w:top w:type="dxa" w:w="80"/>
              <w:left w:type="dxa" w:w="100"/>
              <w:bottom w:type="dxa" w:w="80"/>
              <w:right w:type="dxa" w:w="100"/>
            </w:tcMar>
            <w:vAlign w:val="center"/>
          </w:tcPr>
          <w:p>
            <w:pPr>
              <w:jc w:val="left"/>
            </w:pPr>
            <w:r>
              <w:rPr>
                <w:b w:val="false"/>
                <w:bCs w:val="false"/>
                <w:color w:val="CFCFCF"/>
                <w:sz w:val="19"/>
                <w:szCs w:val="19"/>
              </w:rPr>
              <w:t xml:space="preserve">Modern stack (React/Vite, code-split routes, Supabase), custom 404 page and working real-time calculations; offset by the soft-404 status code and unlabelled-form-field defects found via direct inspection.</w:t>
            </w:r>
          </w:p>
        </w:tc>
      </w:tr>
      <w:tr>
        <w:tc>
          <w:tcPr>
            <w:tcW w:type="dxa" w:w="4200"/>
            <w:shd w:fill="0F0F0F" w:val="clear"/>
            <w:tcMar>
              <w:top w:type="dxa" w:w="80"/>
              <w:left w:type="dxa" w:w="100"/>
              <w:bottom w:type="dxa" w:w="80"/>
              <w:right w:type="dxa" w:w="100"/>
            </w:tcMar>
            <w:vAlign w:val="center"/>
          </w:tcPr>
          <w:p>
            <w:pPr>
              <w:jc w:val="left"/>
            </w:pPr>
            <w:r>
              <w:rPr>
                <w:b/>
                <w:bCs/>
                <w:color w:val="FFFFFF"/>
                <w:sz w:val="19"/>
                <w:szCs w:val="19"/>
              </w:rPr>
              <w:t xml:space="preserve">Overall Product Readiness</w:t>
            </w:r>
          </w:p>
        </w:tc>
        <w:tc>
          <w:tcPr>
            <w:tcW w:type="dxa" w:w="1600"/>
            <w:shd w:fill="0F0F0F" w:val="clear"/>
            <w:tcMar>
              <w:top w:type="dxa" w:w="80"/>
              <w:left w:type="dxa" w:w="100"/>
              <w:bottom w:type="dxa" w:w="80"/>
              <w:right w:type="dxa" w:w="100"/>
            </w:tcMar>
            <w:vAlign w:val="center"/>
          </w:tcPr>
          <w:p>
            <w:pPr>
              <w:jc w:val="center"/>
            </w:pPr>
            <w:r>
              <w:rPr>
                <w:b/>
                <w:bCs/>
                <w:color w:val="E0A030"/>
                <w:sz w:val="19"/>
                <w:szCs w:val="19"/>
              </w:rPr>
              <w:t xml:space="preserve">6</w:t>
            </w:r>
          </w:p>
        </w:tc>
        <w:tc>
          <w:tcPr>
            <w:tcW w:type="dxa" w:w="5000"/>
            <w:shd w:fill="0F0F0F" w:val="clear"/>
            <w:tcMar>
              <w:top w:type="dxa" w:w="80"/>
              <w:left w:type="dxa" w:w="100"/>
              <w:bottom w:type="dxa" w:w="80"/>
              <w:right w:type="dxa" w:w="100"/>
            </w:tcMar>
            <w:vAlign w:val="center"/>
          </w:tcPr>
          <w:p>
            <w:pPr>
              <w:jc w:val="left"/>
            </w:pPr>
            <w:r>
              <w:rPr>
                <w:b w:val="false"/>
                <w:bCs w:val="false"/>
                <w:color w:val="CFCFCF"/>
                <w:sz w:val="19"/>
                <w:szCs w:val="19"/>
              </w:rPr>
              <w:t xml:space="preserve">A functionally substantial, distinctively branded product with a mature privacy posture, held back from “investor/enterprise-ready” by a small, concentrated, and inexpensive-to-fix set of first-impression, accessibility and SEO issues documented in this report.</w:t>
            </w:r>
          </w:p>
        </w:tc>
      </w:tr>
    </w:tbl>
    <w:p>
      <w:pPr>
        <w:pStyle w:val="Heading1"/>
        <w:spacing w:after="200" w:before="400"/>
      </w:pPr>
      <w:r>
        <w:t xml:space="preserve">15. Consolidated List — Requires Manual Validation</w:t>
      </w:r>
    </w:p>
    <w:p>
      <w:pPr>
        <w:spacing w:after="160" w:line="300"/>
      </w:pPr>
      <w:r>
        <w:t xml:space="preserve">Everything below was explicitly out of reach of this browser-based audit pass and should be completed before FinatriX makes any external claim (to investors, enterprise partners, or universities) that depends on it. This list intentionally duplicates items already flagged inline above, gathered here as a single pre-launch checklist.</w:t>
      </w:r>
    </w:p>
    <w:p>
      <w:pPr>
        <w:pStyle w:val="Heading3"/>
        <w:spacing w:after="120" w:before="240"/>
      </w:pPr>
      <w:r>
        <w:t xml:space="preserve">Testing tooling not available in this environment</w:t>
      </w:r>
    </w:p>
    <w:p>
      <w:pPr>
        <w:pStyle w:val="ListParagraph"/>
        <w:numPr>
          <w:ilvl w:val="0"/>
          <w:numId w:val="2"/>
        </w:numPr>
        <w:spacing w:after="90" w:line="280"/>
      </w:pPr>
      <w:r>
        <w:t xml:space="preserve">Google Lighthouse / PageSpeed Insights run across all routes (Core Web Vitals: LCP, CLS, INP).</w:t>
      </w:r>
    </w:p>
    <w:p>
      <w:pPr>
        <w:pStyle w:val="ListParagraph"/>
        <w:numPr>
          <w:ilvl w:val="0"/>
          <w:numId w:val="2"/>
        </w:numPr>
        <w:spacing w:after="90" w:line="280"/>
      </w:pPr>
      <w:r>
        <w:t xml:space="preserve">axe-core or WAVE automated accessibility scan across all routes, guest and signed-in.</w:t>
      </w:r>
    </w:p>
    <w:p>
      <w:pPr>
        <w:pStyle w:val="ListParagraph"/>
        <w:numPr>
          <w:ilvl w:val="0"/>
          <w:numId w:val="2"/>
        </w:numPr>
        <w:spacing w:after="90" w:line="280"/>
      </w:pPr>
      <w:r>
        <w:t xml:space="preserve">Real device/cross-browser matrix (Safari iOS, Chrome Android, older Android WebView, Firefox, Edge).</w:t>
      </w:r>
    </w:p>
    <w:p>
      <w:pPr>
        <w:pStyle w:val="ListParagraph"/>
        <w:numPr>
          <w:ilvl w:val="0"/>
          <w:numId w:val="2"/>
        </w:numPr>
        <w:spacing w:after="90" w:line="280"/>
      </w:pPr>
      <w:r>
        <w:t xml:space="preserve">Throttled network testing (3G/4G) representative of the target Indian mobile user base.</w:t>
      </w:r>
    </w:p>
    <w:p>
      <w:pPr>
        <w:pStyle w:val="Heading3"/>
        <w:spacing w:after="120" w:before="240"/>
      </w:pPr>
      <w:r>
        <w:t xml:space="preserve">Requires backend/source access</w:t>
      </w:r>
    </w:p>
    <w:p>
      <w:pPr>
        <w:pStyle w:val="ListParagraph"/>
        <w:numPr>
          <w:ilvl w:val="0"/>
          <w:numId w:val="2"/>
        </w:numPr>
        <w:spacing w:after="90" w:line="280"/>
      </w:pPr>
      <w:r>
        <w:t xml:space="preserve">Supabase Row-Level Security policy review, table by table.</w:t>
      </w:r>
    </w:p>
    <w:p>
      <w:pPr>
        <w:pStyle w:val="ListParagraph"/>
        <w:numPr>
          <w:ilvl w:val="0"/>
          <w:numId w:val="2"/>
        </w:numPr>
        <w:spacing w:after="90" w:line="280"/>
      </w:pPr>
      <w:r>
        <w:t xml:space="preserve">Full HTTP response security header audit (CSP, HSTS, X-Frame-Options, Referrer-Policy, Permissions-Policy).</w:t>
      </w:r>
    </w:p>
    <w:p>
      <w:pPr>
        <w:pStyle w:val="ListParagraph"/>
        <w:numPr>
          <w:ilvl w:val="0"/>
          <w:numId w:val="2"/>
        </w:numPr>
        <w:spacing w:after="90" w:line="280"/>
      </w:pPr>
      <w:r>
        <w:t xml:space="preserve">Auth/session security review: token storage location, rate limiting, password-reset flow, account enumeration resistance.</w:t>
      </w:r>
    </w:p>
    <w:p>
      <w:pPr>
        <w:pStyle w:val="ListParagraph"/>
        <w:numPr>
          <w:ilvl w:val="0"/>
          <w:numId w:val="2"/>
        </w:numPr>
        <w:spacing w:after="90" w:line="280"/>
      </w:pPr>
      <w:r>
        <w:t xml:space="preserve">Financial-calculation accuracy sign-off from a subject-matter expert for ParkSmart's tax-slab math, PeerCompare's benchmark data, and LifeMap's projection model — this audit verified the forms render and accept input correctly, not that the underlying financial math is correct.</w:t>
      </w:r>
    </w:p>
    <w:p>
      <w:pPr>
        <w:pStyle w:val="ListParagraph"/>
        <w:numPr>
          <w:ilvl w:val="0"/>
          <w:numId w:val="2"/>
        </w:numPr>
        <w:spacing w:after="90" w:line="280"/>
      </w:pPr>
      <w:r>
        <w:t xml:space="preserve">A third-party penetration test, which enterprise and university procurement processes will very likely require regardless of this report's findings.</w:t>
      </w:r>
    </w:p>
    <w:p>
      <w:pPr>
        <w:pStyle w:val="Heading3"/>
        <w:spacing w:after="120" w:before="240"/>
      </w:pPr>
      <w:r>
        <w:t xml:space="preserve">Requires an authenticated test account (outside this session's safety boundary)</w:t>
      </w:r>
    </w:p>
    <w:p>
      <w:pPr>
        <w:pStyle w:val="ListParagraph"/>
        <w:numPr>
          <w:ilvl w:val="0"/>
          <w:numId w:val="2"/>
        </w:numPr>
        <w:spacing w:after="90" w:line="280"/>
      </w:pPr>
      <w:r>
        <w:t xml:space="preserve">End-to-end signup → email verification → login → cross-device data sync flow.</w:t>
      </w:r>
    </w:p>
    <w:p>
      <w:pPr>
        <w:pStyle w:val="ListParagraph"/>
        <w:numPr>
          <w:ilvl w:val="0"/>
          <w:numId w:val="2"/>
        </w:numPr>
        <w:spacing w:after="90" w:line="280"/>
      </w:pPr>
      <w:r>
        <w:t xml:space="preserve">Careers: resume upload, scoring output, ATS optimisation output, and interview-prep/coach functionality.</w:t>
      </w:r>
    </w:p>
    <w:p>
      <w:pPr>
        <w:pStyle w:val="ListParagraph"/>
        <w:numPr>
          <w:ilvl w:val="0"/>
          <w:numId w:val="2"/>
        </w:numPr>
        <w:spacing w:after="90" w:line="280"/>
      </w:pPr>
      <w:r>
        <w:t xml:space="preserve">Google OAuth completion flow.</w:t>
      </w:r>
    </w:p>
    <w:p>
      <w:pPr>
        <w:pStyle w:val="ListParagraph"/>
        <w:numPr>
          <w:ilvl w:val="0"/>
          <w:numId w:val="2"/>
        </w:numPr>
        <w:spacing w:after="90" w:line="280"/>
      </w:pPr>
      <w:r>
        <w:t xml:space="preserve">Account deletion / data export flow, to confirm it matches the rights described in the Privacy Policy.</w:t>
      </w:r>
    </w:p>
    <w:p>
      <w:pPr>
        <w:pStyle w:val="Heading1"/>
        <w:spacing w:after="200" w:before="400"/>
      </w:pPr>
      <w:r>
        <w:t xml:space="preserve">16. Appendix</w:t>
      </w:r>
    </w:p>
    <w:p>
      <w:pPr>
        <w:pStyle w:val="Heading2"/>
        <w:spacing w:after="150" w:before="300"/>
      </w:pPr>
      <w:r>
        <w:t xml:space="preserve">16.1 Pages captured with full-text extraction</w:t>
      </w:r>
    </w:p>
    <w:p>
      <w:pPr>
        <w:spacing w:after="160" w:line="300"/>
      </w:pPr>
      <w:r>
        <w:t xml:space="preserve">Home (/), /tools (redirect target /tools/lifemap), /tools/budget, /tools/expenses, /tools/investmatch, /tools/parksmart, /tools/peercompare, /tools/goals, /tools/lifemap, /careers, /login, /signup, /privacy, and an unmatched route (404 page).</w:t>
      </w:r>
    </w:p>
    <w:p>
      <w:pPr>
        <w:pStyle w:val="Heading2"/>
        <w:spacing w:after="150" w:before="300"/>
      </w:pPr>
      <w:r>
        <w:t xml:space="preserve">16.2 Raw technical evidence referenced in this report</w:t>
      </w:r>
    </w:p>
    <w:p>
      <w:pPr>
        <w:pStyle w:val="ListParagraph"/>
        <w:numPr>
          <w:ilvl w:val="0"/>
          <w:numId w:val="2"/>
        </w:numPr>
        <w:spacing w:after="90" w:line="280"/>
      </w:pPr>
      <w:r>
        <w:t xml:space="preserve">robots.txt (fetched directly): “User-agent: * / Allow: / / Disallow: /profile / Sitemap: https://finatrix.online/sitemap.xml”</w:t>
      </w:r>
    </w:p>
    <w:p>
      <w:pPr>
        <w:pStyle w:val="ListParagraph"/>
        <w:numPr>
          <w:ilvl w:val="0"/>
          <w:numId w:val="2"/>
        </w:numPr>
        <w:spacing w:after="90" w:line="280"/>
      </w:pPr>
      <w:r>
        <w:t xml:space="preserve">sitemap.xml (fetched directly): 4 &lt;url&gt; entries — https://finatrix.online/, /tools, /privacy, /terms — all referencing the finatrix.online production domain.</w:t>
      </w:r>
    </w:p>
    <w:p>
      <w:pPr>
        <w:pStyle w:val="ListParagraph"/>
        <w:numPr>
          <w:ilvl w:val="0"/>
          <w:numId w:val="2"/>
        </w:numPr>
        <w:spacing w:after="90" w:line="280"/>
      </w:pPr>
      <w:r>
        <w:t xml:space="preserve">Unmatched-route fetch: status 200, content-type text/html, serving the same bundle as every other route (SPA fallback confirmed).</w:t>
      </w:r>
    </w:p>
    <w:p>
      <w:pPr>
        <w:pStyle w:val="ListParagraph"/>
        <w:numPr>
          <w:ilvl w:val="0"/>
          <w:numId w:val="2"/>
        </w:numPr>
        <w:spacing w:after="90" w:line="280"/>
      </w:pPr>
      <w:r>
        <w:t xml:space="preserve">Client bundle inspection: React, a dedicated Supabase client chunk, and per-route code-split chunks (Home-*.js, tools-*.js) were all identified by filename in the network log, consistent with a Vite-built React SPA.</w:t>
      </w:r>
    </w:p>
    <w:p>
      <w:pPr>
        <w:pStyle w:val="ListParagraph"/>
        <w:numPr>
          <w:ilvl w:val="0"/>
          <w:numId w:val="2"/>
        </w:numPr>
        <w:spacing w:after="90" w:line="280"/>
      </w:pPr>
      <w:r>
        <w:t xml:space="preserve">Contrast measurements were computed programmatically using the WCAG relative-luminance formula against the sampled elements' getComputedStyle().color values on a near-black (#0A0A0A-class) background.</w:t>
      </w:r>
    </w:p>
    <w:p>
      <w:pPr>
        <w:pStyle w:val="Heading2"/>
        <w:spacing w:after="150" w:before="300"/>
      </w:pPr>
      <w:r>
        <w:t xml:space="preserve">16.3 Disclosure</w:t>
      </w:r>
    </w:p>
    <w:p>
      <w:pPr>
        <w:spacing w:after="160" w:line="300"/>
      </w:pPr>
      <w:r>
        <w:t xml:space="preserve">This report was produced by an AI-assisted audit process using live browser automation against the single URL provided (https://finatrix.finatrix-hub.workers.dev/). No separate staging environment was supplied despite being requested; if one exists and differs meaningfully from this build, it should be audited separately. All findings marked “confirmed” were directly reproduced with the evidence described; all findings marked as requiring manual validation are explicitly called out as such throughout, per the instruction that nothing be assumed or generalised without evidence.</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860B" w:sz="6" w:space="4"/>
      </w:pBdr>
      <w:spacing w:after="200" w:before="400"/>
    </w:pPr>
    <w:rPr>
      <w:rFonts w:ascii="Georgia" w:cs="Georgia" w:eastAsia="Georgia" w:hAnsi="Georgia"/>
      <w:b/>
      <w:bCs/>
      <w:color w:val="111111"/>
      <w:sz w:val="32"/>
      <w:szCs w:val="32"/>
    </w:rPr>
  </w:style>
  <w:style w:type="paragraph" w:styleId="Heading2">
    <w:name w:val="Heading 2"/>
    <w:basedOn w:val="Normal"/>
    <w:next w:val="Normal"/>
    <w:qFormat/>
    <w:pPr>
      <w:spacing w:after="150" w:before="300"/>
    </w:pPr>
    <w:rPr>
      <w:b/>
      <w:bCs/>
      <w:color w:val="2A2A2A"/>
      <w:sz w:val="26"/>
      <w:szCs w:val="26"/>
    </w:rPr>
  </w:style>
  <w:style w:type="paragraph" w:styleId="Heading3">
    <w:name w:val="Heading 3"/>
    <w:basedOn w:val="Normal"/>
    <w:next w:val="Normal"/>
    <w:qFormat/>
    <w:pPr>
      <w:spacing w:after="120" w:before="240"/>
    </w:pPr>
    <w:rPr>
      <w:b/>
      <w:bCs/>
      <w:color w:val="B8860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2026-07-11T04:40:49.455Z</dcterms:created>
  <dcterms:modified xsi:type="dcterms:W3CDTF">2026-07-11T04:40:49.455Z</dcterms:modified>
</cp:coreProperties>
</file>

<file path=docProps/custom.xml><?xml version="1.0" encoding="utf-8"?>
<Properties xmlns="http://schemas.openxmlformats.org/officeDocument/2006/custom-properties" xmlns:vt="http://schemas.openxmlformats.org/officeDocument/2006/docPropsVTypes"/>
</file>