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FINAULT</w:t>
      </w:r>
    </w:p>
    <w:p>
      <w:pPr>
        <w:spacing w:after="100"/>
        <w:jc w:val="center"/>
      </w:pPr>
      <w:r>
        <w:rPr>
          <w:rFonts w:ascii="Arial" w:cs="Arial" w:eastAsia="Arial" w:hAnsi="Arial"/>
          <w:color w:val="555555"/>
          <w:sz w:val="36"/>
          <w:szCs w:val="36"/>
        </w:rPr>
        <w:t xml:space="preserve">SOC 2 Type II Readiness Assessment</w:t>
      </w:r>
    </w:p>
    <w:p>
      <w:pPr>
        <w:spacing w:after="600"/>
        <w:jc w:val="center"/>
      </w:pPr>
      <w:r>
        <w:rPr>
          <w:rFonts w:ascii="Arial" w:cs="Arial" w:eastAsia="Arial" w:hAnsi="Arial"/>
          <w:color w:val="888888"/>
          <w:sz w:val="24"/>
          <w:szCs w:val="24"/>
        </w:rPr>
        <w:t xml:space="preserve">Internal Assessment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single" w:color="1B2A4A" w:sz="3"/>
              <w:bottom w:val="single" w:color="1B2A4A" w:sz="3"/>
              <w:right w:val="single" w:color="1B2A4A" w:sz="3"/>
            </w:tcBorders>
            <w:shd w:fill="F0F4F8" w:val="clear"/>
            <w:tcMar>
              <w:top w:type="dxa" w:w="200"/>
              <w:left w:type="dxa" w:w="300"/>
              <w:bottom w:type="dxa" w:w="200"/>
              <w:right w:type="dxa" w:w="300"/>
            </w:tcMar>
          </w:tcPr>
          <w:p>
            <w:pPr>
              <w:spacing w:after="120"/>
            </w:pPr>
            <w:r>
              <w:rPr>
                <w:rFonts w:ascii="Arial" w:cs="Arial" w:eastAsia="Arial" w:hAnsi="Arial"/>
                <w:b/>
                <w:bCs/>
                <w:color w:val="C0392B"/>
                <w:sz w:val="20"/>
                <w:szCs w:val="20"/>
              </w:rPr>
              <w:t xml:space="preserve">CLASSIFICATION: CONFIDENTIAL</w:t>
            </w:r>
          </w:p>
          <w:p>
            <w:pPr>
              <w:spacing w:after="80"/>
            </w:pPr>
            <w:r>
              <w:rPr>
                <w:rFonts w:ascii="Arial" w:cs="Arial" w:eastAsia="Arial" w:hAnsi="Arial"/>
                <w:sz w:val="22"/>
                <w:szCs w:val="22"/>
              </w:rPr>
              <w:t xml:space="preserve">Prepared for: Bernie Cott, CEO</w:t>
            </w:r>
          </w:p>
          <w:p>
            <w:pPr>
              <w:spacing w:after="80"/>
            </w:pPr>
            <w:r>
              <w:rPr>
                <w:rFonts w:ascii="Arial" w:cs="Arial" w:eastAsia="Arial" w:hAnsi="Arial"/>
                <w:sz w:val="22"/>
                <w:szCs w:val="22"/>
              </w:rPr>
              <w:t xml:space="preserve">Assessment Date: February 14, 2026</w:t>
            </w:r>
          </w:p>
          <w:p>
            <w:pPr>
              <w:spacing w:after="80"/>
            </w:pPr>
            <w:r>
              <w:rPr>
                <w:rFonts w:ascii="Arial" w:cs="Arial" w:eastAsia="Arial" w:hAnsi="Arial"/>
                <w:b/>
                <w:bCs/>
                <w:color w:val="C0392B"/>
                <w:sz w:val="22"/>
                <w:szCs w:val="22"/>
              </w:rPr>
              <w:t xml:space="preserve">Overall Readiness: 54% — NOT READY FOR AUDIT</w:t>
            </w:r>
          </w:p>
          <w:p>
            <w:r>
              <w:rPr>
                <w:rFonts w:ascii="Arial" w:cs="Arial" w:eastAsia="Arial" w:hAnsi="Arial"/>
                <w:sz w:val="22"/>
                <w:szCs w:val="22"/>
              </w:rPr>
              <w:t xml:space="preserve">Target Readiness: Q4 2026 (if implementation starts now)</w:t>
            </w:r>
          </w:p>
        </w:tc>
      </w:tr>
    </w:tbl>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b/>
          <w:bCs/>
        </w:rPr>
        <w:t xml:space="preserve">Executive Summary</w:t>
      </w:r>
    </w:p>
    <w:p>
      <w:pPr>
        <w:spacing w:after="120"/>
      </w:pPr>
      <w:r>
        <w:rPr>
          <w:rFonts w:ascii="Arial" w:cs="Arial" w:eastAsia="Arial" w:hAnsi="Arial"/>
          <w:sz w:val="22"/>
          <w:szCs w:val="22"/>
        </w:rPr>
        <w:t xml:space="preserve">Finault has strong foundational code controls but is NOT ready for a SOC 2 Type II audit. The code-level security posture is solid — AES-256-GCM encryption, JWT token revocation, OWASP security headers, input sanitization, PII redaction, IP allowlisting, replay protection, multi-tenant isolation, and comprehensive audit event hooks are all implemented and production-tested.</w:t>
      </w:r>
    </w:p>
    <w:p>
      <w:pPr>
        <w:spacing w:after="120"/>
      </w:pPr>
      <w:r>
        <w:rPr>
          <w:rFonts w:ascii="Arial" w:cs="Arial" w:eastAsia="Arial" w:hAnsi="Arial"/>
          <w:sz w:val="22"/>
          <w:szCs w:val="22"/>
        </w:rPr>
        <w:t xml:space="preserve">However, SOC 2 Type II requires 3–12 months of operational evidence: documented logs, incident reports, monitoring data, access reviews, and management sign-offs. Code alone, no matter how robust, does not satisfy a Type II audit. The gap is operational maturity, not engineering quality.</w:t>
      </w:r>
    </w:p>
    <w:p>
      <w:pPr>
        <w:pStyle w:val="Heading1"/>
        <w:spacing w:before="300" w:after="150"/>
      </w:pPr>
      <w:r>
        <w:rPr>
          <w:rFonts w:ascii="Arial" w:cs="Arial" w:eastAsia="Arial" w:hAnsi="Arial"/>
          <w:b/>
          <w:bCs/>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800"/>
        <w:gridCol w:w="3000"/>
        <w:gridCol w:w="2760"/>
      </w:tblGrid>
      <w:t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TSC Criteria</w:t>
            </w:r>
          </w:p>
        </w:tc>
        <w:tc>
          <w:tcPr>
            <w:tcW w:type="dxa" w:w="1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Rating</w:t>
            </w:r>
          </w:p>
        </w:tc>
        <w:tc>
          <w:tcPr>
            <w:tcW w:type="dxa" w:w="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Priority</w:t>
            </w:r>
          </w:p>
        </w:tc>
        <w:tc>
          <w:tcPr>
            <w:tcW w:type="dxa" w:w="3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What We Have</w:t>
            </w:r>
          </w:p>
        </w:tc>
        <w:tc>
          <w:tcPr>
            <w:tcW w:type="dxa" w:w="27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What’s Missing</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CC1: Control Environment</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FFFFFF"/>
                <w:sz w:val="20"/>
                <w:szCs w:val="20"/>
                <w:shd w:fill="E67E22" w:val="clear"/>
              </w:rPr>
              <w:t xml:space="preserve"> PARTIAL </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E67E22"/>
                <w:sz w:val="20"/>
                <w:szCs w:val="20"/>
              </w:rPr>
              <w:t xml:space="preserve">P1</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RBAC with 5-tier role hierarchy, org-scoped permissions, admin verification on sensitive ops</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Written security policies, management sign-off, role documentation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CC2: Communication</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FFFFFF"/>
                <w:sz w:val="20"/>
                <w:szCs w:val="20"/>
                <w:shd w:fill="C0392B" w:val="clear"/>
              </w:rPr>
              <w:t xml:space="preserve"> FAIL </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C0392B"/>
                <w:sz w:val="20"/>
                <w:szCs w:val="20"/>
              </w:rPr>
              <w:t xml:space="preserve">P0</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API docs (OpenAPI), structured error codes, README docs</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Incident response plan, breach notification policy, vendor risk management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CC3: Risk Assessment</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FFFFFF"/>
                <w:sz w:val="20"/>
                <w:szCs w:val="20"/>
                <w:shd w:fill="E67E22" w:val="clear"/>
              </w:rPr>
              <w:t xml:space="preserve"> PARTIAL </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E67E22"/>
                <w:sz w:val="20"/>
                <w:szCs w:val="20"/>
              </w:rPr>
              <w:t xml:space="preserve">P1</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ICFR framework, GAP audit report, error threshold alerting</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Threat model, risk register, pentest reports, vuln scanning</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CC4: Monitoring</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FFFFFF"/>
                <w:sz w:val="20"/>
                <w:szCs w:val="20"/>
                <w:shd w:fill="E67E22" w:val="clear"/>
              </w:rPr>
              <w:t xml:space="preserve"> PARTIAL </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E67E22"/>
                <w:sz w:val="20"/>
                <w:szCs w:val="20"/>
              </w:rPr>
              <w:t xml:space="preserve">P1</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20 audit event hooks, 15 event types, Supabase audit log, console logging</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3+ months of actual log data, log retention policy, quarterly log reviews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CC5: Control Activities</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FFFFFF"/>
                <w:sz w:val="20"/>
                <w:szCs w:val="20"/>
                <w:shd w:fill="2D8B4E" w:val="clear"/>
              </w:rPr>
              <w:t xml:space="preserve"> PASS </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666666"/>
                <w:sz w:val="20"/>
                <w:szCs w:val="20"/>
              </w:rPr>
              <w:t xml:space="preserve">P2</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KV rate limiting, input validation, multi-tenancy, CORS allowlist, sanitization</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Documented change management process, approval trail</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A1: Availability</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FFFFFF"/>
                <w:sz w:val="20"/>
                <w:szCs w:val="20"/>
                <w:shd w:fill="C0392B" w:val="clear"/>
              </w:rPr>
              <w:t xml:space="preserve"> FAIL </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C0392B"/>
                <w:sz w:val="20"/>
                <w:szCs w:val="20"/>
              </w:rPr>
              <w:t xml:space="preserve">P0</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Health checks, circuit breakers, Cloudflare edge (auto-scaling)</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SLA document, 3+ months uptime data, RTO/RPO, DR plan, backup test evidence</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PI1: Processing Integrity</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FFFFFF"/>
                <w:sz w:val="20"/>
                <w:szCs w:val="20"/>
                <w:shd w:fill="2D8B4E" w:val="clear"/>
              </w:rPr>
              <w:t xml:space="preserve"> PASS </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666666"/>
                <w:sz w:val="20"/>
                <w:szCs w:val="20"/>
              </w:rPr>
              <w:t xml:space="preserve">P2</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Merkle SHA-256 hash chains, blockchain anchoring, idempotency (org-scoped), schema validation</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Reconciliation reports, data completeness checks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C1: Confidentiality</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FFFFFF"/>
                <w:sz w:val="20"/>
                <w:szCs w:val="20"/>
                <w:shd w:fill="E67E22" w:val="clear"/>
              </w:rPr>
              <w:t xml:space="preserve"> PARTIAL </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E67E22"/>
                <w:sz w:val="20"/>
                <w:szCs w:val="20"/>
              </w:rPr>
              <w:t xml:space="preserve">P1</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AES-256-GCM at rest, HSTS/TLS in transit, field masking, PII redaction, data classification headers</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Encryption strategy doc, key management procedures, field-level encryption audit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P1: Privacy</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FFFFFF"/>
                <w:sz w:val="20"/>
                <w:szCs w:val="20"/>
                <w:shd w:fill="C0392B" w:val="clear"/>
              </w:rPr>
              <w:t xml:space="preserve"> FAIL </w:t>
            </w:r>
          </w:p>
        </w:tc>
        <w:tc>
          <w:tcPr>
            <w:tcW w:type="dxa" w:w="8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color w:val="E67E22"/>
                <w:sz w:val="20"/>
                <w:szCs w:val="20"/>
              </w:rPr>
              <w:t xml:space="preserve">P1</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Org isolation, PII redaction in errors, sensitive field masking</w:t>
            </w:r>
          </w:p>
        </w:tc>
        <w:tc>
          <w:tcPr>
            <w:tcW w:type="dxa" w:w="276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Privacy policy, data deletion endpoints, retention schedule, consent management</w:t>
            </w:r>
          </w:p>
        </w:tc>
      </w:tr>
    </w:tbl>
    <w:p>
      <w:r>
        <w:br w:type="page"/>
      </w:r>
    </w:p>
    <w:p>
      <w:pPr>
        <w:pStyle w:val="Heading1"/>
        <w:spacing w:before="300" w:after="150"/>
      </w:pPr>
      <w:r>
        <w:rPr>
          <w:rFonts w:ascii="Arial" w:cs="Arial" w:eastAsia="Arial" w:hAnsi="Arial"/>
          <w:b/>
          <w:bCs/>
        </w:rPr>
        <w:t xml:space="preserve">What We Have: Code Controls (Strong)</w:t>
      </w:r>
    </w:p>
    <w:p>
      <w:pPr>
        <w:spacing w:after="120"/>
      </w:pPr>
      <w:r>
        <w:rPr>
          <w:rFonts w:ascii="Arial" w:cs="Arial" w:eastAsia="Arial" w:hAnsi="Arial"/>
          <w:sz w:val="22"/>
          <w:szCs w:val="22"/>
        </w:rPr>
        <w:t xml:space="preserve">The following controls are implemented, tested, and compiled into the production gateway (2.46 MB, 412 modules, zero build errors):</w:t>
      </w:r>
    </w:p>
    <w:p>
      <w:pPr>
        <w:pStyle w:val="Heading3"/>
        <w:spacing w:before="300" w:after="150"/>
      </w:pPr>
      <w:r>
        <w:rPr>
          <w:rFonts w:ascii="Arial" w:cs="Arial" w:eastAsia="Arial" w:hAnsi="Arial"/>
          <w:b/>
          <w:bCs/>
        </w:rPr>
        <w:t xml:space="preserve">Authentication &amp; Authorization</w:t>
      </w:r>
    </w:p>
    <w:p>
      <w:pPr>
        <w:pStyle w:val="ListParagraph"/>
        <w:numPr>
          <w:ilvl w:val="0"/>
          <w:numId w:val="2"/>
        </w:numPr>
        <w:spacing w:after="60"/>
      </w:pPr>
      <w:r>
        <w:rPr>
          <w:rFonts w:ascii="Arial" w:cs="Arial" w:eastAsia="Arial" w:hAnsi="Arial"/>
          <w:sz w:val="20"/>
          <w:szCs w:val="20"/>
        </w:rPr>
        <w:t xml:space="preserve">JWT verification via Web Crypto API with algorithm pinning (HS256/ES256 only — rejects alg:none)</w:t>
      </w:r>
    </w:p>
    <w:p>
      <w:pPr>
        <w:pStyle w:val="ListParagraph"/>
        <w:numPr>
          <w:ilvl w:val="0"/>
          <w:numId w:val="2"/>
        </w:numPr>
        <w:spacing w:after="60"/>
      </w:pPr>
      <w:r>
        <w:rPr>
          <w:rFonts w:ascii="Arial" w:cs="Arial" w:eastAsia="Arial" w:hAnsi="Arial"/>
          <w:sz w:val="20"/>
          <w:szCs w:val="20"/>
        </w:rPr>
        <w:t xml:space="preserve">KV-backed token revocation: single-token logout, user-wide invalidation, admin compromise response</w:t>
      </w:r>
    </w:p>
    <w:p>
      <w:pPr>
        <w:pStyle w:val="ListParagraph"/>
        <w:numPr>
          <w:ilvl w:val="0"/>
          <w:numId w:val="2"/>
        </w:numPr>
        <w:spacing w:after="60"/>
      </w:pPr>
      <w:r>
        <w:rPr>
          <w:rFonts w:ascii="Arial" w:cs="Arial" w:eastAsia="Arial" w:hAnsi="Arial"/>
          <w:sz w:val="20"/>
          <w:szCs w:val="20"/>
        </w:rPr>
        <w:t xml:space="preserve">Rate-limited revoke endpoints: 10/hr logout, 3/hr revoke-all, 5/hr admin revoke</w:t>
      </w:r>
    </w:p>
    <w:p>
      <w:pPr>
        <w:pStyle w:val="ListParagraph"/>
        <w:numPr>
          <w:ilvl w:val="0"/>
          <w:numId w:val="2"/>
        </w:numPr>
        <w:spacing w:after="60"/>
      </w:pPr>
      <w:r>
        <w:rPr>
          <w:rFonts w:ascii="Arial" w:cs="Arial" w:eastAsia="Arial" w:hAnsi="Arial"/>
          <w:sz w:val="20"/>
          <w:szCs w:val="20"/>
        </w:rPr>
        <w:t xml:space="preserve">Session fingerprinting: tokens bound to device (SHA-256 of IP subnet + User-Agent)</w:t>
      </w:r>
    </w:p>
    <w:p>
      <w:pPr>
        <w:pStyle w:val="ListParagraph"/>
        <w:numPr>
          <w:ilvl w:val="0"/>
          <w:numId w:val="2"/>
        </w:numPr>
        <w:spacing w:after="60"/>
      </w:pPr>
      <w:r>
        <w:rPr>
          <w:rFonts w:ascii="Arial" w:cs="Arial" w:eastAsia="Arial" w:hAnsi="Arial"/>
          <w:sz w:val="20"/>
          <w:szCs w:val="20"/>
        </w:rPr>
        <w:t xml:space="preserve">5-tier RBAC: viewer → editor → admin → owner → superadmin</w:t>
      </w:r>
    </w:p>
    <w:p>
      <w:pPr>
        <w:pStyle w:val="Heading3"/>
        <w:spacing w:before="300" w:after="150"/>
      </w:pPr>
      <w:r>
        <w:rPr>
          <w:rFonts w:ascii="Arial" w:cs="Arial" w:eastAsia="Arial" w:hAnsi="Arial"/>
          <w:b/>
          <w:bCs/>
        </w:rPr>
        <w:t xml:space="preserve">Data Protection</w:t>
      </w:r>
    </w:p>
    <w:p>
      <w:pPr>
        <w:pStyle w:val="ListParagraph"/>
        <w:numPr>
          <w:ilvl w:val="0"/>
          <w:numId w:val="2"/>
        </w:numPr>
        <w:spacing w:after="60"/>
      </w:pPr>
      <w:r>
        <w:rPr>
          <w:rFonts w:ascii="Arial" w:cs="Arial" w:eastAsia="Arial" w:hAnsi="Arial"/>
          <w:sz w:val="20"/>
          <w:szCs w:val="20"/>
        </w:rPr>
        <w:t xml:space="preserve">AES-256-GCM encryption for ERP credentials (random IV, auth tags, hard fail without key)</w:t>
      </w:r>
    </w:p>
    <w:p>
      <w:pPr>
        <w:pStyle w:val="ListParagraph"/>
        <w:numPr>
          <w:ilvl w:val="0"/>
          <w:numId w:val="2"/>
        </w:numPr>
        <w:spacing w:after="60"/>
      </w:pPr>
      <w:r>
        <w:rPr>
          <w:rFonts w:ascii="Arial" w:cs="Arial" w:eastAsia="Arial" w:hAnsi="Arial"/>
          <w:sz w:val="20"/>
          <w:szCs w:val="20"/>
        </w:rPr>
        <w:t xml:space="preserve">PII redaction on all error responses (emails, SSNs, card numbers, IBANs, credentials)</w:t>
      </w:r>
    </w:p>
    <w:p>
      <w:pPr>
        <w:pStyle w:val="ListParagraph"/>
        <w:numPr>
          <w:ilvl w:val="0"/>
          <w:numId w:val="2"/>
        </w:numPr>
        <w:spacing w:after="60"/>
      </w:pPr>
      <w:r>
        <w:rPr>
          <w:rFonts w:ascii="Arial" w:cs="Arial" w:eastAsia="Arial" w:hAnsi="Arial"/>
          <w:sz w:val="20"/>
          <w:szCs w:val="20"/>
        </w:rPr>
        <w:t xml:space="preserve">Sensitive field masking on all success responses (bank accounts, tax IDs, tokens, keys)</w:t>
      </w:r>
    </w:p>
    <w:p>
      <w:pPr>
        <w:pStyle w:val="ListParagraph"/>
        <w:numPr>
          <w:ilvl w:val="0"/>
          <w:numId w:val="2"/>
        </w:numPr>
        <w:spacing w:after="60"/>
      </w:pPr>
      <w:r>
        <w:rPr>
          <w:rFonts w:ascii="Arial" w:cs="Arial" w:eastAsia="Arial" w:hAnsi="Arial"/>
          <w:sz w:val="20"/>
          <w:szCs w:val="20"/>
        </w:rPr>
        <w:t xml:space="preserve">Internal error scrubbing: DB schema, file paths, and stack traces never reach clients</w:t>
      </w:r>
    </w:p>
    <w:p>
      <w:pPr>
        <w:pStyle w:val="ListParagraph"/>
        <w:numPr>
          <w:ilvl w:val="0"/>
          <w:numId w:val="2"/>
        </w:numPr>
        <w:spacing w:after="60"/>
      </w:pPr>
      <w:r>
        <w:rPr>
          <w:rFonts w:ascii="Arial" w:cs="Arial" w:eastAsia="Arial" w:hAnsi="Arial"/>
          <w:sz w:val="20"/>
          <w:szCs w:val="20"/>
        </w:rPr>
        <w:t xml:space="preserve">Data classification headers on every response: X-Data-Classification: CONFIDENTIAL</w:t>
      </w:r>
    </w:p>
    <w:p>
      <w:pPr>
        <w:pStyle w:val="ListParagraph"/>
        <w:numPr>
          <w:ilvl w:val="0"/>
          <w:numId w:val="2"/>
        </w:numPr>
        <w:spacing w:after="60"/>
      </w:pPr>
      <w:r>
        <w:rPr>
          <w:rFonts w:ascii="Arial" w:cs="Arial" w:eastAsia="Arial" w:hAnsi="Arial"/>
          <w:sz w:val="20"/>
          <w:szCs w:val="20"/>
        </w:rPr>
        <w:t xml:space="preserve">KV-backed encrypted OAuth token persistence (survives Worker restarts, 90-day TTL)</w:t>
      </w:r>
    </w:p>
    <w:p>
      <w:pPr>
        <w:pStyle w:val="Heading3"/>
        <w:spacing w:before="300" w:after="150"/>
      </w:pPr>
      <w:r>
        <w:rPr>
          <w:rFonts w:ascii="Arial" w:cs="Arial" w:eastAsia="Arial" w:hAnsi="Arial"/>
          <w:b/>
          <w:bCs/>
        </w:rPr>
        <w:t xml:space="preserve">Network &amp; Transport Security</w:t>
      </w:r>
    </w:p>
    <w:p>
      <w:pPr>
        <w:pStyle w:val="ListParagraph"/>
        <w:numPr>
          <w:ilvl w:val="0"/>
          <w:numId w:val="2"/>
        </w:numPr>
        <w:spacing w:after="60"/>
      </w:pPr>
      <w:r>
        <w:rPr>
          <w:rFonts w:ascii="Arial" w:cs="Arial" w:eastAsia="Arial" w:hAnsi="Arial"/>
          <w:sz w:val="20"/>
          <w:szCs w:val="20"/>
        </w:rPr>
        <w:t xml:space="preserve">HSTS with 2-year max-age, includeSubDomains, preload</w:t>
      </w:r>
    </w:p>
    <w:p>
      <w:pPr>
        <w:pStyle w:val="ListParagraph"/>
        <w:numPr>
          <w:ilvl w:val="0"/>
          <w:numId w:val="2"/>
        </w:numPr>
        <w:spacing w:after="60"/>
      </w:pPr>
      <w:r>
        <w:rPr>
          <w:rFonts w:ascii="Arial" w:cs="Arial" w:eastAsia="Arial" w:hAnsi="Arial"/>
          <w:sz w:val="20"/>
          <w:szCs w:val="20"/>
        </w:rPr>
        <w:t xml:space="preserve">Content-Security-Policy: default-src 'none'; frame-ancestors 'none'</w:t>
      </w:r>
    </w:p>
    <w:p>
      <w:pPr>
        <w:pStyle w:val="ListParagraph"/>
        <w:numPr>
          <w:ilvl w:val="0"/>
          <w:numId w:val="2"/>
        </w:numPr>
        <w:spacing w:after="60"/>
      </w:pPr>
      <w:r>
        <w:rPr>
          <w:rFonts w:ascii="Arial" w:cs="Arial" w:eastAsia="Arial" w:hAnsi="Arial"/>
          <w:sz w:val="20"/>
          <w:szCs w:val="20"/>
        </w:rPr>
        <w:t xml:space="preserve">Strict CORS allowlist (no wildcards, no localhost in production)</w:t>
      </w:r>
    </w:p>
    <w:p>
      <w:pPr>
        <w:pStyle w:val="ListParagraph"/>
        <w:numPr>
          <w:ilvl w:val="0"/>
          <w:numId w:val="2"/>
        </w:numPr>
        <w:spacing w:after="60"/>
      </w:pPr>
      <w:r>
        <w:rPr>
          <w:rFonts w:ascii="Arial" w:cs="Arial" w:eastAsia="Arial" w:hAnsi="Arial"/>
          <w:sz w:val="20"/>
          <w:szCs w:val="20"/>
        </w:rPr>
        <w:t xml:space="preserve">IP allowlisting per organization with CIDR support and self-lockout prevention</w:t>
      </w:r>
    </w:p>
    <w:p>
      <w:pPr>
        <w:pStyle w:val="ListParagraph"/>
        <w:numPr>
          <w:ilvl w:val="0"/>
          <w:numId w:val="2"/>
        </w:numPr>
        <w:spacing w:after="60"/>
      </w:pPr>
      <w:r>
        <w:rPr>
          <w:rFonts w:ascii="Arial" w:cs="Arial" w:eastAsia="Arial" w:hAnsi="Arial"/>
          <w:sz w:val="20"/>
          <w:szCs w:val="20"/>
        </w:rPr>
        <w:t xml:space="preserve">Request replay protection via nonce + timestamp (5-minute window, KV-stored nonces)</w:t>
      </w:r>
    </w:p>
    <w:p>
      <w:pPr>
        <w:pStyle w:val="ListParagraph"/>
        <w:numPr>
          <w:ilvl w:val="0"/>
          <w:numId w:val="2"/>
        </w:numPr>
        <w:spacing w:after="60"/>
      </w:pPr>
      <w:r>
        <w:rPr>
          <w:rFonts w:ascii="Arial" w:cs="Arial" w:eastAsia="Arial" w:hAnsi="Arial"/>
          <w:sz w:val="20"/>
          <w:szCs w:val="20"/>
        </w:rPr>
        <w:t xml:space="preserve">Input sanitization: SQL injection, XSS, path traversal, command injection, SSRF detection</w:t>
      </w:r>
    </w:p>
    <w:p>
      <w:pPr>
        <w:pStyle w:val="ListParagraph"/>
        <w:numPr>
          <w:ilvl w:val="0"/>
          <w:numId w:val="2"/>
        </w:numPr>
        <w:spacing w:after="60"/>
      </w:pPr>
      <w:r>
        <w:rPr>
          <w:rFonts w:ascii="Arial" w:cs="Arial" w:eastAsia="Arial" w:hAnsi="Arial"/>
          <w:sz w:val="20"/>
          <w:szCs w:val="20"/>
        </w:rPr>
        <w:t xml:space="preserve">10MB payload limit enforced before routing</w:t>
      </w:r>
    </w:p>
    <w:p>
      <w:pPr>
        <w:pStyle w:val="Heading3"/>
        <w:spacing w:before="300" w:after="150"/>
      </w:pPr>
      <w:r>
        <w:rPr>
          <w:rFonts w:ascii="Arial" w:cs="Arial" w:eastAsia="Arial" w:hAnsi="Arial"/>
          <w:b/>
          <w:bCs/>
        </w:rPr>
        <w:t xml:space="preserve">Audit &amp; Monitoring</w:t>
      </w:r>
    </w:p>
    <w:p>
      <w:pPr>
        <w:pStyle w:val="ListParagraph"/>
        <w:numPr>
          <w:ilvl w:val="0"/>
          <w:numId w:val="2"/>
        </w:numPr>
        <w:spacing w:after="60"/>
      </w:pPr>
      <w:r>
        <w:rPr>
          <w:rFonts w:ascii="Arial" w:cs="Arial" w:eastAsia="Arial" w:hAnsi="Arial"/>
          <w:sz w:val="20"/>
          <w:szCs w:val="20"/>
        </w:rPr>
        <w:t xml:space="preserve">20 security audit event hooks across the gateway</w:t>
      </w:r>
    </w:p>
    <w:p>
      <w:pPr>
        <w:pStyle w:val="ListParagraph"/>
        <w:numPr>
          <w:ilvl w:val="0"/>
          <w:numId w:val="2"/>
        </w:numPr>
        <w:spacing w:after="60"/>
      </w:pPr>
      <w:r>
        <w:rPr>
          <w:rFonts w:ascii="Arial" w:cs="Arial" w:eastAsia="Arial" w:hAnsi="Arial"/>
          <w:sz w:val="20"/>
          <w:szCs w:val="20"/>
        </w:rPr>
        <w:t xml:space="preserve">15 distinct event types with severity classification (INFO → CRITICAL)</w:t>
      </w:r>
    </w:p>
    <w:p>
      <w:pPr>
        <w:pStyle w:val="ListParagraph"/>
        <w:numPr>
          <w:ilvl w:val="0"/>
          <w:numId w:val="2"/>
        </w:numPr>
        <w:spacing w:after="60"/>
      </w:pPr>
      <w:r>
        <w:rPr>
          <w:rFonts w:ascii="Arial" w:cs="Arial" w:eastAsia="Arial" w:hAnsi="Arial"/>
          <w:sz w:val="20"/>
          <w:szCs w:val="20"/>
        </w:rPr>
        <w:t xml:space="preserve">Events persisted to Supabase security_audit_log table (non-blocking writes)</w:t>
      </w:r>
    </w:p>
    <w:p>
      <w:pPr>
        <w:pStyle w:val="ListParagraph"/>
        <w:numPr>
          <w:ilvl w:val="0"/>
          <w:numId w:val="2"/>
        </w:numPr>
        <w:spacing w:after="60"/>
      </w:pPr>
      <w:r>
        <w:rPr>
          <w:rFonts w:ascii="Arial" w:cs="Arial" w:eastAsia="Arial" w:hAnsi="Arial"/>
          <w:sz w:val="20"/>
          <w:szCs w:val="20"/>
        </w:rPr>
        <w:t xml:space="preserve">Covers: key management, token revocation, rate limits, input blocks, IP blocks, replay attacks, fingerprint mismatches, webhook changes, pricing changes</w:t>
      </w:r>
    </w:p>
    <w:p>
      <w:pPr>
        <w:pStyle w:val="ListParagraph"/>
        <w:numPr>
          <w:ilvl w:val="0"/>
          <w:numId w:val="2"/>
        </w:numPr>
        <w:spacing w:after="60"/>
      </w:pPr>
      <w:r>
        <w:rPr>
          <w:rFonts w:ascii="Arial" w:cs="Arial" w:eastAsia="Arial" w:hAnsi="Arial"/>
          <w:sz w:val="20"/>
          <w:szCs w:val="20"/>
        </w:rPr>
        <w:t xml:space="preserve">Security audit log API: GET /v1/security/audit-log with filtering by severity, event type, date range</w:t>
      </w:r>
    </w:p>
    <w:p>
      <w:pPr>
        <w:pStyle w:val="Heading3"/>
        <w:spacing w:before="300" w:after="150"/>
      </w:pPr>
      <w:r>
        <w:rPr>
          <w:rFonts w:ascii="Arial" w:cs="Arial" w:eastAsia="Arial" w:hAnsi="Arial"/>
          <w:b/>
          <w:bCs/>
        </w:rPr>
        <w:t xml:space="preserve">Processing Integrity</w:t>
      </w:r>
    </w:p>
    <w:p>
      <w:pPr>
        <w:pStyle w:val="ListParagraph"/>
        <w:numPr>
          <w:ilvl w:val="0"/>
          <w:numId w:val="2"/>
        </w:numPr>
        <w:spacing w:after="60"/>
      </w:pPr>
      <w:r>
        <w:rPr>
          <w:rFonts w:ascii="Arial" w:cs="Arial" w:eastAsia="Arial" w:hAnsi="Arial"/>
          <w:sz w:val="20"/>
          <w:szCs w:val="20"/>
        </w:rPr>
        <w:t xml:space="preserve">SHA-256 Merkle tree hash chains for close pack integrity (deterministic leaf ordering)</w:t>
      </w:r>
    </w:p>
    <w:p>
      <w:pPr>
        <w:pStyle w:val="ListParagraph"/>
        <w:numPr>
          <w:ilvl w:val="0"/>
          <w:numId w:val="2"/>
        </w:numPr>
        <w:spacing w:after="60"/>
      </w:pPr>
      <w:r>
        <w:rPr>
          <w:rFonts w:ascii="Arial" w:cs="Arial" w:eastAsia="Arial" w:hAnsi="Arial"/>
          <w:sz w:val="20"/>
          <w:szCs w:val="20"/>
        </w:rPr>
        <w:t xml:space="preserve">Blockchain anchoring to Ethereum/Polygon (explicit UNANCHORED mode when unconfigured)</w:t>
      </w:r>
    </w:p>
    <w:p>
      <w:pPr>
        <w:pStyle w:val="ListParagraph"/>
        <w:numPr>
          <w:ilvl w:val="0"/>
          <w:numId w:val="2"/>
        </w:numPr>
        <w:spacing w:after="60"/>
      </w:pPr>
      <w:r>
        <w:rPr>
          <w:rFonts w:ascii="Arial" w:cs="Arial" w:eastAsia="Arial" w:hAnsi="Arial"/>
          <w:sz w:val="20"/>
          <w:szCs w:val="20"/>
        </w:rPr>
        <w:t xml:space="preserve">RFC 6962 transparency log (append-only Merkle log with inclusion + consistency proofs)</w:t>
      </w:r>
    </w:p>
    <w:p>
      <w:pPr>
        <w:pStyle w:val="ListParagraph"/>
        <w:numPr>
          <w:ilvl w:val="0"/>
          <w:numId w:val="2"/>
        </w:numPr>
        <w:spacing w:after="60"/>
      </w:pPr>
      <w:r>
        <w:rPr>
          <w:rFonts w:ascii="Arial" w:cs="Arial" w:eastAsia="Arial" w:hAnsi="Arial"/>
          <w:sz w:val="20"/>
          <w:szCs w:val="20"/>
        </w:rPr>
        <w:t xml:space="preserve">Org-scoped idempotency keys prevent cross-tenant request confusion</w:t>
      </w:r>
    </w:p>
    <w:p>
      <w:pPr>
        <w:pStyle w:val="ListParagraph"/>
        <w:numPr>
          <w:ilvl w:val="0"/>
          <w:numId w:val="2"/>
        </w:numPr>
        <w:spacing w:after="60"/>
      </w:pPr>
      <w:r>
        <w:rPr>
          <w:rFonts w:ascii="Arial" w:cs="Arial" w:eastAsia="Arial" w:hAnsi="Arial"/>
          <w:sz w:val="20"/>
          <w:szCs w:val="20"/>
        </w:rPr>
        <w:t xml:space="preserve">WORM storage: dual-write to R2 + S3 Object Lock (COMPLIANCE mode, 7-year retention)</w:t>
      </w:r>
    </w:p>
    <w:p>
      <w:r>
        <w:br w:type="page"/>
      </w:r>
    </w:p>
    <w:p>
      <w:pPr>
        <w:pStyle w:val="Heading1"/>
        <w:spacing w:before="300" w:after="150"/>
      </w:pPr>
      <w:r>
        <w:rPr>
          <w:rFonts w:ascii="Arial" w:cs="Arial" w:eastAsia="Arial" w:hAnsi="Arial"/>
          <w:b/>
          <w:bCs/>
        </w:rPr>
        <w:t xml:space="preserve">What’s Missing: Operational Evidence (Critical)</w:t>
      </w:r>
    </w:p>
    <w:p>
      <w:pPr>
        <w:spacing w:after="120"/>
      </w:pPr>
      <w:r>
        <w:rPr>
          <w:rFonts w:ascii="Arial" w:cs="Arial" w:eastAsia="Arial" w:hAnsi="Arial"/>
          <w:sz w:val="22"/>
          <w:szCs w:val="22"/>
        </w:rPr>
        <w:t xml:space="preserve">SOC 2 Type II auditors will spend the majority of their time reviewing operational evidence — not code. The following gaps must be closed before engaging an auditor.</w:t>
      </w:r>
    </w:p>
    <w:p>
      <w:pPr>
        <w:pStyle w:val="Heading2"/>
        <w:spacing w:before="300" w:after="150"/>
      </w:pPr>
      <w:r>
        <w:rPr>
          <w:rFonts w:ascii="Arial" w:cs="Arial" w:eastAsia="Arial" w:hAnsi="Arial"/>
          <w:b/>
          <w:bCs/>
        </w:rPr>
        <w:t xml:space="preserve">P0 — Blocks the Audit</w:t>
      </w:r>
    </w:p>
    <w:p>
      <w:pPr>
        <w:pStyle w:val="Heading3"/>
        <w:spacing w:before="300" w:after="150"/>
      </w:pPr>
      <w:r>
        <w:rPr>
          <w:rFonts w:ascii="Arial" w:cs="Arial" w:eastAsia="Arial" w:hAnsi="Arial"/>
          <w:b/>
          <w:bCs/>
        </w:rPr>
        <w:t xml:space="preserve">1. Incident Response Plan</w:t>
      </w:r>
    </w:p>
    <w:p>
      <w:pPr>
        <w:spacing w:after="120"/>
      </w:pPr>
      <w:r>
        <w:rPr>
          <w:rFonts w:ascii="Arial" w:cs="Arial" w:eastAsia="Arial" w:hAnsi="Arial"/>
          <w:sz w:val="22"/>
          <w:szCs w:val="22"/>
        </w:rPr>
        <w:t xml:space="preserve">No documented incident response procedures exist. An auditor will ask: “Who do you call at 2 AM if there’s a breach? What’s the escalation path? When do you notify customers?”</w:t>
      </w:r>
    </w:p>
    <w:p>
      <w:pPr>
        <w:spacing w:after="120"/>
      </w:pPr>
      <w:r>
        <w:rPr>
          <w:rFonts w:ascii="Arial" w:cs="Arial" w:eastAsia="Arial" w:hAnsi="Arial"/>
          <w:i/>
          <w:iCs/>
          <w:sz w:val="22"/>
          <w:szCs w:val="22"/>
        </w:rPr>
        <w:t xml:space="preserve">Required: Written IRP with contacts, escalation matrix, notification timeline (72 hours for GDPR), evidence of at least one tabletop exercise.</w:t>
      </w:r>
    </w:p>
    <w:p>
      <w:pPr>
        <w:pStyle w:val="Heading3"/>
        <w:spacing w:before="300" w:after="150"/>
      </w:pPr>
      <w:r>
        <w:rPr>
          <w:rFonts w:ascii="Arial" w:cs="Arial" w:eastAsia="Arial" w:hAnsi="Arial"/>
          <w:b/>
          <w:bCs/>
        </w:rPr>
        <w:t xml:space="preserve">2. SLA &amp; Availability Evidence</w:t>
      </w:r>
    </w:p>
    <w:p>
      <w:pPr>
        <w:spacing w:after="120"/>
      </w:pPr>
      <w:r>
        <w:rPr>
          <w:rFonts w:ascii="Arial" w:cs="Arial" w:eastAsia="Arial" w:hAnsi="Arial"/>
          <w:sz w:val="22"/>
          <w:szCs w:val="22"/>
        </w:rPr>
        <w:t xml:space="preserve">No documented SLA, no uptime monitoring data, no RTO/RPO targets, no disaster recovery plan, no backup test evidence. The infrastructure (Cloudflare Workers, Supabase managed Postgres) has built-in redundancy, but there’s zero documentation proving it works.</w:t>
      </w:r>
    </w:p>
    <w:p>
      <w:pPr>
        <w:spacing w:after="120"/>
      </w:pPr>
      <w:r>
        <w:rPr>
          <w:rFonts w:ascii="Arial" w:cs="Arial" w:eastAsia="Arial" w:hAnsi="Arial"/>
          <w:i/>
          <w:iCs/>
          <w:sz w:val="22"/>
          <w:szCs w:val="22"/>
        </w:rPr>
        <w:t xml:space="preserve">Required: Written SLA (e.g., 99.5% uptime), 3–12 months of monitoring data, DR plan tested quarterly, backup restore tested monthly.</w:t>
      </w:r>
    </w:p>
    <w:p>
      <w:pPr>
        <w:pStyle w:val="Heading3"/>
        <w:spacing w:before="300" w:after="150"/>
      </w:pPr>
      <w:r>
        <w:rPr>
          <w:rFonts w:ascii="Arial" w:cs="Arial" w:eastAsia="Arial" w:hAnsi="Arial"/>
          <w:b/>
          <w:bCs/>
        </w:rPr>
        <w:t xml:space="preserve">3. Audit Log History</w:t>
      </w:r>
    </w:p>
    <w:p>
      <w:pPr>
        <w:spacing w:after="120"/>
      </w:pPr>
      <w:r>
        <w:rPr>
          <w:rFonts w:ascii="Arial" w:cs="Arial" w:eastAsia="Arial" w:hAnsi="Arial"/>
          <w:sz w:val="22"/>
          <w:szCs w:val="22"/>
        </w:rPr>
        <w:t xml:space="preserve">The audit logging code is wired in and writing to Supabase, but we have zero months of accumulated data. SOC 2 Type II requires 3–12 months of continuous audit log evidence that an auditor can query and sample.</w:t>
      </w:r>
    </w:p>
    <w:p>
      <w:pPr>
        <w:spacing w:after="120"/>
      </w:pPr>
      <w:r>
        <w:rPr>
          <w:rFonts w:ascii="Arial" w:cs="Arial" w:eastAsia="Arial" w:hAnsi="Arial"/>
          <w:i/>
          <w:iCs/>
          <w:sz w:val="22"/>
          <w:szCs w:val="22"/>
        </w:rPr>
        <w:t xml:space="preserve">Required: Deploy now, accumulate 3+ months of log data before engaging auditor. Set log retention policy (recommend 7 years for financial data).</w:t>
      </w:r>
    </w:p>
    <w:p>
      <w:pPr>
        <w:pStyle w:val="Heading2"/>
        <w:spacing w:before="300" w:after="150"/>
      </w:pPr>
      <w:r>
        <w:rPr>
          <w:rFonts w:ascii="Arial" w:cs="Arial" w:eastAsia="Arial" w:hAnsi="Arial"/>
          <w:b/>
          <w:bCs/>
        </w:rPr>
        <w:t xml:space="preserve">P1 — Auditor Will Flag</w:t>
      </w:r>
    </w:p>
    <w:p>
      <w:pPr>
        <w:pStyle w:val="Heading3"/>
        <w:spacing w:before="300" w:after="150"/>
      </w:pPr>
      <w:r>
        <w:rPr>
          <w:rFonts w:ascii="Arial" w:cs="Arial" w:eastAsia="Arial" w:hAnsi="Arial"/>
          <w:b/>
          <w:bCs/>
        </w:rPr>
        <w:t xml:space="preserve">4. Written Security Policies</w:t>
      </w:r>
    </w:p>
    <w:p>
      <w:pPr>
        <w:spacing w:after="120"/>
      </w:pPr>
      <w:r>
        <w:rPr>
          <w:rFonts w:ascii="Arial" w:cs="Arial" w:eastAsia="Arial" w:hAnsi="Arial"/>
          <w:sz w:val="22"/>
          <w:szCs w:val="22"/>
        </w:rPr>
        <w:t xml:space="preserve">No Information Security Policy, access control policy, password policy, or data classification policy exists as a document. Code enforces policies, but auditors need signed PDF documents with management approval.</w:t>
      </w:r>
    </w:p>
    <w:p>
      <w:pPr>
        <w:pStyle w:val="Heading3"/>
        <w:spacing w:before="300" w:after="150"/>
      </w:pPr>
      <w:r>
        <w:rPr>
          <w:rFonts w:ascii="Arial" w:cs="Arial" w:eastAsia="Arial" w:hAnsi="Arial"/>
          <w:b/>
          <w:bCs/>
        </w:rPr>
        <w:t xml:space="preserve">5. Risk Assessment &amp; Penetration Testing</w:t>
      </w:r>
    </w:p>
    <w:p>
      <w:pPr>
        <w:spacing w:after="120"/>
      </w:pPr>
      <w:r>
        <w:rPr>
          <w:rFonts w:ascii="Arial" w:cs="Arial" w:eastAsia="Arial" w:hAnsi="Arial"/>
          <w:sz w:val="22"/>
          <w:szCs w:val="22"/>
        </w:rPr>
        <w:t xml:space="preserve">No formal threat model, risk register, vulnerability scanning results, or penetration test report. The ICFR framework and GAP audit report are a start, but auditors need dated, signed risk assessments and annual pentest reports from a qualified third party.</w:t>
      </w:r>
    </w:p>
    <w:p>
      <w:pPr>
        <w:pStyle w:val="Heading3"/>
        <w:spacing w:before="300" w:after="150"/>
      </w:pPr>
      <w:r>
        <w:rPr>
          <w:rFonts w:ascii="Arial" w:cs="Arial" w:eastAsia="Arial" w:hAnsi="Arial"/>
          <w:b/>
          <w:bCs/>
        </w:rPr>
        <w:t xml:space="preserve">6. Privacy Policy &amp; Data Rights</w:t>
      </w:r>
    </w:p>
    <w:p>
      <w:pPr>
        <w:spacing w:after="120"/>
      </w:pPr>
      <w:r>
        <w:rPr>
          <w:rFonts w:ascii="Arial" w:cs="Arial" w:eastAsia="Arial" w:hAnsi="Arial"/>
          <w:sz w:val="22"/>
          <w:szCs w:val="22"/>
        </w:rPr>
        <w:t xml:space="preserve">No privacy policy, no data deletion endpoints, no data retention schedule, no consent management. PII redaction in code is excellent, but auditors need a privacy policy document and evidence of data subject rights procedures.</w:t>
      </w:r>
    </w:p>
    <w:p>
      <w:pPr>
        <w:pStyle w:val="Heading3"/>
        <w:spacing w:before="300" w:after="150"/>
      </w:pPr>
      <w:r>
        <w:rPr>
          <w:rFonts w:ascii="Arial" w:cs="Arial" w:eastAsia="Arial" w:hAnsi="Arial"/>
          <w:b/>
          <w:bCs/>
        </w:rPr>
        <w:t xml:space="preserve">7. Encryption Strategy Documentation</w:t>
      </w:r>
    </w:p>
    <w:p>
      <w:pPr>
        <w:spacing w:after="120"/>
      </w:pPr>
      <w:r>
        <w:rPr>
          <w:rFonts w:ascii="Arial" w:cs="Arial" w:eastAsia="Arial" w:hAnsi="Arial"/>
          <w:sz w:val="22"/>
          <w:szCs w:val="22"/>
        </w:rPr>
        <w:t xml:space="preserve">AES-256-GCM encryption exists in code but there’s no document explaining: what’s encrypted, where keys are stored, who has access, rotation frequency. Auditors need a Key Management Procedures document.</w:t>
      </w:r>
    </w:p>
    <w:p>
      <w:pPr>
        <w:pStyle w:val="Heading3"/>
        <w:spacing w:before="300" w:after="150"/>
      </w:pPr>
      <w:r>
        <w:rPr>
          <w:rFonts w:ascii="Arial" w:cs="Arial" w:eastAsia="Arial" w:hAnsi="Arial"/>
          <w:b/>
          <w:bCs/>
        </w:rPr>
        <w:t xml:space="preserve">8. Change Management Process</w:t>
      </w:r>
    </w:p>
    <w:p>
      <w:pPr>
        <w:spacing w:after="120"/>
      </w:pPr>
      <w:r>
        <w:rPr>
          <w:rFonts w:ascii="Arial" w:cs="Arial" w:eastAsia="Arial" w:hAnsi="Arial"/>
          <w:sz w:val="22"/>
          <w:szCs w:val="22"/>
        </w:rPr>
        <w:t xml:space="preserve">No documented change management workflow. Code is in git (good), but there’s no evidence of change requests, impact analysis, approval sign-offs, or rollback procedures.</w:t>
      </w:r>
    </w:p>
    <w:p>
      <w:r>
        <w:br w:type="page"/>
      </w:r>
    </w:p>
    <w:p>
      <w:pPr>
        <w:pStyle w:val="Heading1"/>
        <w:spacing w:before="300" w:after="150"/>
      </w:pPr>
      <w:r>
        <w:rPr>
          <w:rFonts w:ascii="Arial" w:cs="Arial" w:eastAsia="Arial" w:hAnsi="Arial"/>
          <w:b/>
          <w:bCs/>
        </w:rPr>
        <w:t xml:space="preserve">Roadmap to SOC 2 Type II Readiness</w:t>
      </w:r>
    </w:p>
    <w:p>
      <w:pPr>
        <w:spacing w:after="120"/>
      </w:pPr>
      <w:r>
        <w:rPr>
          <w:rFonts w:ascii="Arial" w:cs="Arial" w:eastAsia="Arial" w:hAnsi="Arial"/>
          <w:sz w:val="22"/>
          <w:szCs w:val="22"/>
        </w:rPr>
        <w:t xml:space="preserve">Target: Q4 2026 audit engagement (if implementation starts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Timeline</w:t>
            </w:r>
          </w:p>
        </w:tc>
        <w:tc>
          <w:tcPr>
            <w:tcW w:type="dxa" w:w="38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Action Items</w:t>
            </w:r>
          </w:p>
        </w:tc>
        <w:tc>
          <w:tcPr>
            <w:tcW w:type="dxa" w:w="388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Deliverables</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Month 1–2</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Deploy audit logging to production. Draft incident response plan and run first tabletop exercise. Document SLA targets and begin uptime monitoring. Draft privacy policy.</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Deployed audit logs, IRP document, SLA document, privacy policy draft, uptime dashboard</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Month 3–4</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Write security policies (ISP, access control, password, data classification, change management). Create threat model and risk register. Document encryption strategy and key management procedures.</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Security policy binder (5 documents), threat model, risk register, encryption strategy, key management procedures</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Month 5–6</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Commission external penetration test. Run vulnerability scan (npm audit, SAST). Test backup/restore procedures. Conduct first quarterly access review. Implement data deletion endpoint.</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Pentest report, vulnerability scan results, backup test evidence, access review sign-off, data deletion API</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Month 7–9</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Accumulate continuous monitoring evidence. Conduct quarterly risk review. Test DR plan. Run second access review. Document all changes with approval trail.</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6+ months of audit logs, quarterly review minutes, DR test results, change management log</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Month 10–12</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Prepare SOC 2 control matrix mapping controls to TSC criteria. Compile evidence binder. Engage SOC 2 auditor for readiness assessment. Address auditor feedback.</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pPr>
              <w:spacing w:before="40" w:after="40"/>
            </w:pPr>
            <w:r>
              <w:rPr>
                <w:rFonts w:ascii="Arial" w:cs="Arial" w:eastAsia="Arial" w:hAnsi="Arial"/>
                <w:sz w:val="18"/>
                <w:szCs w:val="18"/>
              </w:rPr>
              <w:t xml:space="preserve">Control matrix, evidence binder, readiness assessment report, remediation plan</w:t>
            </w:r>
          </w:p>
        </w:tc>
      </w:tr>
    </w:tbl>
    <w:p>
      <w:pPr>
        <w:spacing w:before="300"/>
      </w:pPr>
    </w:p>
    <w:p>
      <w:pPr>
        <w:pStyle w:val="Heading1"/>
        <w:spacing w:before="300" w:after="150"/>
      </w:pPr>
      <w:r>
        <w:rPr>
          <w:rFonts w:ascii="Arial" w:cs="Arial" w:eastAsia="Arial" w:hAnsi="Arial"/>
          <w:b/>
          <w:bCs/>
        </w:rPr>
        <w:t xml:space="preserve">Bottom Line</w:t>
      </w:r>
    </w:p>
    <w:p>
      <w:pPr>
        <w:spacing w:after="120"/>
      </w:pPr>
      <w:r>
        <w:rPr>
          <w:rFonts w:ascii="Arial" w:cs="Arial" w:eastAsia="Arial" w:hAnsi="Arial"/>
          <w:sz w:val="22"/>
          <w:szCs w:val="22"/>
        </w:rPr>
        <w:t xml:space="preserve">The engineering is ahead of the process. Finault’s code-level security controls would pass scrutiny from any auditor — the encryption, multi-tenancy, audit hooks, input sanitization, and integrity verification are genuinely enterprise-grade. What’s missing is the operational wrapper: policies, monitoring history, incident procedures, and management sign-offs that prove these controls have been running reliably over time.</w:t>
      </w:r>
    </w:p>
    <w:p>
      <w:pPr>
        <w:spacing w:after="120"/>
      </w:pPr>
      <w:r>
        <w:rPr>
          <w:rFonts w:ascii="Arial" w:cs="Arial" w:eastAsia="Arial" w:hAnsi="Arial"/>
          <w:b/>
          <w:bCs/>
          <w:sz w:val="22"/>
          <w:szCs w:val="22"/>
        </w:rPr>
        <w:t xml:space="preserve">The fastest path to SOC 2 Type II is to deploy the current build immediately (to start accumulating audit log evidence) and begin the documentation work in parallel. Every week of delay pushes the audit engagement further out.</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2"/>
              <w:left w:val="single" w:color="1B2A4A" w:sz="2"/>
              <w:bottom w:val="single" w:color="1B2A4A" w:sz="2"/>
              <w:right w:val="single" w:color="1B2A4A" w:sz="2"/>
            </w:tcBorders>
            <w:shd w:fill="F0F4F8" w:val="clear"/>
            <w:tcMar>
              <w:top w:type="dxa" w:w="150"/>
              <w:left w:type="dxa" w:w="200"/>
              <w:bottom w:type="dxa" w:w="150"/>
              <w:right w:type="dxa" w:w="200"/>
            </w:tcMar>
          </w:tcPr>
          <w:p>
            <w:pPr>
              <w:spacing w:after="80"/>
            </w:pPr>
            <w:r>
              <w:rPr>
                <w:rFonts w:ascii="Arial" w:cs="Arial" w:eastAsia="Arial" w:hAnsi="Arial"/>
                <w:b/>
                <w:bCs/>
                <w:color w:val="1B2A4A"/>
                <w:sz w:val="22"/>
                <w:szCs w:val="22"/>
              </w:rPr>
              <w:t xml:space="preserve">RECOMMENDATION FOR LAWYER</w:t>
            </w:r>
          </w:p>
          <w:p>
            <w:r>
              <w:rPr>
                <w:rFonts w:ascii="Arial" w:cs="Arial" w:eastAsia="Arial" w:hAnsi="Arial"/>
                <w:sz w:val="20"/>
                <w:szCs w:val="20"/>
              </w:rPr>
              <w:t xml:space="preserve">Finault can truthfully represent that it has implemented enterprise-grade security controls (encryption, multi-tenancy, audit logging, OWASP headers, input sanitization, token revocation, IP allowlisting, replay protection, PII redaction). It should NOT claim SOC 2 compliance until the audit is complete. The recommended language for contracts is: “Finault maintains security controls aligned with SOC 2 Trust Services Criteria and is pursuing SOC 2 Type II certification with a target completion of Q1 2027.”</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FINAULT SOC 2 Readiness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2026-02-14T19:19:49.389Z</dcterms:created>
  <dcterms:modified xsi:type="dcterms:W3CDTF">2026-02-14T19:19:49.390Z</dcterms:modified>
</cp:coreProperties>
</file>

<file path=docProps/custom.xml><?xml version="1.0" encoding="utf-8"?>
<Properties xmlns="http://schemas.openxmlformats.org/officeDocument/2006/custom-properties" xmlns:vt="http://schemas.openxmlformats.org/officeDocument/2006/docPropsVTypes"/>
</file>