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850" w:rsidRPr="00940791" w:rsidRDefault="000928B4" w:rsidP="00940791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b/>
          <w:sz w:val="24"/>
          <w:szCs w:val="24"/>
          <w:u w:val="single"/>
        </w:rPr>
        <w:t>REGISTRO DE ACTIVIDADES DE TRATAMIENTO</w:t>
      </w:r>
    </w:p>
    <w:p w:rsidR="008A1850" w:rsidRDefault="00181914" w:rsidP="006A2C6B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El Registro de Actividades de Tratamiento consiste, básicamente, en diferenciar en grupos distintos, suficientemente definidos, a aquellos que se relacionan con la entidad.</w:t>
      </w:r>
    </w:p>
    <w:p w:rsidR="006A2C6B" w:rsidRDefault="00CC56C3" w:rsidP="006A2C6B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</w:t>
      </w:r>
      <w:r w:rsidR="00181914">
        <w:rPr>
          <w:rFonts w:ascii="Verdana" w:hAnsi="Verdana"/>
          <w:sz w:val="24"/>
          <w:szCs w:val="24"/>
        </w:rPr>
        <w:t xml:space="preserve">e deben tratar de forma similar los datos aportados por personas agrupadas en categorías semejantes. De forma que, de identificarse un nuevo grupo, se ha de hacer una descripción mínima de </w:t>
      </w:r>
      <w:r w:rsidR="006A2C6B">
        <w:rPr>
          <w:rFonts w:ascii="Verdana" w:hAnsi="Verdana"/>
          <w:sz w:val="24"/>
          <w:szCs w:val="24"/>
        </w:rPr>
        <w:t>la finalidad para la que se obtienen los datos, los tipos de datos que harán falta, los que serán destinatarios de los mismos, la prescripción de dichos datos, etc…</w:t>
      </w:r>
    </w:p>
    <w:p w:rsidR="00DF3A36" w:rsidRDefault="00DF3A36" w:rsidP="006A2C6B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En todo caso, se ha de tener en cuenta, respecto a los datos que formarán parte de los distintos registros, lo especificado en el Art. 5 del Reglamento (UE) 2016/679, de 27 de abril, del Parlamento y del Consejo, sobre Protección de Datos de Carácter Personal; a saber:</w:t>
      </w:r>
    </w:p>
    <w:p w:rsidR="00DF3A36" w:rsidRPr="00DF3A36" w:rsidRDefault="00DF3A36" w:rsidP="00DF3A36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DF3A36">
        <w:rPr>
          <w:rFonts w:ascii="Verdana" w:hAnsi="Verdana"/>
          <w:sz w:val="24"/>
          <w:szCs w:val="24"/>
        </w:rPr>
        <w:t>1.   Los datos personales serán: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"/>
        <w:gridCol w:w="8251"/>
      </w:tblGrid>
      <w:tr w:rsidR="00DF3A36" w:rsidRPr="00DF3A36" w:rsidTr="00DF3A36">
        <w:trPr>
          <w:tblCellSpacing w:w="0" w:type="dxa"/>
        </w:trPr>
        <w:tc>
          <w:tcPr>
            <w:tcW w:w="0" w:type="auto"/>
            <w:hideMark/>
          </w:tcPr>
          <w:p w:rsidR="00DF3A36" w:rsidRPr="00DF3A36" w:rsidRDefault="00DF3A36" w:rsidP="00DF3A36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DF3A36">
              <w:rPr>
                <w:rFonts w:ascii="Verdana" w:hAnsi="Verdana"/>
                <w:sz w:val="24"/>
                <w:szCs w:val="24"/>
              </w:rPr>
              <w:t>a)</w:t>
            </w:r>
          </w:p>
        </w:tc>
        <w:tc>
          <w:tcPr>
            <w:tcW w:w="0" w:type="auto"/>
            <w:hideMark/>
          </w:tcPr>
          <w:p w:rsidR="00DF3A36" w:rsidRPr="00DF3A36" w:rsidRDefault="00DF3A36" w:rsidP="00DF3A36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T</w:t>
            </w:r>
            <w:r w:rsidRPr="00DF3A36">
              <w:rPr>
                <w:rFonts w:ascii="Verdana" w:hAnsi="Verdana"/>
                <w:sz w:val="24"/>
                <w:szCs w:val="24"/>
              </w:rPr>
              <w:t>ratados de manera lícita, leal y transparente en relación con el interesado («licitud, lealtad y transparencia»);</w:t>
            </w:r>
          </w:p>
        </w:tc>
      </w:tr>
    </w:tbl>
    <w:p w:rsidR="00DF3A36" w:rsidRPr="00DF3A36" w:rsidRDefault="00DF3A36" w:rsidP="00DF3A36">
      <w:pPr>
        <w:spacing w:line="360" w:lineRule="auto"/>
        <w:jc w:val="both"/>
        <w:rPr>
          <w:rFonts w:ascii="Verdana" w:hAnsi="Verdana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"/>
        <w:gridCol w:w="8246"/>
      </w:tblGrid>
      <w:tr w:rsidR="00DF3A36" w:rsidRPr="00DF3A36" w:rsidTr="00DF3A36">
        <w:trPr>
          <w:tblCellSpacing w:w="0" w:type="dxa"/>
        </w:trPr>
        <w:tc>
          <w:tcPr>
            <w:tcW w:w="0" w:type="auto"/>
            <w:hideMark/>
          </w:tcPr>
          <w:p w:rsidR="00DF3A36" w:rsidRPr="00DF3A36" w:rsidRDefault="00DF3A36" w:rsidP="00DF3A36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DF3A36">
              <w:rPr>
                <w:rFonts w:ascii="Verdana" w:hAnsi="Verdana"/>
                <w:sz w:val="24"/>
                <w:szCs w:val="24"/>
              </w:rPr>
              <w:t>b)</w:t>
            </w:r>
          </w:p>
        </w:tc>
        <w:tc>
          <w:tcPr>
            <w:tcW w:w="0" w:type="auto"/>
            <w:hideMark/>
          </w:tcPr>
          <w:p w:rsidR="00DF3A36" w:rsidRPr="00DF3A36" w:rsidRDefault="009D2D3B" w:rsidP="009D2D3B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R</w:t>
            </w:r>
            <w:r w:rsidR="00DF3A36" w:rsidRPr="00DF3A36">
              <w:rPr>
                <w:rFonts w:ascii="Verdana" w:hAnsi="Verdana"/>
                <w:sz w:val="24"/>
                <w:szCs w:val="24"/>
              </w:rPr>
              <w:t>ecogidos con fines determinados, explícitos y legítimos, y no serán tratados ulteriormente de manera incompatible con dichos fines; de acuerdo con el artículo 89, apartado 1, el tratamiento ulterior de los datos personales con fines de archivo en interés público, fines de investigación científica e histórica o fines estadísticos no se considerará incompatible con los fines iniciales («limitación de la finalidad»);</w:t>
            </w:r>
          </w:p>
        </w:tc>
      </w:tr>
    </w:tbl>
    <w:p w:rsidR="00DF3A36" w:rsidRPr="00DF3A36" w:rsidRDefault="00DF3A36" w:rsidP="00DF3A36">
      <w:pPr>
        <w:spacing w:line="360" w:lineRule="auto"/>
        <w:jc w:val="both"/>
        <w:rPr>
          <w:rFonts w:ascii="Verdana" w:hAnsi="Verdana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"/>
        <w:gridCol w:w="8270"/>
      </w:tblGrid>
      <w:tr w:rsidR="00DF3A36" w:rsidRPr="00DF3A36" w:rsidTr="00DF3A36">
        <w:trPr>
          <w:tblCellSpacing w:w="0" w:type="dxa"/>
        </w:trPr>
        <w:tc>
          <w:tcPr>
            <w:tcW w:w="0" w:type="auto"/>
            <w:hideMark/>
          </w:tcPr>
          <w:p w:rsidR="00DF3A36" w:rsidRPr="00DF3A36" w:rsidRDefault="00DF3A36" w:rsidP="00DF3A36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DF3A36">
              <w:rPr>
                <w:rFonts w:ascii="Verdana" w:hAnsi="Verdana"/>
                <w:sz w:val="24"/>
                <w:szCs w:val="24"/>
              </w:rPr>
              <w:t>c)</w:t>
            </w:r>
          </w:p>
        </w:tc>
        <w:tc>
          <w:tcPr>
            <w:tcW w:w="0" w:type="auto"/>
            <w:hideMark/>
          </w:tcPr>
          <w:p w:rsidR="00DF3A36" w:rsidRPr="00DF3A36" w:rsidRDefault="009D2D3B" w:rsidP="009D2D3B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A</w:t>
            </w:r>
            <w:r w:rsidR="00DF3A36" w:rsidRPr="00DF3A36">
              <w:rPr>
                <w:rFonts w:ascii="Verdana" w:hAnsi="Verdana"/>
                <w:sz w:val="24"/>
                <w:szCs w:val="24"/>
              </w:rPr>
              <w:t>decuados, pertinentes y limitados a lo necesario en relación con los fines para los que son tratados («minimización de datos»);</w:t>
            </w:r>
          </w:p>
        </w:tc>
      </w:tr>
    </w:tbl>
    <w:p w:rsidR="00DF3A36" w:rsidRPr="00DF3A36" w:rsidRDefault="00DF3A36" w:rsidP="00DF3A36">
      <w:pPr>
        <w:spacing w:line="360" w:lineRule="auto"/>
        <w:jc w:val="both"/>
        <w:rPr>
          <w:rFonts w:ascii="Verdana" w:hAnsi="Verdana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"/>
        <w:gridCol w:w="8246"/>
      </w:tblGrid>
      <w:tr w:rsidR="00DF3A36" w:rsidRPr="00DF3A36" w:rsidTr="00DF3A36">
        <w:trPr>
          <w:tblCellSpacing w:w="0" w:type="dxa"/>
        </w:trPr>
        <w:tc>
          <w:tcPr>
            <w:tcW w:w="0" w:type="auto"/>
            <w:hideMark/>
          </w:tcPr>
          <w:p w:rsidR="00DF3A36" w:rsidRPr="00DF3A36" w:rsidRDefault="00DF3A36" w:rsidP="00DF3A36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DF3A36">
              <w:rPr>
                <w:rFonts w:ascii="Verdana" w:hAnsi="Verdana"/>
                <w:sz w:val="24"/>
                <w:szCs w:val="24"/>
              </w:rPr>
              <w:t>d)</w:t>
            </w:r>
          </w:p>
        </w:tc>
        <w:tc>
          <w:tcPr>
            <w:tcW w:w="0" w:type="auto"/>
            <w:hideMark/>
          </w:tcPr>
          <w:p w:rsidR="00DF3A36" w:rsidRPr="00DF3A36" w:rsidRDefault="009D2D3B" w:rsidP="009D2D3B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E</w:t>
            </w:r>
            <w:r w:rsidR="00DF3A36" w:rsidRPr="00DF3A36">
              <w:rPr>
                <w:rFonts w:ascii="Verdana" w:hAnsi="Verdana"/>
                <w:sz w:val="24"/>
                <w:szCs w:val="24"/>
              </w:rPr>
              <w:t xml:space="preserve">xactos y, si fuera necesario, actualizados; se adoptarán todas las medidas razonables para que se supriman o rectifiquen sin dilación los datos personales que sean inexactos con respecto a los fines </w:t>
            </w:r>
            <w:r w:rsidR="00DF3A36" w:rsidRPr="00DF3A36">
              <w:rPr>
                <w:rFonts w:ascii="Verdana" w:hAnsi="Verdana"/>
                <w:sz w:val="24"/>
                <w:szCs w:val="24"/>
              </w:rPr>
              <w:lastRenderedPageBreak/>
              <w:t>para los que se tratan («exactitud»);</w:t>
            </w:r>
          </w:p>
        </w:tc>
      </w:tr>
      <w:tr w:rsidR="00DF3A36" w:rsidRPr="00C07515" w:rsidTr="00DF3A36">
        <w:trPr>
          <w:tblCellSpacing w:w="0" w:type="dxa"/>
        </w:trPr>
        <w:tc>
          <w:tcPr>
            <w:tcW w:w="0" w:type="auto"/>
            <w:hideMark/>
          </w:tcPr>
          <w:p w:rsidR="00DF3A36" w:rsidRPr="00DF3A36" w:rsidRDefault="00DF3A36" w:rsidP="00DF3A36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DF3A36">
              <w:rPr>
                <w:rFonts w:ascii="Verdana" w:hAnsi="Verdana"/>
                <w:sz w:val="24"/>
                <w:szCs w:val="24"/>
              </w:rPr>
              <w:lastRenderedPageBreak/>
              <w:t>e)</w:t>
            </w:r>
          </w:p>
        </w:tc>
        <w:tc>
          <w:tcPr>
            <w:tcW w:w="0" w:type="auto"/>
            <w:hideMark/>
          </w:tcPr>
          <w:p w:rsidR="00DF3A36" w:rsidRPr="00DF3A36" w:rsidRDefault="009D2D3B" w:rsidP="009D2D3B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M</w:t>
            </w:r>
            <w:r w:rsidR="00DF3A36" w:rsidRPr="00DF3A36">
              <w:rPr>
                <w:rFonts w:ascii="Verdana" w:hAnsi="Verdana"/>
                <w:sz w:val="24"/>
                <w:szCs w:val="24"/>
              </w:rPr>
              <w:t>antenidos de forma que se permita la identificación de los interesados durante no más tiempo del necesario para los fines del tratamiento de los datos personales; los datos personales podrán conservarse durante períodos más largos siempre que se traten exclusivamente con fines de archivo en interés público, fines de investigación científica o histórica o fines estadísticos, de conformidad con el artículo 89, apartado 1, sin perjuicio de la aplicación de las medidas técnicas y organizativas apropiadas que impone el presente Reglamento a fin de proteger los derechos y libertades del interesado («limitación del plazo de conservación»);</w:t>
            </w:r>
          </w:p>
        </w:tc>
      </w:tr>
      <w:tr w:rsidR="00DF3A36" w:rsidRPr="00C07515" w:rsidTr="00DF3A36">
        <w:trPr>
          <w:tblCellSpacing w:w="0" w:type="dxa"/>
        </w:trPr>
        <w:tc>
          <w:tcPr>
            <w:tcW w:w="0" w:type="auto"/>
            <w:hideMark/>
          </w:tcPr>
          <w:p w:rsidR="00DF3A36" w:rsidRPr="00DF3A36" w:rsidRDefault="00DF3A36" w:rsidP="00DF3A36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DF3A36">
              <w:rPr>
                <w:rFonts w:ascii="Verdana" w:hAnsi="Verdana"/>
                <w:sz w:val="24"/>
                <w:szCs w:val="24"/>
              </w:rPr>
              <w:t>f)</w:t>
            </w:r>
          </w:p>
        </w:tc>
        <w:tc>
          <w:tcPr>
            <w:tcW w:w="0" w:type="auto"/>
            <w:hideMark/>
          </w:tcPr>
          <w:p w:rsidR="00DF3A36" w:rsidRPr="00DF3A36" w:rsidRDefault="009D2D3B" w:rsidP="00DF3A36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</w:t>
            </w:r>
            <w:r w:rsidR="00DF3A36" w:rsidRPr="00DF3A36">
              <w:rPr>
                <w:rFonts w:ascii="Verdana" w:hAnsi="Verdana"/>
                <w:sz w:val="24"/>
                <w:szCs w:val="24"/>
              </w:rPr>
              <w:t>ratados de tal manera que se garantice una seguridad adecuada de los datos personales, incluida la protección contra el tratamiento no autorizado o ilícito y contra su pérdida, destrucción o daño accidental, mediante la aplicación de medidas técnicas u organizativas apropiadas («integridad y confidencialidad»).</w:t>
            </w:r>
          </w:p>
        </w:tc>
      </w:tr>
    </w:tbl>
    <w:p w:rsidR="00DF3A36" w:rsidRPr="00DF3A36" w:rsidRDefault="00DF3A36" w:rsidP="00DF3A36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DF3A36">
        <w:rPr>
          <w:rFonts w:ascii="Verdana" w:hAnsi="Verdana"/>
          <w:sz w:val="24"/>
          <w:szCs w:val="24"/>
        </w:rPr>
        <w:t>2.   El responsable del tratamiento será responsable del cumplimiento de lo dispuesto en el apartado 1 y capaz de demostrarlo («responsabilidad proactiva»).</w:t>
      </w:r>
    </w:p>
    <w:p w:rsidR="00DF3A36" w:rsidRDefault="00DF3A36" w:rsidP="006A2C6B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:rsidR="00181914" w:rsidRDefault="00181914" w:rsidP="00940791">
      <w:p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</w:p>
    <w:p w:rsidR="00211B03" w:rsidRDefault="00211B03" w:rsidP="00940791">
      <w:pPr>
        <w:spacing w:line="360" w:lineRule="auto"/>
        <w:rPr>
          <w:rFonts w:ascii="Verdana" w:hAnsi="Verdana"/>
          <w:sz w:val="24"/>
          <w:szCs w:val="24"/>
        </w:rPr>
      </w:pPr>
    </w:p>
    <w:p w:rsidR="00211B03" w:rsidRDefault="00211B03" w:rsidP="00940791">
      <w:pPr>
        <w:spacing w:line="360" w:lineRule="auto"/>
        <w:rPr>
          <w:rFonts w:ascii="Verdana" w:hAnsi="Verdana"/>
          <w:sz w:val="24"/>
          <w:szCs w:val="24"/>
        </w:rPr>
      </w:pPr>
    </w:p>
    <w:p w:rsidR="00211B03" w:rsidRPr="00940791" w:rsidRDefault="00211B03" w:rsidP="00940791">
      <w:pPr>
        <w:spacing w:line="360" w:lineRule="auto"/>
        <w:rPr>
          <w:rFonts w:ascii="Verdana" w:hAnsi="Verdana"/>
          <w:sz w:val="24"/>
          <w:szCs w:val="24"/>
        </w:rPr>
      </w:pPr>
    </w:p>
    <w:p w:rsidR="00CC56C3" w:rsidRDefault="00CC56C3" w:rsidP="00940791">
      <w:pPr>
        <w:spacing w:line="360" w:lineRule="auto"/>
        <w:rPr>
          <w:rFonts w:ascii="Verdana" w:hAnsi="Verdana" w:cs="Calibri"/>
          <w:sz w:val="24"/>
          <w:szCs w:val="24"/>
        </w:rPr>
      </w:pPr>
    </w:p>
    <w:p w:rsidR="00CC56C3" w:rsidRDefault="00CC56C3" w:rsidP="00940791">
      <w:pPr>
        <w:spacing w:line="360" w:lineRule="auto"/>
        <w:rPr>
          <w:rFonts w:ascii="Verdana" w:hAnsi="Verdana" w:cs="Calibri"/>
          <w:sz w:val="24"/>
          <w:szCs w:val="24"/>
        </w:rPr>
      </w:pPr>
    </w:p>
    <w:p w:rsidR="00CC56C3" w:rsidRDefault="00CC56C3" w:rsidP="00940791">
      <w:pPr>
        <w:spacing w:line="360" w:lineRule="auto"/>
        <w:rPr>
          <w:rFonts w:ascii="Verdana" w:hAnsi="Verdana" w:cs="Calibri"/>
          <w:sz w:val="24"/>
          <w:szCs w:val="24"/>
        </w:rPr>
      </w:pPr>
    </w:p>
    <w:p w:rsidR="008A1850" w:rsidRPr="00940791" w:rsidRDefault="000928B4" w:rsidP="00940791">
      <w:pPr>
        <w:spacing w:line="360" w:lineRule="auto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lastRenderedPageBreak/>
        <w:t xml:space="preserve">Tratamiento: </w:t>
      </w:r>
      <w:r w:rsidRPr="00940791">
        <w:rPr>
          <w:rFonts w:ascii="Verdana" w:hAnsi="Verdana" w:cs="Calibri"/>
          <w:b/>
          <w:sz w:val="24"/>
          <w:szCs w:val="24"/>
        </w:rPr>
        <w:t>C</w:t>
      </w:r>
      <w:r w:rsidR="00CC56C3">
        <w:rPr>
          <w:rFonts w:ascii="Verdana" w:hAnsi="Verdana" w:cs="Calibri"/>
          <w:b/>
          <w:sz w:val="24"/>
          <w:szCs w:val="24"/>
        </w:rPr>
        <w:t>lientes</w:t>
      </w:r>
    </w:p>
    <w:p w:rsidR="008A1850" w:rsidRPr="00940791" w:rsidRDefault="000928B4" w:rsidP="00940791">
      <w:pPr>
        <w:spacing w:line="360" w:lineRule="auto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>Finalidad del tratamiento</w:t>
      </w:r>
      <w:r w:rsidR="00211B03">
        <w:rPr>
          <w:rFonts w:ascii="Verdana" w:hAnsi="Verdana" w:cs="Calibri"/>
          <w:sz w:val="24"/>
          <w:szCs w:val="24"/>
        </w:rPr>
        <w:t xml:space="preserve">: </w:t>
      </w:r>
      <w:r w:rsidR="00940791" w:rsidRPr="00940791">
        <w:rPr>
          <w:rFonts w:ascii="Verdana" w:hAnsi="Verdana" w:cs="Calibri"/>
          <w:sz w:val="24"/>
          <w:szCs w:val="24"/>
        </w:rPr>
        <w:t>Gestión de la relación con los C</w:t>
      </w:r>
      <w:r w:rsidR="00CC56C3">
        <w:rPr>
          <w:rFonts w:ascii="Verdana" w:hAnsi="Verdana" w:cs="Calibri"/>
          <w:sz w:val="24"/>
          <w:szCs w:val="24"/>
        </w:rPr>
        <w:t>lientes</w:t>
      </w:r>
    </w:p>
    <w:p w:rsidR="008A1850" w:rsidRPr="00940791" w:rsidRDefault="000928B4" w:rsidP="00940791">
      <w:pPr>
        <w:spacing w:line="360" w:lineRule="auto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 xml:space="preserve">Descripción de la categoría de </w:t>
      </w:r>
      <w:r w:rsidR="00940791" w:rsidRPr="00940791">
        <w:rPr>
          <w:rFonts w:ascii="Verdana" w:hAnsi="Verdana" w:cs="Calibri"/>
          <w:sz w:val="24"/>
          <w:szCs w:val="24"/>
        </w:rPr>
        <w:t>C</w:t>
      </w:r>
      <w:r w:rsidR="00CC56C3">
        <w:rPr>
          <w:rFonts w:ascii="Verdana" w:hAnsi="Verdana" w:cs="Calibri"/>
          <w:sz w:val="24"/>
          <w:szCs w:val="24"/>
        </w:rPr>
        <w:t>lientes</w:t>
      </w:r>
      <w:r w:rsidRPr="00940791">
        <w:rPr>
          <w:rFonts w:ascii="Verdana" w:hAnsi="Verdana" w:cs="Calibri"/>
          <w:sz w:val="24"/>
          <w:szCs w:val="24"/>
        </w:rPr>
        <w:t xml:space="preserve"> y de las categorías de datos personales:</w:t>
      </w:r>
    </w:p>
    <w:p w:rsidR="008A1850" w:rsidRPr="00940791" w:rsidRDefault="000928B4" w:rsidP="00940791">
      <w:pPr>
        <w:spacing w:line="360" w:lineRule="auto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ab/>
        <w:t>C</w:t>
      </w:r>
      <w:r w:rsidR="00940791" w:rsidRPr="00940791">
        <w:rPr>
          <w:rFonts w:ascii="Verdana" w:hAnsi="Verdana" w:cs="Calibri"/>
          <w:sz w:val="24"/>
          <w:szCs w:val="24"/>
        </w:rPr>
        <w:t>l</w:t>
      </w:r>
      <w:r w:rsidR="00CC56C3">
        <w:rPr>
          <w:rFonts w:ascii="Verdana" w:hAnsi="Verdana" w:cs="Calibri"/>
          <w:sz w:val="24"/>
          <w:szCs w:val="24"/>
        </w:rPr>
        <w:t>ientes</w:t>
      </w:r>
      <w:r w:rsidRPr="00940791">
        <w:rPr>
          <w:rFonts w:ascii="Verdana" w:hAnsi="Verdana" w:cs="Calibri"/>
          <w:sz w:val="24"/>
          <w:szCs w:val="24"/>
        </w:rPr>
        <w:t>:</w:t>
      </w:r>
    </w:p>
    <w:p w:rsidR="008A1850" w:rsidRPr="00940791" w:rsidRDefault="000928B4" w:rsidP="00940791">
      <w:pPr>
        <w:spacing w:line="360" w:lineRule="auto"/>
        <w:ind w:left="1415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 xml:space="preserve">Personas con las que se mantiene una relación </w:t>
      </w:r>
      <w:r w:rsidR="00940791" w:rsidRPr="00940791">
        <w:rPr>
          <w:rFonts w:ascii="Verdana" w:hAnsi="Verdana" w:cs="Calibri"/>
          <w:sz w:val="24"/>
          <w:szCs w:val="24"/>
        </w:rPr>
        <w:t xml:space="preserve">como </w:t>
      </w:r>
      <w:r w:rsidR="00CC56C3">
        <w:rPr>
          <w:rFonts w:ascii="Verdana" w:hAnsi="Verdana" w:cs="Calibri"/>
          <w:sz w:val="24"/>
          <w:szCs w:val="24"/>
        </w:rPr>
        <w:t>tales</w:t>
      </w:r>
      <w:r w:rsidR="00F921F8">
        <w:rPr>
          <w:rFonts w:ascii="Verdana" w:hAnsi="Verdana" w:cs="Calibri"/>
          <w:sz w:val="24"/>
          <w:szCs w:val="24"/>
        </w:rPr>
        <w:t>.</w:t>
      </w:r>
    </w:p>
    <w:p w:rsidR="008A1850" w:rsidRPr="00940791" w:rsidRDefault="000928B4" w:rsidP="00940791">
      <w:pPr>
        <w:spacing w:line="360" w:lineRule="auto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ab/>
        <w:t>Categorías de datos personales:</w:t>
      </w:r>
    </w:p>
    <w:p w:rsidR="008A1850" w:rsidRPr="00940791" w:rsidRDefault="000928B4" w:rsidP="00940791">
      <w:pPr>
        <w:spacing w:line="360" w:lineRule="auto"/>
        <w:ind w:left="1415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>Los necesarios para el mantenimiento de la relación com</w:t>
      </w:r>
      <w:r w:rsidR="00940791" w:rsidRPr="00940791">
        <w:rPr>
          <w:rFonts w:ascii="Verdana" w:hAnsi="Verdana" w:cs="Calibri"/>
          <w:sz w:val="24"/>
          <w:szCs w:val="24"/>
        </w:rPr>
        <w:t>o c</w:t>
      </w:r>
      <w:r w:rsidR="00CC56C3">
        <w:rPr>
          <w:rFonts w:ascii="Verdana" w:hAnsi="Verdana" w:cs="Calibri"/>
          <w:sz w:val="24"/>
          <w:szCs w:val="24"/>
        </w:rPr>
        <w:t>lientes</w:t>
      </w:r>
      <w:r w:rsidRPr="00940791">
        <w:rPr>
          <w:rFonts w:ascii="Verdana" w:hAnsi="Verdana" w:cs="Calibri"/>
          <w:sz w:val="24"/>
          <w:szCs w:val="24"/>
        </w:rPr>
        <w:t xml:space="preserve">. </w:t>
      </w:r>
    </w:p>
    <w:p w:rsidR="008A1850" w:rsidRPr="00940791" w:rsidRDefault="000928B4" w:rsidP="00940791">
      <w:pPr>
        <w:spacing w:line="360" w:lineRule="auto"/>
        <w:ind w:left="1415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>De identificación: nombre y apellidos, NIF, dirección postal, teléfonos, e-mail</w:t>
      </w:r>
    </w:p>
    <w:p w:rsidR="008A1850" w:rsidRPr="00940791" w:rsidRDefault="000928B4" w:rsidP="00940791">
      <w:pPr>
        <w:spacing w:line="360" w:lineRule="auto"/>
        <w:ind w:left="1415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 xml:space="preserve">Características personales: </w:t>
      </w:r>
      <w:r w:rsidR="00CC56C3">
        <w:rPr>
          <w:rFonts w:ascii="Verdana" w:hAnsi="Verdana" w:cs="Calibri"/>
          <w:sz w:val="24"/>
          <w:szCs w:val="24"/>
        </w:rPr>
        <w:t>fecha de nacimiento</w:t>
      </w:r>
    </w:p>
    <w:p w:rsidR="008A1850" w:rsidRPr="00940791" w:rsidRDefault="000928B4" w:rsidP="00940791">
      <w:pPr>
        <w:spacing w:line="360" w:lineRule="auto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>Las categorías de destinatarios a quienes se comunicaron o comunicarán los datos personales:</w:t>
      </w:r>
    </w:p>
    <w:p w:rsidR="008A1850" w:rsidRPr="00940791" w:rsidRDefault="000928B4" w:rsidP="00940791">
      <w:pPr>
        <w:spacing w:line="360" w:lineRule="auto"/>
        <w:ind w:left="712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>Administración tributaria</w:t>
      </w:r>
    </w:p>
    <w:p w:rsidR="008A1850" w:rsidRPr="00940791" w:rsidRDefault="000928B4" w:rsidP="00940791">
      <w:pPr>
        <w:spacing w:line="360" w:lineRule="auto"/>
        <w:ind w:left="712"/>
        <w:rPr>
          <w:rFonts w:ascii="Verdana" w:hAnsi="Verdana" w:cs="Calibri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>Gestoría</w:t>
      </w:r>
    </w:p>
    <w:p w:rsidR="00940791" w:rsidRPr="00940791" w:rsidRDefault="00940791" w:rsidP="00940791">
      <w:pPr>
        <w:spacing w:line="360" w:lineRule="auto"/>
        <w:ind w:left="712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>Administración Pública</w:t>
      </w:r>
    </w:p>
    <w:p w:rsidR="008A1850" w:rsidRPr="00940791" w:rsidRDefault="000928B4" w:rsidP="00940791">
      <w:pPr>
        <w:spacing w:line="360" w:lineRule="auto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>Cuando sea posible, los plazos previstos para la supresión de las diferentes categorías de datos:</w:t>
      </w:r>
    </w:p>
    <w:p w:rsidR="008A1850" w:rsidRDefault="000928B4" w:rsidP="00940791">
      <w:pPr>
        <w:spacing w:line="360" w:lineRule="auto"/>
        <w:ind w:left="712"/>
        <w:rPr>
          <w:rFonts w:ascii="Verdana" w:hAnsi="Verdana" w:cs="Calibri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>Los previstos por la legislación fiscal respecto a la prescripción de responsabilidades</w:t>
      </w:r>
    </w:p>
    <w:p w:rsidR="00CC56C3" w:rsidRDefault="00CC56C3" w:rsidP="00940791">
      <w:pPr>
        <w:spacing w:line="360" w:lineRule="auto"/>
        <w:ind w:left="712"/>
        <w:rPr>
          <w:rFonts w:ascii="Verdana" w:hAnsi="Verdana" w:cs="Calibri"/>
          <w:sz w:val="24"/>
          <w:szCs w:val="24"/>
        </w:rPr>
      </w:pPr>
    </w:p>
    <w:p w:rsidR="00CC56C3" w:rsidRDefault="00CC56C3" w:rsidP="00940791">
      <w:pPr>
        <w:spacing w:line="360" w:lineRule="auto"/>
        <w:ind w:left="712"/>
        <w:rPr>
          <w:rFonts w:ascii="Verdana" w:hAnsi="Verdana" w:cs="Calibri"/>
          <w:sz w:val="24"/>
          <w:szCs w:val="24"/>
        </w:rPr>
      </w:pPr>
    </w:p>
    <w:p w:rsidR="00CC56C3" w:rsidRDefault="00CC56C3" w:rsidP="00940791">
      <w:pPr>
        <w:spacing w:line="360" w:lineRule="auto"/>
        <w:ind w:left="712"/>
        <w:rPr>
          <w:rFonts w:ascii="Verdana" w:hAnsi="Verdana" w:cs="Calibri"/>
          <w:sz w:val="24"/>
          <w:szCs w:val="24"/>
        </w:rPr>
      </w:pPr>
    </w:p>
    <w:p w:rsidR="008A1850" w:rsidRPr="00940791" w:rsidRDefault="000928B4" w:rsidP="00940791">
      <w:pPr>
        <w:spacing w:line="360" w:lineRule="auto"/>
        <w:rPr>
          <w:rFonts w:ascii="Verdana" w:hAnsi="Verdana"/>
          <w:sz w:val="24"/>
          <w:szCs w:val="24"/>
        </w:rPr>
      </w:pPr>
      <w:bookmarkStart w:id="0" w:name="_GoBack"/>
      <w:bookmarkEnd w:id="0"/>
      <w:r w:rsidRPr="00940791">
        <w:rPr>
          <w:rFonts w:ascii="Verdana" w:hAnsi="Verdana" w:cs="Calibri"/>
          <w:sz w:val="24"/>
          <w:szCs w:val="24"/>
        </w:rPr>
        <w:lastRenderedPageBreak/>
        <w:t xml:space="preserve">Tratamiento: </w:t>
      </w:r>
      <w:r w:rsidRPr="00940791">
        <w:rPr>
          <w:rFonts w:ascii="Verdana" w:hAnsi="Verdana" w:cs="Calibri"/>
          <w:b/>
          <w:sz w:val="24"/>
          <w:szCs w:val="24"/>
        </w:rPr>
        <w:t>Empleados</w:t>
      </w:r>
    </w:p>
    <w:p w:rsidR="008A1850" w:rsidRPr="00940791" w:rsidRDefault="000928B4" w:rsidP="00940791">
      <w:pPr>
        <w:spacing w:line="360" w:lineRule="auto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>Finalidad del tratamiento</w:t>
      </w:r>
      <w:r w:rsidR="00211B03">
        <w:rPr>
          <w:rFonts w:ascii="Verdana" w:hAnsi="Verdana" w:cs="Calibri"/>
          <w:sz w:val="24"/>
          <w:szCs w:val="24"/>
        </w:rPr>
        <w:t xml:space="preserve">: </w:t>
      </w:r>
      <w:r w:rsidRPr="00940791">
        <w:rPr>
          <w:rFonts w:ascii="Verdana" w:hAnsi="Verdana" w:cs="Calibri"/>
          <w:sz w:val="24"/>
          <w:szCs w:val="24"/>
        </w:rPr>
        <w:t>Gestión de la relación laboral con los empleados</w:t>
      </w:r>
    </w:p>
    <w:p w:rsidR="008A1850" w:rsidRPr="00940791" w:rsidRDefault="000928B4" w:rsidP="00940791">
      <w:pPr>
        <w:spacing w:line="360" w:lineRule="auto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>Descripción de las categorías de empleados y de las categorías de datos personales:</w:t>
      </w:r>
    </w:p>
    <w:p w:rsidR="008A1850" w:rsidRPr="00940791" w:rsidRDefault="000928B4" w:rsidP="00940791">
      <w:pPr>
        <w:spacing w:line="360" w:lineRule="auto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ab/>
        <w:t>Empleados:</w:t>
      </w:r>
    </w:p>
    <w:p w:rsidR="008A1850" w:rsidRPr="00940791" w:rsidRDefault="000928B4" w:rsidP="00940791">
      <w:pPr>
        <w:spacing w:line="360" w:lineRule="auto"/>
        <w:ind w:left="1415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>Personas que trabajan para el responsable del tratamiento</w:t>
      </w:r>
    </w:p>
    <w:p w:rsidR="008A1850" w:rsidRPr="00940791" w:rsidRDefault="000928B4" w:rsidP="00940791">
      <w:pPr>
        <w:spacing w:line="360" w:lineRule="auto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ab/>
        <w:t>Categorías de datos personales:</w:t>
      </w:r>
    </w:p>
    <w:p w:rsidR="008A1850" w:rsidRPr="00940791" w:rsidRDefault="000928B4" w:rsidP="00940791">
      <w:pPr>
        <w:spacing w:line="360" w:lineRule="auto"/>
        <w:ind w:left="1415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 xml:space="preserve">Los necesarios para el mantenimiento de la relación </w:t>
      </w:r>
      <w:r w:rsidR="00CC56C3">
        <w:rPr>
          <w:rFonts w:ascii="Verdana" w:hAnsi="Verdana" w:cs="Calibri"/>
          <w:sz w:val="24"/>
          <w:szCs w:val="24"/>
        </w:rPr>
        <w:t>laboral</w:t>
      </w:r>
      <w:r w:rsidRPr="00940791">
        <w:rPr>
          <w:rFonts w:ascii="Verdana" w:hAnsi="Verdana" w:cs="Calibri"/>
          <w:sz w:val="24"/>
          <w:szCs w:val="24"/>
        </w:rPr>
        <w:t>. Gestionar la nómina, formación</w:t>
      </w:r>
      <w:r w:rsidR="00CC56C3">
        <w:rPr>
          <w:rFonts w:ascii="Verdana" w:hAnsi="Verdana" w:cs="Calibri"/>
          <w:sz w:val="24"/>
          <w:szCs w:val="24"/>
        </w:rPr>
        <w:t>.</w:t>
      </w:r>
    </w:p>
    <w:p w:rsidR="008A1850" w:rsidRPr="00940791" w:rsidRDefault="000928B4" w:rsidP="00940791">
      <w:pPr>
        <w:spacing w:line="360" w:lineRule="auto"/>
        <w:ind w:left="1415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>De identificación: nombre, apellidos, número de Seguridad Social, dirección postal, teléfonos, e-mail</w:t>
      </w:r>
    </w:p>
    <w:p w:rsidR="008A1850" w:rsidRPr="00940791" w:rsidRDefault="000928B4" w:rsidP="00940791">
      <w:pPr>
        <w:spacing w:line="360" w:lineRule="auto"/>
        <w:ind w:left="1415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 xml:space="preserve">Características personales: fecha </w:t>
      </w:r>
      <w:r w:rsidR="00CC56C3">
        <w:rPr>
          <w:rFonts w:ascii="Verdana" w:hAnsi="Verdana" w:cs="Calibri"/>
          <w:sz w:val="24"/>
          <w:szCs w:val="24"/>
        </w:rPr>
        <w:t>de nacimiento</w:t>
      </w:r>
      <w:r w:rsidRPr="00940791">
        <w:rPr>
          <w:rFonts w:ascii="Verdana" w:hAnsi="Verdana" w:cs="Calibri"/>
          <w:sz w:val="24"/>
          <w:szCs w:val="24"/>
        </w:rPr>
        <w:t xml:space="preserve"> y porcentaje de minusvalía</w:t>
      </w:r>
      <w:r w:rsidR="00CC56C3">
        <w:rPr>
          <w:rFonts w:ascii="Verdana" w:hAnsi="Verdana" w:cs="Calibri"/>
          <w:sz w:val="24"/>
          <w:szCs w:val="24"/>
        </w:rPr>
        <w:t xml:space="preserve"> (en su caso)</w:t>
      </w:r>
      <w:r w:rsidR="00940791" w:rsidRPr="00940791">
        <w:rPr>
          <w:rFonts w:ascii="Verdana" w:hAnsi="Verdana" w:cs="Calibri"/>
          <w:sz w:val="24"/>
          <w:szCs w:val="24"/>
        </w:rPr>
        <w:t>.</w:t>
      </w:r>
    </w:p>
    <w:p w:rsidR="008A1850" w:rsidRPr="00940791" w:rsidRDefault="000928B4" w:rsidP="00940791">
      <w:pPr>
        <w:spacing w:line="360" w:lineRule="auto"/>
        <w:ind w:left="1415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>Datos académicos</w:t>
      </w:r>
    </w:p>
    <w:p w:rsidR="008A1850" w:rsidRPr="00940791" w:rsidRDefault="000928B4" w:rsidP="00940791">
      <w:pPr>
        <w:spacing w:line="360" w:lineRule="auto"/>
        <w:ind w:left="1415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>Datos profesionales</w:t>
      </w:r>
    </w:p>
    <w:p w:rsidR="008A1850" w:rsidRPr="00940791" w:rsidRDefault="000928B4" w:rsidP="00940791">
      <w:pPr>
        <w:spacing w:line="360" w:lineRule="auto"/>
        <w:ind w:left="1415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>Datos bancarios, para la domiciliación del pago de las nóminas</w:t>
      </w:r>
    </w:p>
    <w:p w:rsidR="008A1850" w:rsidRPr="00940791" w:rsidRDefault="000928B4" w:rsidP="00211B03">
      <w:pPr>
        <w:spacing w:line="360" w:lineRule="auto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>Las categorías de destinatarios a quienes se comunicaron o comunicarán los datos personales:</w:t>
      </w:r>
      <w:r w:rsidR="00211B03">
        <w:rPr>
          <w:rFonts w:ascii="Verdana" w:hAnsi="Verdana" w:cs="Calibri"/>
          <w:sz w:val="24"/>
          <w:szCs w:val="24"/>
        </w:rPr>
        <w:t xml:space="preserve"> </w:t>
      </w:r>
      <w:r w:rsidRPr="00940791">
        <w:rPr>
          <w:rFonts w:ascii="Verdana" w:hAnsi="Verdana" w:cs="Calibri"/>
          <w:sz w:val="24"/>
          <w:szCs w:val="24"/>
        </w:rPr>
        <w:t>Gestoría laboral</w:t>
      </w:r>
    </w:p>
    <w:p w:rsidR="008A1850" w:rsidRPr="00940791" w:rsidRDefault="000928B4" w:rsidP="00940791">
      <w:pPr>
        <w:spacing w:line="360" w:lineRule="auto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>Cuando sea posible, los plazos previstos para la supresión de las diferentes categorías de datos:</w:t>
      </w:r>
    </w:p>
    <w:p w:rsidR="008A1850" w:rsidRDefault="000928B4" w:rsidP="00940791">
      <w:pPr>
        <w:spacing w:line="360" w:lineRule="auto"/>
        <w:ind w:left="712"/>
        <w:rPr>
          <w:rFonts w:ascii="Verdana" w:hAnsi="Verdana" w:cs="Calibri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>Los previstos por la legislación fiscal y laboral respecto a la prescripción de responsabilidades</w:t>
      </w:r>
    </w:p>
    <w:p w:rsidR="00CC56C3" w:rsidRPr="00940791" w:rsidRDefault="00CC56C3" w:rsidP="00940791">
      <w:pPr>
        <w:spacing w:line="360" w:lineRule="auto"/>
        <w:ind w:left="712"/>
        <w:rPr>
          <w:rFonts w:ascii="Verdana" w:hAnsi="Verdana"/>
          <w:sz w:val="24"/>
          <w:szCs w:val="24"/>
        </w:rPr>
      </w:pPr>
    </w:p>
    <w:p w:rsidR="008A1850" w:rsidRPr="00940791" w:rsidRDefault="000928B4" w:rsidP="00940791">
      <w:pPr>
        <w:spacing w:line="360" w:lineRule="auto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lastRenderedPageBreak/>
        <w:t xml:space="preserve">Tratamiento: </w:t>
      </w:r>
      <w:r w:rsidRPr="00940791">
        <w:rPr>
          <w:rFonts w:ascii="Verdana" w:hAnsi="Verdana" w:cs="Calibri"/>
          <w:b/>
          <w:sz w:val="24"/>
          <w:szCs w:val="24"/>
        </w:rPr>
        <w:t>Proveedores</w:t>
      </w:r>
    </w:p>
    <w:p w:rsidR="008A1850" w:rsidRPr="00940791" w:rsidRDefault="000928B4" w:rsidP="00940791">
      <w:pPr>
        <w:spacing w:line="360" w:lineRule="auto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>Finalidad del tratamiento</w:t>
      </w:r>
    </w:p>
    <w:p w:rsidR="008A1850" w:rsidRPr="00940791" w:rsidRDefault="000928B4" w:rsidP="00940791">
      <w:pPr>
        <w:spacing w:line="360" w:lineRule="auto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ab/>
        <w:t>Gestión de la relación con los proveedores</w:t>
      </w:r>
    </w:p>
    <w:p w:rsidR="008A1850" w:rsidRPr="00940791" w:rsidRDefault="000928B4" w:rsidP="00940791">
      <w:pPr>
        <w:spacing w:line="360" w:lineRule="auto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>Descripción de las categorías de proveedores y de las categorías de datos personales:</w:t>
      </w:r>
    </w:p>
    <w:p w:rsidR="008A1850" w:rsidRPr="00940791" w:rsidRDefault="000928B4" w:rsidP="00940791">
      <w:pPr>
        <w:spacing w:line="360" w:lineRule="auto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ab/>
        <w:t>Proveedores:</w:t>
      </w:r>
    </w:p>
    <w:p w:rsidR="008A1850" w:rsidRPr="00940791" w:rsidRDefault="000928B4" w:rsidP="00940791">
      <w:pPr>
        <w:spacing w:line="360" w:lineRule="auto"/>
        <w:ind w:left="1415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>Personas con las que se mantiene una relación comercial como proveedores de productos y/o servicios</w:t>
      </w:r>
    </w:p>
    <w:p w:rsidR="008A1850" w:rsidRPr="00940791" w:rsidRDefault="000928B4" w:rsidP="00940791">
      <w:pPr>
        <w:spacing w:line="360" w:lineRule="auto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ab/>
        <w:t>Categorías de datos personales:</w:t>
      </w:r>
    </w:p>
    <w:p w:rsidR="008A1850" w:rsidRPr="00940791" w:rsidRDefault="000928B4" w:rsidP="00940791">
      <w:pPr>
        <w:spacing w:line="360" w:lineRule="auto"/>
        <w:ind w:left="1415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>Los necesarios para el mantenimiento de la relación laboral</w:t>
      </w:r>
    </w:p>
    <w:p w:rsidR="008A1850" w:rsidRPr="00940791" w:rsidRDefault="000928B4" w:rsidP="00940791">
      <w:pPr>
        <w:spacing w:line="360" w:lineRule="auto"/>
        <w:ind w:left="1415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>De identificación: nombre, NIF, dirección postal, teléfonos, e-mail</w:t>
      </w:r>
    </w:p>
    <w:p w:rsidR="008A1850" w:rsidRPr="00940791" w:rsidRDefault="000928B4" w:rsidP="00940791">
      <w:pPr>
        <w:spacing w:line="360" w:lineRule="auto"/>
        <w:ind w:left="1415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>Datos bancarios: para la domiciliación de pagos</w:t>
      </w:r>
    </w:p>
    <w:p w:rsidR="008A1850" w:rsidRPr="00940791" w:rsidRDefault="000928B4" w:rsidP="00940791">
      <w:pPr>
        <w:spacing w:line="360" w:lineRule="auto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>Cuando sea posible, los plazos previstos para la supresión de las diferentes categorías de datos:</w:t>
      </w:r>
    </w:p>
    <w:p w:rsidR="008A1850" w:rsidRPr="00940791" w:rsidRDefault="000928B4" w:rsidP="00940791">
      <w:pPr>
        <w:spacing w:line="360" w:lineRule="auto"/>
        <w:ind w:left="712"/>
        <w:rPr>
          <w:rFonts w:ascii="Verdana" w:hAnsi="Verdana"/>
          <w:sz w:val="24"/>
          <w:szCs w:val="24"/>
        </w:rPr>
      </w:pPr>
      <w:r w:rsidRPr="00940791">
        <w:rPr>
          <w:rFonts w:ascii="Verdana" w:hAnsi="Verdana" w:cs="Calibri"/>
          <w:sz w:val="24"/>
          <w:szCs w:val="24"/>
        </w:rPr>
        <w:t>Los previstos por la legislación fiscal respecto a la prescripción de responsabilidades</w:t>
      </w:r>
    </w:p>
    <w:p w:rsidR="008A1850" w:rsidRPr="00940791" w:rsidRDefault="008A1850" w:rsidP="00940791">
      <w:pPr>
        <w:spacing w:line="360" w:lineRule="auto"/>
        <w:rPr>
          <w:rFonts w:ascii="Verdana" w:hAnsi="Verdana"/>
          <w:sz w:val="24"/>
          <w:szCs w:val="24"/>
        </w:rPr>
      </w:pPr>
    </w:p>
    <w:p w:rsidR="00DF3A36" w:rsidRPr="00940791" w:rsidRDefault="00DF3A36" w:rsidP="00940791">
      <w:pPr>
        <w:suppressAutoHyphens w:val="0"/>
        <w:spacing w:line="360" w:lineRule="auto"/>
        <w:rPr>
          <w:rFonts w:ascii="Verdana" w:hAnsi="Verdana"/>
          <w:b/>
          <w:sz w:val="24"/>
          <w:szCs w:val="24"/>
        </w:rPr>
      </w:pPr>
    </w:p>
    <w:p w:rsidR="00940791" w:rsidRPr="00940791" w:rsidRDefault="00940791">
      <w:pPr>
        <w:suppressAutoHyphens w:val="0"/>
        <w:spacing w:line="360" w:lineRule="auto"/>
        <w:rPr>
          <w:rFonts w:ascii="Verdana" w:hAnsi="Verdana"/>
          <w:b/>
          <w:sz w:val="24"/>
          <w:szCs w:val="24"/>
        </w:rPr>
      </w:pPr>
    </w:p>
    <w:sectPr w:rsidR="00940791" w:rsidRPr="00940791" w:rsidSect="0028009D">
      <w:footerReference w:type="default" r:id="rId8"/>
      <w:pgSz w:w="11906" w:h="16838"/>
      <w:pgMar w:top="1417" w:right="1700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938" w:rsidRDefault="00690938">
      <w:pPr>
        <w:spacing w:after="0"/>
      </w:pPr>
      <w:r>
        <w:separator/>
      </w:r>
    </w:p>
  </w:endnote>
  <w:endnote w:type="continuationSeparator" w:id="0">
    <w:p w:rsidR="00690938" w:rsidRDefault="006909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8582594"/>
      <w:docPartObj>
        <w:docPartGallery w:val="Page Numbers (Bottom of Page)"/>
        <w:docPartUnique/>
      </w:docPartObj>
    </w:sdtPr>
    <w:sdtEndPr/>
    <w:sdtContent>
      <w:sdt>
        <w:sdtPr>
          <w:id w:val="216747587"/>
          <w:docPartObj>
            <w:docPartGallery w:val="Page Numbers (Top of Page)"/>
            <w:docPartUnique/>
          </w:docPartObj>
        </w:sdtPr>
        <w:sdtEndPr/>
        <w:sdtContent>
          <w:p w:rsidR="00DF3A36" w:rsidRDefault="00DF3A36">
            <w:pPr>
              <w:pStyle w:val="Piedepgina"/>
              <w:jc w:val="right"/>
            </w:pPr>
            <w:r>
              <w:t xml:space="preserve">Página </w:t>
            </w:r>
            <w:r w:rsidR="00D3504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D35049">
              <w:rPr>
                <w:b/>
                <w:sz w:val="24"/>
                <w:szCs w:val="24"/>
              </w:rPr>
              <w:fldChar w:fldCharType="separate"/>
            </w:r>
            <w:r w:rsidR="00F921F8">
              <w:rPr>
                <w:b/>
                <w:noProof/>
              </w:rPr>
              <w:t>5</w:t>
            </w:r>
            <w:r w:rsidR="00D35049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D3504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D35049">
              <w:rPr>
                <w:b/>
                <w:sz w:val="24"/>
                <w:szCs w:val="24"/>
              </w:rPr>
              <w:fldChar w:fldCharType="separate"/>
            </w:r>
            <w:r w:rsidR="00F921F8">
              <w:rPr>
                <w:b/>
                <w:noProof/>
              </w:rPr>
              <w:t>5</w:t>
            </w:r>
            <w:r w:rsidR="00D3504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F3A36" w:rsidRDefault="00DF3A3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938" w:rsidRDefault="00690938">
      <w:pPr>
        <w:spacing w:after="0"/>
      </w:pPr>
      <w:r>
        <w:rPr>
          <w:color w:val="000000"/>
        </w:rPr>
        <w:separator/>
      </w:r>
    </w:p>
  </w:footnote>
  <w:footnote w:type="continuationSeparator" w:id="0">
    <w:p w:rsidR="00690938" w:rsidRDefault="0069093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B70BC"/>
    <w:multiLevelType w:val="multilevel"/>
    <w:tmpl w:val="79D2051C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F1A7F04"/>
    <w:multiLevelType w:val="multilevel"/>
    <w:tmpl w:val="265E47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52CFE"/>
    <w:multiLevelType w:val="multilevel"/>
    <w:tmpl w:val="717AADC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B201C"/>
    <w:multiLevelType w:val="multilevel"/>
    <w:tmpl w:val="3EFCA49C"/>
    <w:lvl w:ilvl="0">
      <w:start w:val="1"/>
      <w:numFmt w:val="lowerLetter"/>
      <w:lvlText w:val="%1)"/>
      <w:lvlJc w:val="left"/>
      <w:pPr>
        <w:ind w:left="717" w:hanging="360"/>
      </w:pPr>
    </w:lvl>
    <w:lvl w:ilvl="1">
      <w:start w:val="1"/>
      <w:numFmt w:val="lowerLetter"/>
      <w:lvlText w:val="%2."/>
      <w:lvlJc w:val="left"/>
      <w:pPr>
        <w:ind w:left="1437" w:hanging="360"/>
      </w:pPr>
    </w:lvl>
    <w:lvl w:ilvl="2">
      <w:start w:val="1"/>
      <w:numFmt w:val="lowerRoman"/>
      <w:lvlText w:val="%3."/>
      <w:lvlJc w:val="right"/>
      <w:pPr>
        <w:ind w:left="2157" w:hanging="180"/>
      </w:pPr>
    </w:lvl>
    <w:lvl w:ilvl="3">
      <w:start w:val="1"/>
      <w:numFmt w:val="decimal"/>
      <w:lvlText w:val="%4."/>
      <w:lvlJc w:val="left"/>
      <w:pPr>
        <w:ind w:left="2877" w:hanging="360"/>
      </w:pPr>
    </w:lvl>
    <w:lvl w:ilvl="4">
      <w:start w:val="1"/>
      <w:numFmt w:val="lowerLetter"/>
      <w:lvlText w:val="%5."/>
      <w:lvlJc w:val="left"/>
      <w:pPr>
        <w:ind w:left="3597" w:hanging="360"/>
      </w:pPr>
    </w:lvl>
    <w:lvl w:ilvl="5">
      <w:start w:val="1"/>
      <w:numFmt w:val="lowerRoman"/>
      <w:lvlText w:val="%6."/>
      <w:lvlJc w:val="right"/>
      <w:pPr>
        <w:ind w:left="4317" w:hanging="180"/>
      </w:pPr>
    </w:lvl>
    <w:lvl w:ilvl="6">
      <w:start w:val="1"/>
      <w:numFmt w:val="decimal"/>
      <w:lvlText w:val="%7."/>
      <w:lvlJc w:val="left"/>
      <w:pPr>
        <w:ind w:left="5037" w:hanging="360"/>
      </w:pPr>
    </w:lvl>
    <w:lvl w:ilvl="7">
      <w:start w:val="1"/>
      <w:numFmt w:val="lowerLetter"/>
      <w:lvlText w:val="%8."/>
      <w:lvlJc w:val="left"/>
      <w:pPr>
        <w:ind w:left="5757" w:hanging="360"/>
      </w:pPr>
    </w:lvl>
    <w:lvl w:ilvl="8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15B91413"/>
    <w:multiLevelType w:val="hybridMultilevel"/>
    <w:tmpl w:val="8FA2A85E"/>
    <w:lvl w:ilvl="0" w:tplc="8CE48D98">
      <w:start w:val="1"/>
      <w:numFmt w:val="decimal"/>
      <w:lvlText w:val="%1"/>
      <w:lvlJc w:val="left"/>
      <w:pPr>
        <w:ind w:left="720" w:hanging="360"/>
      </w:pPr>
      <w:rPr>
        <w:rFonts w:cs="Calibri" w:hint="default"/>
        <w:color w:val="2B3949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A2FE9"/>
    <w:multiLevelType w:val="hybridMultilevel"/>
    <w:tmpl w:val="B1C0817E"/>
    <w:lvl w:ilvl="0" w:tplc="63FE5BD8">
      <w:start w:val="1"/>
      <w:numFmt w:val="decimal"/>
      <w:lvlText w:val="%1"/>
      <w:lvlJc w:val="left"/>
      <w:pPr>
        <w:ind w:left="720" w:hanging="360"/>
      </w:pPr>
      <w:rPr>
        <w:rFonts w:cs="Calibri" w:hint="default"/>
        <w:color w:val="2B3949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F1AB4"/>
    <w:multiLevelType w:val="multilevel"/>
    <w:tmpl w:val="46A80422"/>
    <w:lvl w:ilvl="0">
      <w:numFmt w:val="bullet"/>
      <w:lvlText w:val="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8D3472"/>
    <w:multiLevelType w:val="multilevel"/>
    <w:tmpl w:val="3EFCA49C"/>
    <w:lvl w:ilvl="0">
      <w:start w:val="1"/>
      <w:numFmt w:val="lowerLetter"/>
      <w:lvlText w:val="%1)"/>
      <w:lvlJc w:val="left"/>
      <w:pPr>
        <w:ind w:left="717" w:hanging="360"/>
      </w:pPr>
    </w:lvl>
    <w:lvl w:ilvl="1">
      <w:start w:val="1"/>
      <w:numFmt w:val="lowerLetter"/>
      <w:lvlText w:val="%2."/>
      <w:lvlJc w:val="left"/>
      <w:pPr>
        <w:ind w:left="1437" w:hanging="360"/>
      </w:pPr>
    </w:lvl>
    <w:lvl w:ilvl="2">
      <w:start w:val="1"/>
      <w:numFmt w:val="lowerRoman"/>
      <w:lvlText w:val="%3."/>
      <w:lvlJc w:val="right"/>
      <w:pPr>
        <w:ind w:left="2157" w:hanging="180"/>
      </w:pPr>
    </w:lvl>
    <w:lvl w:ilvl="3">
      <w:start w:val="1"/>
      <w:numFmt w:val="decimal"/>
      <w:lvlText w:val="%4."/>
      <w:lvlJc w:val="left"/>
      <w:pPr>
        <w:ind w:left="2877" w:hanging="360"/>
      </w:pPr>
    </w:lvl>
    <w:lvl w:ilvl="4">
      <w:start w:val="1"/>
      <w:numFmt w:val="lowerLetter"/>
      <w:lvlText w:val="%5."/>
      <w:lvlJc w:val="left"/>
      <w:pPr>
        <w:ind w:left="3597" w:hanging="360"/>
      </w:pPr>
    </w:lvl>
    <w:lvl w:ilvl="5">
      <w:start w:val="1"/>
      <w:numFmt w:val="lowerRoman"/>
      <w:lvlText w:val="%6."/>
      <w:lvlJc w:val="right"/>
      <w:pPr>
        <w:ind w:left="4317" w:hanging="180"/>
      </w:pPr>
    </w:lvl>
    <w:lvl w:ilvl="6">
      <w:start w:val="1"/>
      <w:numFmt w:val="decimal"/>
      <w:lvlText w:val="%7."/>
      <w:lvlJc w:val="left"/>
      <w:pPr>
        <w:ind w:left="5037" w:hanging="360"/>
      </w:pPr>
    </w:lvl>
    <w:lvl w:ilvl="7">
      <w:start w:val="1"/>
      <w:numFmt w:val="lowerLetter"/>
      <w:lvlText w:val="%8."/>
      <w:lvlJc w:val="left"/>
      <w:pPr>
        <w:ind w:left="5757" w:hanging="360"/>
      </w:pPr>
    </w:lvl>
    <w:lvl w:ilvl="8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1D7C63AF"/>
    <w:multiLevelType w:val="multilevel"/>
    <w:tmpl w:val="0CE4E664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2C344F1"/>
    <w:multiLevelType w:val="multilevel"/>
    <w:tmpl w:val="63D0B74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D66AED"/>
    <w:multiLevelType w:val="multilevel"/>
    <w:tmpl w:val="1C7C3EF2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D182463"/>
    <w:multiLevelType w:val="multilevel"/>
    <w:tmpl w:val="63D0B74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E566617"/>
    <w:multiLevelType w:val="hybridMultilevel"/>
    <w:tmpl w:val="EED40138"/>
    <w:lvl w:ilvl="0" w:tplc="53A8BB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80281A"/>
    <w:multiLevelType w:val="multilevel"/>
    <w:tmpl w:val="3F7CD5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EB46C5B"/>
    <w:multiLevelType w:val="multilevel"/>
    <w:tmpl w:val="63D0B74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4C404AD"/>
    <w:multiLevelType w:val="hybridMultilevel"/>
    <w:tmpl w:val="BA88AAB8"/>
    <w:lvl w:ilvl="0" w:tplc="C4EE838E">
      <w:start w:val="1"/>
      <w:numFmt w:val="decimal"/>
      <w:lvlText w:val="%1"/>
      <w:lvlJc w:val="left"/>
      <w:pPr>
        <w:ind w:left="720" w:hanging="360"/>
      </w:pPr>
      <w:rPr>
        <w:rFonts w:cs="Calibri" w:hint="default"/>
        <w:color w:val="2B3949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441FD8"/>
    <w:multiLevelType w:val="hybridMultilevel"/>
    <w:tmpl w:val="BCDCC2B0"/>
    <w:lvl w:ilvl="0" w:tplc="74A07F4A">
      <w:start w:val="1"/>
      <w:numFmt w:val="decimal"/>
      <w:lvlText w:val="%1"/>
      <w:lvlJc w:val="left"/>
      <w:pPr>
        <w:ind w:left="1080" w:hanging="360"/>
      </w:pPr>
      <w:rPr>
        <w:rFonts w:cs="Calibri" w:hint="default"/>
        <w:color w:val="2B3949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15A5CB6"/>
    <w:multiLevelType w:val="hybridMultilevel"/>
    <w:tmpl w:val="D5606D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B35C73"/>
    <w:multiLevelType w:val="multilevel"/>
    <w:tmpl w:val="F7DAFE96"/>
    <w:lvl w:ilvl="0">
      <w:start w:val="1"/>
      <w:numFmt w:val="lowerLetter"/>
      <w:lvlText w:val="%1)"/>
      <w:lvlJc w:val="left"/>
      <w:pPr>
        <w:ind w:left="717" w:hanging="360"/>
      </w:pPr>
    </w:lvl>
    <w:lvl w:ilvl="1">
      <w:start w:val="1"/>
      <w:numFmt w:val="lowerLetter"/>
      <w:lvlText w:val="%2."/>
      <w:lvlJc w:val="left"/>
      <w:pPr>
        <w:ind w:left="1437" w:hanging="360"/>
      </w:pPr>
    </w:lvl>
    <w:lvl w:ilvl="2">
      <w:start w:val="1"/>
      <w:numFmt w:val="lowerRoman"/>
      <w:lvlText w:val="%3."/>
      <w:lvlJc w:val="right"/>
      <w:pPr>
        <w:ind w:left="2157" w:hanging="180"/>
      </w:pPr>
    </w:lvl>
    <w:lvl w:ilvl="3">
      <w:start w:val="1"/>
      <w:numFmt w:val="decimal"/>
      <w:lvlText w:val="%4."/>
      <w:lvlJc w:val="left"/>
      <w:pPr>
        <w:ind w:left="2877" w:hanging="360"/>
      </w:pPr>
    </w:lvl>
    <w:lvl w:ilvl="4">
      <w:start w:val="1"/>
      <w:numFmt w:val="lowerLetter"/>
      <w:lvlText w:val="%5."/>
      <w:lvlJc w:val="left"/>
      <w:pPr>
        <w:ind w:left="3597" w:hanging="360"/>
      </w:pPr>
    </w:lvl>
    <w:lvl w:ilvl="5">
      <w:start w:val="1"/>
      <w:numFmt w:val="lowerRoman"/>
      <w:lvlText w:val="%6."/>
      <w:lvlJc w:val="right"/>
      <w:pPr>
        <w:ind w:left="4317" w:hanging="180"/>
      </w:pPr>
    </w:lvl>
    <w:lvl w:ilvl="6">
      <w:start w:val="1"/>
      <w:numFmt w:val="decimal"/>
      <w:lvlText w:val="%7."/>
      <w:lvlJc w:val="left"/>
      <w:pPr>
        <w:ind w:left="5037" w:hanging="360"/>
      </w:pPr>
    </w:lvl>
    <w:lvl w:ilvl="7">
      <w:start w:val="1"/>
      <w:numFmt w:val="lowerLetter"/>
      <w:lvlText w:val="%8."/>
      <w:lvlJc w:val="left"/>
      <w:pPr>
        <w:ind w:left="5757" w:hanging="360"/>
      </w:pPr>
    </w:lvl>
    <w:lvl w:ilvl="8">
      <w:start w:val="1"/>
      <w:numFmt w:val="lowerRoman"/>
      <w:lvlText w:val="%9."/>
      <w:lvlJc w:val="right"/>
      <w:pPr>
        <w:ind w:left="6477" w:hanging="180"/>
      </w:pPr>
    </w:lvl>
  </w:abstractNum>
  <w:abstractNum w:abstractNumId="19" w15:restartNumberingAfterBreak="0">
    <w:nsid w:val="4E68383F"/>
    <w:multiLevelType w:val="hybridMultilevel"/>
    <w:tmpl w:val="B1C0817E"/>
    <w:lvl w:ilvl="0" w:tplc="63FE5BD8">
      <w:start w:val="1"/>
      <w:numFmt w:val="decimal"/>
      <w:lvlText w:val="%1"/>
      <w:lvlJc w:val="left"/>
      <w:pPr>
        <w:ind w:left="720" w:hanging="360"/>
      </w:pPr>
      <w:rPr>
        <w:rFonts w:cs="Calibri" w:hint="default"/>
        <w:color w:val="2B3949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9E56DD"/>
    <w:multiLevelType w:val="multilevel"/>
    <w:tmpl w:val="3EFCA49C"/>
    <w:lvl w:ilvl="0">
      <w:start w:val="1"/>
      <w:numFmt w:val="lowerLetter"/>
      <w:lvlText w:val="%1)"/>
      <w:lvlJc w:val="left"/>
      <w:pPr>
        <w:ind w:left="717" w:hanging="360"/>
      </w:pPr>
    </w:lvl>
    <w:lvl w:ilvl="1">
      <w:start w:val="1"/>
      <w:numFmt w:val="lowerLetter"/>
      <w:lvlText w:val="%2."/>
      <w:lvlJc w:val="left"/>
      <w:pPr>
        <w:ind w:left="1437" w:hanging="360"/>
      </w:pPr>
    </w:lvl>
    <w:lvl w:ilvl="2">
      <w:start w:val="1"/>
      <w:numFmt w:val="lowerRoman"/>
      <w:lvlText w:val="%3."/>
      <w:lvlJc w:val="right"/>
      <w:pPr>
        <w:ind w:left="2157" w:hanging="180"/>
      </w:pPr>
    </w:lvl>
    <w:lvl w:ilvl="3">
      <w:start w:val="1"/>
      <w:numFmt w:val="decimal"/>
      <w:lvlText w:val="%4."/>
      <w:lvlJc w:val="left"/>
      <w:pPr>
        <w:ind w:left="2877" w:hanging="360"/>
      </w:pPr>
    </w:lvl>
    <w:lvl w:ilvl="4">
      <w:start w:val="1"/>
      <w:numFmt w:val="lowerLetter"/>
      <w:lvlText w:val="%5."/>
      <w:lvlJc w:val="left"/>
      <w:pPr>
        <w:ind w:left="3597" w:hanging="360"/>
      </w:pPr>
    </w:lvl>
    <w:lvl w:ilvl="5">
      <w:start w:val="1"/>
      <w:numFmt w:val="lowerRoman"/>
      <w:lvlText w:val="%6."/>
      <w:lvlJc w:val="right"/>
      <w:pPr>
        <w:ind w:left="4317" w:hanging="180"/>
      </w:pPr>
    </w:lvl>
    <w:lvl w:ilvl="6">
      <w:start w:val="1"/>
      <w:numFmt w:val="decimal"/>
      <w:lvlText w:val="%7."/>
      <w:lvlJc w:val="left"/>
      <w:pPr>
        <w:ind w:left="5037" w:hanging="360"/>
      </w:pPr>
    </w:lvl>
    <w:lvl w:ilvl="7">
      <w:start w:val="1"/>
      <w:numFmt w:val="lowerLetter"/>
      <w:lvlText w:val="%8."/>
      <w:lvlJc w:val="left"/>
      <w:pPr>
        <w:ind w:left="5757" w:hanging="360"/>
      </w:pPr>
    </w:lvl>
    <w:lvl w:ilvl="8">
      <w:start w:val="1"/>
      <w:numFmt w:val="lowerRoman"/>
      <w:lvlText w:val="%9."/>
      <w:lvlJc w:val="right"/>
      <w:pPr>
        <w:ind w:left="6477" w:hanging="180"/>
      </w:pPr>
    </w:lvl>
  </w:abstractNum>
  <w:abstractNum w:abstractNumId="21" w15:restartNumberingAfterBreak="0">
    <w:nsid w:val="51142E9B"/>
    <w:multiLevelType w:val="multilevel"/>
    <w:tmpl w:val="1C7C3EF2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6F95F83"/>
    <w:multiLevelType w:val="multilevel"/>
    <w:tmpl w:val="E270820A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775736A"/>
    <w:multiLevelType w:val="multilevel"/>
    <w:tmpl w:val="3EFCA49C"/>
    <w:lvl w:ilvl="0">
      <w:start w:val="1"/>
      <w:numFmt w:val="lowerLetter"/>
      <w:lvlText w:val="%1)"/>
      <w:lvlJc w:val="left"/>
      <w:pPr>
        <w:ind w:left="717" w:hanging="360"/>
      </w:pPr>
    </w:lvl>
    <w:lvl w:ilvl="1">
      <w:start w:val="1"/>
      <w:numFmt w:val="lowerLetter"/>
      <w:lvlText w:val="%2."/>
      <w:lvlJc w:val="left"/>
      <w:pPr>
        <w:ind w:left="1437" w:hanging="360"/>
      </w:pPr>
    </w:lvl>
    <w:lvl w:ilvl="2">
      <w:start w:val="1"/>
      <w:numFmt w:val="lowerRoman"/>
      <w:lvlText w:val="%3."/>
      <w:lvlJc w:val="right"/>
      <w:pPr>
        <w:ind w:left="2157" w:hanging="180"/>
      </w:pPr>
    </w:lvl>
    <w:lvl w:ilvl="3">
      <w:start w:val="1"/>
      <w:numFmt w:val="decimal"/>
      <w:lvlText w:val="%4."/>
      <w:lvlJc w:val="left"/>
      <w:pPr>
        <w:ind w:left="2877" w:hanging="360"/>
      </w:pPr>
    </w:lvl>
    <w:lvl w:ilvl="4">
      <w:start w:val="1"/>
      <w:numFmt w:val="lowerLetter"/>
      <w:lvlText w:val="%5."/>
      <w:lvlJc w:val="left"/>
      <w:pPr>
        <w:ind w:left="3597" w:hanging="360"/>
      </w:pPr>
    </w:lvl>
    <w:lvl w:ilvl="5">
      <w:start w:val="1"/>
      <w:numFmt w:val="lowerRoman"/>
      <w:lvlText w:val="%6."/>
      <w:lvlJc w:val="right"/>
      <w:pPr>
        <w:ind w:left="4317" w:hanging="180"/>
      </w:pPr>
    </w:lvl>
    <w:lvl w:ilvl="6">
      <w:start w:val="1"/>
      <w:numFmt w:val="decimal"/>
      <w:lvlText w:val="%7."/>
      <w:lvlJc w:val="left"/>
      <w:pPr>
        <w:ind w:left="5037" w:hanging="360"/>
      </w:pPr>
    </w:lvl>
    <w:lvl w:ilvl="7">
      <w:start w:val="1"/>
      <w:numFmt w:val="lowerLetter"/>
      <w:lvlText w:val="%8."/>
      <w:lvlJc w:val="left"/>
      <w:pPr>
        <w:ind w:left="5757" w:hanging="360"/>
      </w:pPr>
    </w:lvl>
    <w:lvl w:ilvl="8">
      <w:start w:val="1"/>
      <w:numFmt w:val="lowerRoman"/>
      <w:lvlText w:val="%9."/>
      <w:lvlJc w:val="right"/>
      <w:pPr>
        <w:ind w:left="6477" w:hanging="180"/>
      </w:pPr>
    </w:lvl>
  </w:abstractNum>
  <w:abstractNum w:abstractNumId="24" w15:restartNumberingAfterBreak="0">
    <w:nsid w:val="5AEB3EAA"/>
    <w:multiLevelType w:val="multilevel"/>
    <w:tmpl w:val="63D0B74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C35349A"/>
    <w:multiLevelType w:val="multilevel"/>
    <w:tmpl w:val="624C83B0"/>
    <w:lvl w:ilvl="0">
      <w:start w:val="1"/>
      <w:numFmt w:val="decimal"/>
      <w:lvlText w:val="%1"/>
      <w:lvlJc w:val="left"/>
      <w:pPr>
        <w:ind w:left="720" w:hanging="360"/>
      </w:pPr>
      <w:rPr>
        <w:rFonts w:cs="Calibri" w:hint="default"/>
        <w:color w:val="2B3949"/>
        <w:sz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26253A"/>
    <w:multiLevelType w:val="multilevel"/>
    <w:tmpl w:val="C276A44A"/>
    <w:lvl w:ilvl="0">
      <w:numFmt w:val="bullet"/>
      <w:lvlText w:val="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ECC07AB"/>
    <w:multiLevelType w:val="multilevel"/>
    <w:tmpl w:val="1C7C3EF2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30D3404"/>
    <w:multiLevelType w:val="multilevel"/>
    <w:tmpl w:val="8FD0B7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9D4C30"/>
    <w:multiLevelType w:val="multilevel"/>
    <w:tmpl w:val="1C7C3EF2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D104F97"/>
    <w:multiLevelType w:val="multilevel"/>
    <w:tmpl w:val="3BB0416A"/>
    <w:lvl w:ilvl="0">
      <w:numFmt w:val="bullet"/>
      <w:lvlText w:val="-"/>
      <w:lvlJc w:val="left"/>
      <w:pPr>
        <w:ind w:left="1776" w:hanging="360"/>
      </w:pPr>
      <w:rPr>
        <w:rFonts w:ascii="Arial" w:eastAsia="Calibri" w:hAnsi="Arial" w:cs="Arial"/>
      </w:rPr>
    </w:lvl>
    <w:lvl w:ilvl="1">
      <w:numFmt w:val="bullet"/>
      <w:lvlText w:val="o"/>
      <w:lvlJc w:val="left"/>
      <w:pPr>
        <w:ind w:left="249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1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3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5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37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09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1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36" w:hanging="360"/>
      </w:pPr>
      <w:rPr>
        <w:rFonts w:ascii="Wingdings" w:hAnsi="Wingdings"/>
      </w:rPr>
    </w:lvl>
  </w:abstractNum>
  <w:abstractNum w:abstractNumId="31" w15:restartNumberingAfterBreak="0">
    <w:nsid w:val="740003A9"/>
    <w:multiLevelType w:val="multilevel"/>
    <w:tmpl w:val="01A0D93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6A3184E"/>
    <w:multiLevelType w:val="multilevel"/>
    <w:tmpl w:val="19A8C9A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7B074C8"/>
    <w:multiLevelType w:val="multilevel"/>
    <w:tmpl w:val="1C7C3EF2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B0128C5"/>
    <w:multiLevelType w:val="multilevel"/>
    <w:tmpl w:val="63D0B74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6"/>
  </w:num>
  <w:num w:numId="3">
    <w:abstractNumId w:val="26"/>
  </w:num>
  <w:num w:numId="4">
    <w:abstractNumId w:val="28"/>
  </w:num>
  <w:num w:numId="5">
    <w:abstractNumId w:val="22"/>
  </w:num>
  <w:num w:numId="6">
    <w:abstractNumId w:val="29"/>
  </w:num>
  <w:num w:numId="7">
    <w:abstractNumId w:val="20"/>
  </w:num>
  <w:num w:numId="8">
    <w:abstractNumId w:val="31"/>
  </w:num>
  <w:num w:numId="9">
    <w:abstractNumId w:val="24"/>
  </w:num>
  <w:num w:numId="10">
    <w:abstractNumId w:val="1"/>
  </w:num>
  <w:num w:numId="11">
    <w:abstractNumId w:val="8"/>
  </w:num>
  <w:num w:numId="12">
    <w:abstractNumId w:val="18"/>
  </w:num>
  <w:num w:numId="13">
    <w:abstractNumId w:val="2"/>
  </w:num>
  <w:num w:numId="14">
    <w:abstractNumId w:val="32"/>
  </w:num>
  <w:num w:numId="15">
    <w:abstractNumId w:val="0"/>
  </w:num>
  <w:num w:numId="16">
    <w:abstractNumId w:val="30"/>
  </w:num>
  <w:num w:numId="17">
    <w:abstractNumId w:val="16"/>
  </w:num>
  <w:num w:numId="18">
    <w:abstractNumId w:val="25"/>
  </w:num>
  <w:num w:numId="19">
    <w:abstractNumId w:val="15"/>
  </w:num>
  <w:num w:numId="20">
    <w:abstractNumId w:val="4"/>
  </w:num>
  <w:num w:numId="21">
    <w:abstractNumId w:val="5"/>
  </w:num>
  <w:num w:numId="22">
    <w:abstractNumId w:val="12"/>
  </w:num>
  <w:num w:numId="23">
    <w:abstractNumId w:val="33"/>
  </w:num>
  <w:num w:numId="24">
    <w:abstractNumId w:val="9"/>
  </w:num>
  <w:num w:numId="25">
    <w:abstractNumId w:val="3"/>
  </w:num>
  <w:num w:numId="26">
    <w:abstractNumId w:val="21"/>
  </w:num>
  <w:num w:numId="27">
    <w:abstractNumId w:val="7"/>
  </w:num>
  <w:num w:numId="28">
    <w:abstractNumId w:val="34"/>
  </w:num>
  <w:num w:numId="29">
    <w:abstractNumId w:val="27"/>
  </w:num>
  <w:num w:numId="30">
    <w:abstractNumId w:val="19"/>
  </w:num>
  <w:num w:numId="31">
    <w:abstractNumId w:val="23"/>
  </w:num>
  <w:num w:numId="32">
    <w:abstractNumId w:val="11"/>
  </w:num>
  <w:num w:numId="33">
    <w:abstractNumId w:val="10"/>
  </w:num>
  <w:num w:numId="34">
    <w:abstractNumId w:val="14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2174"/>
    <w:rsid w:val="0000214B"/>
    <w:rsid w:val="00013ED5"/>
    <w:rsid w:val="00014B61"/>
    <w:rsid w:val="000159FE"/>
    <w:rsid w:val="00025FAB"/>
    <w:rsid w:val="00053127"/>
    <w:rsid w:val="000928B4"/>
    <w:rsid w:val="00104497"/>
    <w:rsid w:val="00181914"/>
    <w:rsid w:val="001A04D7"/>
    <w:rsid w:val="001D14B8"/>
    <w:rsid w:val="002045EE"/>
    <w:rsid w:val="00211B03"/>
    <w:rsid w:val="00253137"/>
    <w:rsid w:val="00256BAB"/>
    <w:rsid w:val="0027002A"/>
    <w:rsid w:val="0028009D"/>
    <w:rsid w:val="00287B04"/>
    <w:rsid w:val="002A5992"/>
    <w:rsid w:val="002A6C2C"/>
    <w:rsid w:val="002B50F7"/>
    <w:rsid w:val="002F0CF4"/>
    <w:rsid w:val="00337C44"/>
    <w:rsid w:val="00346227"/>
    <w:rsid w:val="00362940"/>
    <w:rsid w:val="003C27F0"/>
    <w:rsid w:val="003E3661"/>
    <w:rsid w:val="00446467"/>
    <w:rsid w:val="00472BAE"/>
    <w:rsid w:val="004828FD"/>
    <w:rsid w:val="00492B32"/>
    <w:rsid w:val="004B342A"/>
    <w:rsid w:val="004E1479"/>
    <w:rsid w:val="00534678"/>
    <w:rsid w:val="00560FCA"/>
    <w:rsid w:val="00561301"/>
    <w:rsid w:val="005F02C8"/>
    <w:rsid w:val="006241D8"/>
    <w:rsid w:val="006316B7"/>
    <w:rsid w:val="0064494A"/>
    <w:rsid w:val="00690938"/>
    <w:rsid w:val="006A2C6B"/>
    <w:rsid w:val="006D5C0D"/>
    <w:rsid w:val="00704639"/>
    <w:rsid w:val="00727478"/>
    <w:rsid w:val="00761D32"/>
    <w:rsid w:val="00771913"/>
    <w:rsid w:val="007A37AC"/>
    <w:rsid w:val="00817789"/>
    <w:rsid w:val="00822FF6"/>
    <w:rsid w:val="0086267F"/>
    <w:rsid w:val="00873D0F"/>
    <w:rsid w:val="00892D60"/>
    <w:rsid w:val="008A14CD"/>
    <w:rsid w:val="008A1850"/>
    <w:rsid w:val="008B1BBB"/>
    <w:rsid w:val="008D2818"/>
    <w:rsid w:val="00914F86"/>
    <w:rsid w:val="00923D42"/>
    <w:rsid w:val="009309E6"/>
    <w:rsid w:val="00940791"/>
    <w:rsid w:val="00976D7C"/>
    <w:rsid w:val="0099238B"/>
    <w:rsid w:val="009A74FA"/>
    <w:rsid w:val="009C2B5E"/>
    <w:rsid w:val="009D2D3B"/>
    <w:rsid w:val="00A2361A"/>
    <w:rsid w:val="00A60B40"/>
    <w:rsid w:val="00A828B0"/>
    <w:rsid w:val="00AA1C3A"/>
    <w:rsid w:val="00B2400E"/>
    <w:rsid w:val="00B41870"/>
    <w:rsid w:val="00B62006"/>
    <w:rsid w:val="00B9275C"/>
    <w:rsid w:val="00BF0DFE"/>
    <w:rsid w:val="00C71ADF"/>
    <w:rsid w:val="00C92A68"/>
    <w:rsid w:val="00CB31CC"/>
    <w:rsid w:val="00CC56C3"/>
    <w:rsid w:val="00D35049"/>
    <w:rsid w:val="00D359EA"/>
    <w:rsid w:val="00D55E13"/>
    <w:rsid w:val="00D84F20"/>
    <w:rsid w:val="00D92174"/>
    <w:rsid w:val="00D929C5"/>
    <w:rsid w:val="00DA73C2"/>
    <w:rsid w:val="00DC3C2A"/>
    <w:rsid w:val="00DE4F58"/>
    <w:rsid w:val="00DF3A36"/>
    <w:rsid w:val="00E7396B"/>
    <w:rsid w:val="00EB236F"/>
    <w:rsid w:val="00EF53C7"/>
    <w:rsid w:val="00F46130"/>
    <w:rsid w:val="00F6164D"/>
    <w:rsid w:val="00F91BAD"/>
    <w:rsid w:val="00F921F8"/>
    <w:rsid w:val="00F92A30"/>
    <w:rsid w:val="00F96AC5"/>
    <w:rsid w:val="00FC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C86469-7E1C-4EAB-9480-59D994A88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16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A1850"/>
    <w:pPr>
      <w:suppressAutoHyphens/>
    </w:pPr>
  </w:style>
  <w:style w:type="paragraph" w:styleId="Ttulo1">
    <w:name w:val="heading 1"/>
    <w:basedOn w:val="Normal"/>
    <w:next w:val="Normal"/>
    <w:rsid w:val="008A1850"/>
    <w:pPr>
      <w:keepNext/>
      <w:keepLines/>
      <w:suppressAutoHyphens w:val="0"/>
      <w:spacing w:before="480" w:after="0"/>
      <w:jc w:val="both"/>
      <w:textAlignment w:val="auto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rsid w:val="008A1850"/>
    <w:pPr>
      <w:keepNext/>
      <w:keepLines/>
      <w:suppressAutoHyphens w:val="0"/>
      <w:spacing w:before="200" w:after="0"/>
      <w:jc w:val="both"/>
      <w:textAlignment w:val="auto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1850"/>
    <w:pPr>
      <w:ind w:left="720"/>
    </w:pPr>
  </w:style>
  <w:style w:type="character" w:styleId="Refdecomentario">
    <w:name w:val="annotation reference"/>
    <w:basedOn w:val="Fuentedeprrafopredeter"/>
    <w:rsid w:val="008A1850"/>
    <w:rPr>
      <w:sz w:val="16"/>
      <w:szCs w:val="16"/>
    </w:rPr>
  </w:style>
  <w:style w:type="paragraph" w:styleId="Textocomentario">
    <w:name w:val="annotation text"/>
    <w:basedOn w:val="Normal"/>
    <w:rsid w:val="008A1850"/>
    <w:rPr>
      <w:sz w:val="20"/>
      <w:szCs w:val="20"/>
    </w:rPr>
  </w:style>
  <w:style w:type="character" w:customStyle="1" w:styleId="TextocomentarioCar">
    <w:name w:val="Texto comentario Car"/>
    <w:basedOn w:val="Fuentedeprrafopredeter"/>
    <w:rsid w:val="008A185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rsid w:val="008A1850"/>
    <w:rPr>
      <w:b/>
      <w:bCs/>
    </w:rPr>
  </w:style>
  <w:style w:type="character" w:customStyle="1" w:styleId="AsuntodelcomentarioCar">
    <w:name w:val="Asunto del comentario Car"/>
    <w:basedOn w:val="TextocomentarioCar"/>
    <w:rsid w:val="008A1850"/>
    <w:rPr>
      <w:b/>
      <w:bCs/>
      <w:sz w:val="20"/>
      <w:szCs w:val="20"/>
    </w:rPr>
  </w:style>
  <w:style w:type="paragraph" w:styleId="Textodeglobo">
    <w:name w:val="Balloon Text"/>
    <w:basedOn w:val="Normal"/>
    <w:rsid w:val="008A185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rsid w:val="008A185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8A1850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rsid w:val="008A1850"/>
  </w:style>
  <w:style w:type="paragraph" w:styleId="Piedepgina">
    <w:name w:val="footer"/>
    <w:basedOn w:val="Normal"/>
    <w:uiPriority w:val="99"/>
    <w:rsid w:val="008A1850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uiPriority w:val="99"/>
    <w:rsid w:val="008A1850"/>
  </w:style>
  <w:style w:type="character" w:customStyle="1" w:styleId="Ttulo1Car">
    <w:name w:val="Título 1 Car"/>
    <w:basedOn w:val="Fuentedeprrafopredeter"/>
    <w:rsid w:val="008A185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rsid w:val="008A185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287B04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873D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8727AD-1EAB-4215-B113-9E5C944CD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831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SALVADOR ZOTANO SANCHEZ</cp:lastModifiedBy>
  <cp:revision>12</cp:revision>
  <cp:lastPrinted>2017-05-22T07:39:00Z</cp:lastPrinted>
  <dcterms:created xsi:type="dcterms:W3CDTF">2018-05-20T17:29:00Z</dcterms:created>
  <dcterms:modified xsi:type="dcterms:W3CDTF">2018-12-18T17:27:00Z</dcterms:modified>
</cp:coreProperties>
</file>