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181A"/>
          <w:sz w:val="40"/>
        </w:rPr>
        <w:t>创业板反弹概率 · 快速版</w:t>
      </w:r>
    </w:p>
    <w:p>
      <w:pPr>
        <w:spacing w:after="280"/>
      </w:pPr>
      <w:r>
        <w:rPr>
          <w:b w:val="0"/>
          <w:color w:val="6F6A61"/>
          <w:sz w:val="18"/>
        </w:rPr>
        <w:t>口径：20 个交易日内收盘反弹 ≥5%　|　基准日 2026-10-29 收盘 2,517.59　|　样本 3,983 交易日</w:t>
      </w:r>
    </w:p>
    <w:p>
      <w:pPr>
        <w:spacing w:after="120"/>
      </w:pPr>
      <w:r>
        <w:rPr>
          <w:b/>
          <w:color w:val="B4462F"/>
          <w:sz w:val="26"/>
        </w:rPr>
        <w:t>结论：概率约五成，但“见底”的证据不足</w:t>
      </w:r>
    </w:p>
    <w:p>
      <w:pPr>
        <w:spacing w:after="160"/>
      </w:pPr>
      <w:r>
        <w:rPr>
          <w:b w:val="0"/>
          <w:sz w:val="21"/>
        </w:rPr>
        <w:t>主口径 P(20 日内反弹 ≥5%) 收缩后约 49%，90% 可信区间 30.7%–67.6%；无条件基准率为 42.2%。20 日维度历史偏向给一次反弹，但拉到 60 日，四次历史类比里三次为负收益。短线的“会弹”与中期的“见底”是两个问题。</w:t>
      </w:r>
    </w:p>
    <w:p>
      <w:pPr>
        <w:spacing w:after="240"/>
      </w:pPr>
      <w:r>
        <w:rPr>
          <w:b w:val="0"/>
          <w:sz w:val="21"/>
        </w:rPr>
        <w:t>当前状态：距 2026-06-25 高点回撤 −42.4%（16 年第三深），已确认 5 个完整下跌周（累计 −20.42%），20 日跌幅 −25.5%（历史第 0.6 百分位），20 日年化波动率 37%（历史第 83 百分位）。</w:t>
      </w:r>
    </w:p>
    <w:p>
      <w:pPr>
        <w:spacing w:before="280" w:after="120"/>
      </w:pPr>
      <w:r>
        <w:rPr>
          <w:b/>
          <w:color w:val="17181A"/>
          <w:sz w:val="28"/>
        </w:rPr>
        <w:t>一、概率矩阵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3402"/>
          </w:tcPr>
          <w:p>
            <w:r/>
            <w:r>
              <w:rPr>
                <w:b/>
                <w:sz w:val="18"/>
              </w:rPr>
              <w:t>条件</w:t>
            </w:r>
          </w:p>
        </w:tc>
        <w:tc>
          <w:tcPr>
            <w:tcW w:type="dxa" w:w="624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8"/>
              </w:rPr>
              <w:t>原始命中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  <w:t>样本 n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收缩后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90%可信区间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8"/>
              </w:rPr>
              <w:t>相对基准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无条件基准率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3,963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42.2%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40.7–43.8%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回撤≤−40%（首次触及）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C1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75.0%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49.1%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30.7–67.6%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+6.9pp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连跌≥4周 且 60日≤−20%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C2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100.0%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51.8%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32.8–70.6%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+9.6pp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60日≤−25%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C3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60.0%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46.7%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28.9–64.8%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+4.4pp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连跌≥3周 且 60日≤−12%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C4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68.8%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55.9%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41.2–70.2%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+13.7pp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连跌≥5周 且 60日≤−25%</w:t>
            </w:r>
          </w:p>
        </w:tc>
        <w:tc>
          <w:tcPr>
            <w:tcW w:type="dxa" w:w="624"/>
          </w:tcPr>
          <w:p>
            <w:r/>
            <w:r>
              <w:rPr>
                <w:sz w:val="18"/>
              </w:rPr>
              <w:t>C5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无先例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240"/>
      </w:pPr>
      <w:r>
        <w:rPr>
          <w:b w:val="0"/>
          <w:color w:val="4A453F"/>
          <w:sz w:val="18"/>
        </w:rPr>
        <w:t>贝叶斯收缩：先验强度 n₀=15 个伪观测，先验均值取无条件基准率。收缩后所有条件收敛到 46.7%–55.9%，因为样本只有 3–16 个。C5（连跌≥5 周且 60 日≤−25%）历史上从未出现——即当前状态本身没有先例。</w:t>
      </w:r>
    </w:p>
    <w:p>
      <w:pPr>
        <w:spacing w:after="240"/>
      </w:pPr>
      <w:r>
        <w:rPr>
          <w:b w:val="0"/>
          <w:sz w:val="19"/>
        </w:rPr>
        <w:t>敏感性：P(20 日 ≥10%) 收缩后 31.6%（基准 20.0%）；P(60 日 ≥10%) 49.4%（基准 42.6%）。</w:t>
      </w:r>
    </w:p>
    <w:p>
      <w:pPr>
        <w:spacing w:before="280" w:after="120"/>
      </w:pPr>
      <w:r>
        <w:rPr>
          <w:b/>
          <w:color w:val="17181A"/>
          <w:sz w:val="28"/>
        </w:rPr>
        <w:t>二、同位置类比：回撤首次触及 −40% 之后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触及日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20日涨≥5%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20日最大涨幅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20日最大回撤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60日终点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120日终点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20日内破前低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2011-12-27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+0.3%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-14.1%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-5.9%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-0.1%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2015-07-07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+26.2%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+0.5%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-6.9%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+15.4%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2015-10-21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+19.6%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+3.6%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-7.2%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-1.5%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2024-02-02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+21.9%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+0.8%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+20.0%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+5.0%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否</w:t>
            </w:r>
          </w:p>
        </w:tc>
      </w:tr>
    </w:tbl>
    <w:p>
      <w:pPr>
        <w:spacing w:after="240"/>
      </w:pPr>
      <w:r>
        <w:rPr>
          <w:b w:val="0"/>
          <w:color w:val="4A453F"/>
          <w:sz w:val="18"/>
        </w:rPr>
        <w:t>四次里 3 次在 20 天内给到 +5% 以上；但 60 日终点 3 次为负。唯一失败的一次（2011-12-27）20 日内先跌 14.1% 并创新低。</w:t>
      </w:r>
    </w:p>
    <w:p>
      <w:pPr>
        <w:spacing w:before="280" w:after="120"/>
      </w:pPr>
      <w:r>
        <w:rPr>
          <w:b/>
          <w:color w:val="17181A"/>
          <w:sz w:val="28"/>
        </w:rPr>
        <w:t>三、形态同构性：九段熊市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熊市段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8"/>
              </w:rPr>
              <w:t>跌幅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历时(交易日)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速度(%/月)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8"/>
              </w:rPr>
              <w:t>年化波动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18"/>
              </w:rPr>
              <w:t>量能萎缩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2010-12-17 → 2011-06-22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-35.8%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123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-5.8%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24.8%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0.77x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2011-08-29 → 2012-01-18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-34.5%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94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-7.3%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36.2%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1.32x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2015-06-03 → 2015-07-07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-40.9%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-35.6%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62.6%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1.06x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2015-07-23 → 2015-09-15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-39.4%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-21.9%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69.2%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0.97x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2015-11-25 → 2016-02-29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-35.1%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-11.3%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51.2%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0.80x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2016-04-14 → 2018-10-18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-48.2%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612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-1.6%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22.5%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1.06x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2021-08-04 → 2022-04-26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-39.6%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174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-4.6%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26.1%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0.94x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2022-07-07 → 2024-02-02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-45.6%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386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-2.4%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20.4%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1.13x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2026-06-25 → 2026-10-29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-42.4%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84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-10.1%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43.1%</w:t>
            </w:r>
          </w:p>
        </w:tc>
        <w:tc>
          <w:tcPr>
            <w:tcW w:type="dxa" w:w="964"/>
          </w:tcPr>
          <w:p>
            <w:r/>
            <w:r>
              <w:rPr>
                <w:sz w:val="18"/>
              </w:rPr>
              <w:t>0.81x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进行中</w:t>
            </w:r>
          </w:p>
        </w:tc>
      </w:tr>
    </w:tbl>
    <w:p>
      <w:pPr>
        <w:spacing w:after="240"/>
      </w:pPr>
      <w:r>
        <w:rPr>
          <w:b w:val="0"/>
          <w:color w:val="4A453F"/>
          <w:sz w:val="18"/>
        </w:rPr>
        <w:t>当前段 −10.1%/月，快于任何一段慢熊（−1.6 至 −7.3%/月），慢于 2015 年 6–7 月的崩塌（−35.6%/月）。波动率 43.1% 仍处高位——底部通常伴随波动衰减，目前未见。缩量 0.81x 在历史上并不构成见底信号。</w:t>
      </w:r>
    </w:p>
    <w:p>
      <w:pPr>
        <w:spacing w:before="280" w:after="120"/>
      </w:pPr>
      <w:r>
        <w:rPr>
          <w:b/>
          <w:color w:val="17181A"/>
          <w:sz w:val="28"/>
        </w:rPr>
        <w:t>四、对“加仓博弈”的含义（历史分布，非操作建议）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6463"/>
          </w:tcPr>
          <w:p>
            <w:r/>
            <w:r>
              <w:rPr>
                <w:b/>
                <w:sz w:val="18"/>
              </w:rPr>
              <w:t>历史告诉你的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20 日内反弹 ≥5%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约 49%（区间 31–68%），略好于抛硬币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20 日内先跌 5% 以上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4 次类比里 1 次先跌 14.1%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60 日终点为正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4 次里 1 次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波动率位置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43% 年化，历史 83 分位，未见衰减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无先例状态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C5 条件历史从未出现，任何“历史类似情况都如何”在此无样本基础</w:t>
            </w:r>
          </w:p>
        </w:tc>
      </w:tr>
    </w:tbl>
    <w:p>
      <w:pPr>
        <w:spacing w:after="240"/>
      </w:pPr>
      <w:r>
        <w:rPr>
          <w:b w:val="0"/>
          <w:sz w:val="19"/>
        </w:rPr>
        <w:t>历史赔率结构是“五成概率赚 5%–20%，四分之一概率先亏 14%”，对分批建仓友好，对一次性打满不友好。另注意：反弹概率 ≠ 上涨概率。20 日终点中位数在历史样本里只有 +0.23%，能弹到 +5% 与能拿到这 5% 是两件事。</w:t>
      </w:r>
    </w:p>
    <w:p>
      <w:pPr>
        <w:spacing w:before="280" w:after="120"/>
      </w:pPr>
      <w:r>
        <w:rPr>
          <w:b/>
          <w:color w:val="17181A"/>
          <w:sz w:val="28"/>
        </w:rPr>
        <w:t>五、失效条件</w:t>
      </w:r>
    </w:p>
    <w:p>
      <w:pPr>
        <w:pStyle w:val="ListBullet"/>
        <w:spacing w:after="60"/>
      </w:pPr>
      <w:r>
        <w:t>流动性或信用事件驱动（均值回归统计整体失效，历史类比会系统性低估跌幅）；</w:t>
      </w:r>
    </w:p>
    <w:p>
      <w:pPr>
        <w:pStyle w:val="ListBullet"/>
        <w:spacing w:after="60"/>
      </w:pPr>
      <w:r>
        <w:t>交易制度变化（涨跌幅、T+0、减持或退市规则）；</w:t>
      </w:r>
    </w:p>
    <w:p>
      <w:pPr>
        <w:pStyle w:val="ListBullet"/>
        <w:spacing w:after="60"/>
      </w:pPr>
      <w:r>
        <w:t>指数编制规则大幅调整；</w:t>
      </w:r>
    </w:p>
    <w:p>
      <w:pPr>
        <w:pStyle w:val="ListBullet"/>
        <w:spacing w:after="60"/>
      </w:pPr>
      <w:r>
        <w:t>单日跳空 &gt;7%（样本内不存在，模型外推无效）。</w:t>
      </w:r>
    </w:p>
    <w:p>
      <w:pPr>
        <w:spacing w:before="280" w:after="120"/>
      </w:pPr>
      <w:r>
        <w:rPr>
          <w:b/>
          <w:color w:val="17181A"/>
          <w:sz w:val="28"/>
        </w:rPr>
        <w:t>六、局限与声明</w:t>
      </w:r>
    </w:p>
    <w:p>
      <w:pPr>
        <w:spacing w:after="120"/>
      </w:pPr>
      <w:r>
        <w:rPr>
          <w:b w:val="0"/>
          <w:color w:val="4A453F"/>
          <w:sz w:val="18"/>
        </w:rPr>
        <w:t>样本量是硬伤：C1 仅 4 个样本，C2 仅 3 个。5 条件 × 4 网格 = 20 个检验，纯随机也会出现约 1 个“显著”，因此未单独挑出任何显著结果。同构性只做价格形态，不含宏观与估值分位（按约定留给完整版）。不含分红、费用与冲击成本。</w:t>
      </w:r>
    </w:p>
    <w:p>
      <w:pPr>
        <w:spacing w:after="120"/>
      </w:pPr>
      <w:r>
        <w:rPr>
          <w:b w:val="0"/>
          <w:color w:val="6F6A61"/>
          <w:sz w:val="18"/>
        </w:rPr>
        <w:t>数据：创业板指 399006 日收盘，2010-06-02 至 2026-10-29，3,983 个交易日；腾讯 ifzq 取数，新浪在 1,023 个重叠交易日逐日比对，差异 &gt;0.05 元的为 0 天。</w:t>
      </w:r>
    </w:p>
    <w:p>
      <w:pPr>
        <w:spacing w:after="120"/>
      </w:pPr>
      <w:r>
        <w:rPr>
          <w:b/>
          <w:color w:val="B4462F"/>
          <w:sz w:val="18"/>
        </w:rPr>
        <w:t>声明：本文为历史统计研究，不构成投资建议，不预示未来收益。历史基准率不保证重现，极端行情下统计规律可能整体失效。据此操作，风险自担。</w:t>
      </w:r>
    </w:p>
    <w:p>
      <w:pPr>
        <w:spacing w:after="0"/>
      </w:pPr>
      <w:r>
        <w:rPr>
          <w:b w:val="0"/>
          <w:color w:val="6F6A61"/>
          <w:sz w:val="17"/>
        </w:rPr>
        <w:t>完整论证、图表与可复现脚本见 HTML 版《创业板反弹概率_快速版_2026-10.html》。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