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70D5C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Кировское областное государственное профессиональное</w:t>
      </w:r>
    </w:p>
    <w:p w14:paraId="0AA85DFD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образовательное бюджетное учреждение </w:t>
      </w:r>
    </w:p>
    <w:p w14:paraId="782A6509">
      <w:pP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«Слободской колледж педагогики и социальных отношений»</w:t>
      </w:r>
    </w:p>
    <w:p w14:paraId="0D72F7F8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0E9F9593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1B39EFE3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18B495E2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62E6BE57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4920F522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1068F7EA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25FB8854">
      <w:pPr>
        <w:spacing w:after="0" w:line="240" w:lineRule="auto"/>
        <w:jc w:val="center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3DA9BA75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  <w:t>ДНЕВНИК</w:t>
      </w:r>
    </w:p>
    <w:p w14:paraId="33630055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32"/>
          <w:lang w:eastAsia="ru-RU"/>
        </w:rPr>
        <w:t>по производственной практике</w:t>
      </w:r>
    </w:p>
    <w:p w14:paraId="781090F2"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</w:p>
    <w:p w14:paraId="2E958C7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ПМ.02 «Осуществление</w:t>
      </w:r>
      <w:r>
        <w:rPr>
          <w:rFonts w:ascii="Times New Roman" w:hAnsi="Times New Roman" w:cs="Times New Roman"/>
          <w:b/>
          <w:spacing w:val="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интеграции</w:t>
      </w:r>
      <w:r>
        <w:rPr>
          <w:rFonts w:ascii="Times New Roman" w:hAnsi="Times New Roman" w:cs="Times New Roman"/>
          <w:b/>
          <w:spacing w:val="-8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программных</w:t>
      </w:r>
      <w:r>
        <w:rPr>
          <w:rFonts w:ascii="Times New Roman" w:hAnsi="Times New Roman" w:cs="Times New Roman"/>
          <w:b/>
          <w:spacing w:val="-57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модулей»</w:t>
      </w:r>
    </w:p>
    <w:p w14:paraId="3A3AE1D6">
      <w:pPr>
        <w:spacing w:after="0" w:line="240" w:lineRule="auto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7FF6AD73">
      <w:pPr>
        <w:spacing w:after="0" w:line="240" w:lineRule="auto"/>
        <w:jc w:val="right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034E8EAD">
      <w:pPr>
        <w:spacing w:after="0" w:line="240" w:lineRule="auto"/>
        <w:jc w:val="right"/>
        <w:rPr>
          <w:rFonts w:ascii="Times New Roman" w:hAnsi="Times New Roman" w:eastAsia="Times New Roman" w:cs="Times New Roman"/>
          <w:sz w:val="19"/>
          <w:szCs w:val="19"/>
          <w:lang w:eastAsia="ru-RU"/>
        </w:rPr>
      </w:pPr>
    </w:p>
    <w:p w14:paraId="35690565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1900CDD5">
      <w:pPr>
        <w:spacing w:after="0" w:line="240" w:lineRule="auto"/>
        <w:ind w:left="482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Студента очного отделения</w:t>
      </w:r>
    </w:p>
    <w:p w14:paraId="6C385D9D">
      <w:pPr>
        <w:spacing w:after="0" w:line="240" w:lineRule="auto"/>
        <w:ind w:left="482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Мищенко Виктор Сергеевич</w:t>
      </w:r>
    </w:p>
    <w:p w14:paraId="48C4FC38">
      <w:pPr>
        <w:spacing w:after="0" w:line="240" w:lineRule="auto"/>
        <w:rPr>
          <w:rFonts w:ascii="Times New Roman" w:hAnsi="Times New Roman" w:eastAsia="Times New Roman" w:cs="Times New Roman"/>
          <w:sz w:val="28"/>
          <w:szCs w:val="28"/>
          <w:vertAlign w:val="superscript"/>
          <w:lang w:eastAsia="ru-RU"/>
        </w:rPr>
      </w:pPr>
    </w:p>
    <w:p w14:paraId="480CC011">
      <w:pPr>
        <w:spacing w:after="0" w:line="240" w:lineRule="auto"/>
        <w:ind w:left="4820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Группа: </w: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23П-2</w:t>
      </w:r>
    </w:p>
    <w:p w14:paraId="2C313035">
      <w:pPr>
        <w:spacing w:after="0" w:line="240" w:lineRule="auto"/>
        <w:ind w:left="482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76132789">
      <w:pPr>
        <w:spacing w:after="0" w:line="240" w:lineRule="auto"/>
        <w:ind w:left="482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Специальность 09.02.07 </w:t>
      </w:r>
    </w:p>
    <w:p w14:paraId="57E09B25">
      <w:pPr>
        <w:spacing w:after="0" w:line="240" w:lineRule="auto"/>
        <w:ind w:left="482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Информационные системы и программирование </w:t>
      </w:r>
    </w:p>
    <w:p w14:paraId="5EACB554">
      <w:pPr>
        <w:spacing w:after="0" w:line="240" w:lineRule="auto"/>
        <w:ind w:left="482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1E190BE0">
      <w:pPr>
        <w:spacing w:after="0" w:line="240" w:lineRule="auto"/>
        <w:ind w:left="4820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Организация: </w: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КОГПОБУ «Слободской колледж педагогики и социальных отношений»</w:t>
      </w:r>
    </w:p>
    <w:p w14:paraId="47CDD281">
      <w:pPr>
        <w:spacing w:after="0" w:line="240" w:lineRule="auto"/>
        <w:ind w:left="4820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</w:p>
    <w:p w14:paraId="31A83CA5">
      <w:pPr>
        <w:spacing w:after="0" w:line="240" w:lineRule="auto"/>
        <w:ind w:left="4820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Адрес организации:  </w:t>
      </w: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Кировская область, г. Слободской, ул. Советская, д. 86</w:t>
      </w:r>
    </w:p>
    <w:p w14:paraId="3819000C">
      <w:pPr>
        <w:spacing w:after="0" w:line="240" w:lineRule="auto"/>
        <w:ind w:left="4820"/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</w:pPr>
    </w:p>
    <w:p w14:paraId="3098A43D">
      <w:pPr>
        <w:spacing w:after="0" w:line="240" w:lineRule="auto"/>
        <w:ind w:left="4820"/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Руководитель практики от</w:t>
      </w:r>
      <w:r>
        <w:rPr>
          <w:rFonts w:hint="default" w:ascii="Times New Roman" w:hAnsi="Times New Roman" w:eastAsia="Times New Roman" w:cs="Times New Roman"/>
          <w:sz w:val="28"/>
          <w:szCs w:val="28"/>
          <w:lang w:val="en-US" w:eastAsia="ru-RU"/>
        </w:rPr>
        <w:t xml:space="preserve"> организации:</w:t>
      </w:r>
    </w:p>
    <w:p w14:paraId="4C9D7B2C">
      <w:pPr>
        <w:spacing w:after="0" w:line="240" w:lineRule="auto"/>
        <w:ind w:left="482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Шихов Констан</w:t>
      </w:r>
      <w:bookmarkStart w:id="0" w:name="_GoBack"/>
      <w:bookmarkEnd w:id="0"/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тин Сергеевич</w:t>
      </w:r>
    </w:p>
    <w:p w14:paraId="6AE176E0">
      <w:pPr>
        <w:spacing w:after="0" w:line="240" w:lineRule="auto"/>
        <w:ind w:left="482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669A617D">
      <w:pPr>
        <w:spacing w:after="0" w:line="240" w:lineRule="auto"/>
        <w:ind w:left="482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Руководитель практики от колледжа: </w:t>
      </w:r>
    </w:p>
    <w:p w14:paraId="7EFC9C7F">
      <w:pPr>
        <w:spacing w:after="0" w:line="240" w:lineRule="auto"/>
        <w:ind w:left="482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hint="default" w:ascii="Times New Roman" w:hAnsi="Times New Roman" w:eastAsia="Times New Roman" w:cs="Times New Roman"/>
          <w:sz w:val="28"/>
          <w:szCs w:val="28"/>
          <w:lang w:eastAsia="ru-RU"/>
        </w:rPr>
        <w:t>Калинин Арсений Олегович</w:t>
      </w:r>
    </w:p>
    <w:p w14:paraId="64A99BFC">
      <w:pPr>
        <w:spacing w:after="0" w:line="240" w:lineRule="auto"/>
        <w:ind w:left="4820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112F8882">
      <w:pPr>
        <w:spacing w:after="0" w:line="240" w:lineRule="auto"/>
        <w:rPr>
          <w:rFonts w:hint="default" w:ascii="Times New Roman" w:hAnsi="Times New Roman" w:eastAsia="Times New Roman" w:cs="Times New Roman"/>
          <w:sz w:val="28"/>
          <w:szCs w:val="28"/>
          <w:lang w:val="ru-RU" w:eastAsia="ru-RU"/>
        </w:rPr>
      </w:pPr>
    </w:p>
    <w:p w14:paraId="67948D42">
      <w:pPr>
        <w:spacing w:after="0" w:line="240" w:lineRule="auto"/>
        <w:ind w:left="4962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</w:p>
    <w:p w14:paraId="48FC195B">
      <w:pPr>
        <w:spacing w:after="0" w:line="24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>202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>6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уч. г</w:t>
      </w:r>
      <w:r>
        <w:rPr>
          <w:rFonts w:ascii="Times New Roman" w:hAnsi="Times New Roman" w:eastAsia="Times New Roman" w:cs="Times New Roman"/>
          <w:lang w:eastAsia="ru-RU"/>
        </w:rPr>
        <w:br w:type="page"/>
      </w:r>
    </w:p>
    <w:tbl>
      <w:tblPr>
        <w:tblStyle w:val="3"/>
        <w:tblW w:w="10787" w:type="dxa"/>
        <w:tblInd w:w="-80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11"/>
        <w:gridCol w:w="5863"/>
        <w:gridCol w:w="1827"/>
        <w:gridCol w:w="1786"/>
      </w:tblGrid>
      <w:tr w14:paraId="793807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11" w:type="dxa"/>
            <w:shd w:val="clear" w:color="auto" w:fill="auto"/>
            <w:noWrap/>
            <w:vAlign w:val="center"/>
          </w:tcPr>
          <w:p w14:paraId="4123D0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Дата</w:t>
            </w:r>
          </w:p>
        </w:tc>
        <w:tc>
          <w:tcPr>
            <w:tcW w:w="5863" w:type="dxa"/>
            <w:shd w:val="clear" w:color="auto" w:fill="auto"/>
            <w:noWrap/>
            <w:vAlign w:val="center"/>
          </w:tcPr>
          <w:p w14:paraId="19BEB9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Содержание работы</w:t>
            </w:r>
          </w:p>
        </w:tc>
        <w:tc>
          <w:tcPr>
            <w:tcW w:w="1827" w:type="dxa"/>
            <w:shd w:val="clear" w:color="auto" w:fill="auto"/>
            <w:noWrap/>
            <w:vAlign w:val="center"/>
          </w:tcPr>
          <w:p w14:paraId="0176F27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Количество часов</w:t>
            </w:r>
          </w:p>
        </w:tc>
        <w:tc>
          <w:tcPr>
            <w:tcW w:w="1786" w:type="dxa"/>
            <w:shd w:val="clear" w:color="auto" w:fill="auto"/>
            <w:noWrap/>
            <w:vAlign w:val="center"/>
          </w:tcPr>
          <w:p w14:paraId="5A1AAB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b/>
                <w:bCs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Отметка о выполнении</w:t>
            </w:r>
          </w:p>
        </w:tc>
      </w:tr>
      <w:tr w14:paraId="5123A1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11" w:type="dxa"/>
            <w:shd w:val="clear" w:color="auto" w:fill="auto"/>
            <w:noWrap/>
            <w:vAlign w:val="center"/>
          </w:tcPr>
          <w:p w14:paraId="3DA6C0A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17.06.2026</w:t>
            </w:r>
          </w:p>
        </w:tc>
        <w:tc>
          <w:tcPr>
            <w:tcW w:w="5863" w:type="dxa"/>
            <w:shd w:val="clear" w:color="auto" w:fill="auto"/>
            <w:noWrap/>
            <w:vAlign w:val="center"/>
          </w:tcPr>
          <w:p w14:paraId="4FE454E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Инструктаж по ТБ. Анализ задания. Изучение предметной области.</w:t>
            </w:r>
          </w:p>
        </w:tc>
        <w:tc>
          <w:tcPr>
            <w:tcW w:w="1827" w:type="dxa"/>
            <w:shd w:val="clear" w:color="auto" w:fill="auto"/>
            <w:noWrap/>
            <w:vAlign w:val="center"/>
          </w:tcPr>
          <w:p w14:paraId="77A0C8AD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786" w:type="dxa"/>
            <w:shd w:val="clear" w:color="auto" w:fill="auto"/>
            <w:noWrap/>
            <w:vAlign w:val="center"/>
          </w:tcPr>
          <w:p w14:paraId="2F98E17B">
            <w:pP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D0787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11" w:type="dxa"/>
            <w:shd w:val="clear" w:color="auto" w:fill="auto"/>
            <w:noWrap/>
            <w:vAlign w:val="center"/>
          </w:tcPr>
          <w:p w14:paraId="12416655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17.06.2026</w:t>
            </w:r>
          </w:p>
        </w:tc>
        <w:tc>
          <w:tcPr>
            <w:tcW w:w="5863" w:type="dxa"/>
            <w:shd w:val="clear" w:color="auto" w:fill="auto"/>
            <w:noWrap/>
            <w:vAlign w:val="center"/>
          </w:tcPr>
          <w:p w14:paraId="418259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Анализ документации. Выделение объектов и атрибутов для БД.</w:t>
            </w:r>
          </w:p>
        </w:tc>
        <w:tc>
          <w:tcPr>
            <w:tcW w:w="1827" w:type="dxa"/>
            <w:shd w:val="clear" w:color="auto" w:fill="auto"/>
            <w:noWrap/>
            <w:vAlign w:val="center"/>
          </w:tcPr>
          <w:p w14:paraId="713918A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786" w:type="dxa"/>
            <w:shd w:val="clear" w:color="auto" w:fill="auto"/>
            <w:noWrap/>
            <w:vAlign w:val="center"/>
          </w:tcPr>
          <w:p w14:paraId="0C282784">
            <w:pP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7B2872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11" w:type="dxa"/>
            <w:shd w:val="clear" w:color="auto" w:fill="auto"/>
            <w:noWrap/>
            <w:vAlign w:val="center"/>
          </w:tcPr>
          <w:p w14:paraId="2C2A366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18.06.2026</w:t>
            </w:r>
          </w:p>
        </w:tc>
        <w:tc>
          <w:tcPr>
            <w:tcW w:w="5863" w:type="dxa"/>
            <w:shd w:val="clear" w:color="auto" w:fill="auto"/>
            <w:noWrap/>
            <w:vAlign w:val="center"/>
          </w:tcPr>
          <w:p w14:paraId="15D87DA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Проектирование БД. Создание ER-диаграммы. Нормализация до 3НФ.</w:t>
            </w:r>
          </w:p>
        </w:tc>
        <w:tc>
          <w:tcPr>
            <w:tcW w:w="1827" w:type="dxa"/>
            <w:shd w:val="clear" w:color="auto" w:fill="auto"/>
            <w:noWrap/>
            <w:vAlign w:val="center"/>
          </w:tcPr>
          <w:p w14:paraId="7C02847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786" w:type="dxa"/>
            <w:shd w:val="clear" w:color="auto" w:fill="auto"/>
            <w:noWrap/>
            <w:vAlign w:val="center"/>
          </w:tcPr>
          <w:p w14:paraId="20822A4D">
            <w:pP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785F1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11" w:type="dxa"/>
            <w:shd w:val="clear" w:color="auto" w:fill="auto"/>
            <w:noWrap/>
            <w:vAlign w:val="center"/>
          </w:tcPr>
          <w:p w14:paraId="68DCE73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18.06.2026</w:t>
            </w:r>
          </w:p>
        </w:tc>
        <w:tc>
          <w:tcPr>
            <w:tcW w:w="5863" w:type="dxa"/>
            <w:shd w:val="clear" w:color="auto" w:fill="auto"/>
            <w:noWrap/>
            <w:vAlign w:val="center"/>
          </w:tcPr>
          <w:p w14:paraId="640B0B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Разработка SQL-скрипта. Создание таблиц и связей.</w:t>
            </w:r>
          </w:p>
        </w:tc>
        <w:tc>
          <w:tcPr>
            <w:tcW w:w="1827" w:type="dxa"/>
            <w:shd w:val="clear" w:color="auto" w:fill="auto"/>
            <w:noWrap/>
            <w:vAlign w:val="center"/>
          </w:tcPr>
          <w:p w14:paraId="1CF5F3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786" w:type="dxa"/>
            <w:shd w:val="clear" w:color="auto" w:fill="auto"/>
            <w:noWrap/>
            <w:vAlign w:val="center"/>
          </w:tcPr>
          <w:p w14:paraId="4978BF1C">
            <w:pP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759B35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11" w:type="dxa"/>
            <w:shd w:val="clear" w:color="auto" w:fill="auto"/>
            <w:noWrap/>
            <w:vAlign w:val="center"/>
          </w:tcPr>
          <w:p w14:paraId="2ED06D6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19.06.2026</w:t>
            </w:r>
          </w:p>
        </w:tc>
        <w:tc>
          <w:tcPr>
            <w:tcW w:w="5863" w:type="dxa"/>
            <w:shd w:val="clear" w:color="auto" w:fill="auto"/>
            <w:noWrap/>
            <w:vAlign w:val="center"/>
          </w:tcPr>
          <w:p w14:paraId="4A7E9E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Разработка модуля доступа к данным (DAL). Класс DatabaseHelper.</w:t>
            </w:r>
          </w:p>
        </w:tc>
        <w:tc>
          <w:tcPr>
            <w:tcW w:w="1827" w:type="dxa"/>
            <w:shd w:val="clear" w:color="auto" w:fill="auto"/>
            <w:noWrap/>
            <w:vAlign w:val="center"/>
          </w:tcPr>
          <w:p w14:paraId="5875054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786" w:type="dxa"/>
            <w:shd w:val="clear" w:color="auto" w:fill="auto"/>
            <w:noWrap/>
            <w:vAlign w:val="center"/>
          </w:tcPr>
          <w:p w14:paraId="00ABC652">
            <w:pP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E68B8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11" w:type="dxa"/>
            <w:shd w:val="clear" w:color="auto" w:fill="auto"/>
            <w:noWrap/>
            <w:vAlign w:val="center"/>
          </w:tcPr>
          <w:p w14:paraId="7096C38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19.06.2026</w:t>
            </w:r>
          </w:p>
        </w:tc>
        <w:tc>
          <w:tcPr>
            <w:tcW w:w="5863" w:type="dxa"/>
            <w:shd w:val="clear" w:color="auto" w:fill="auto"/>
            <w:noWrap/>
            <w:vAlign w:val="center"/>
          </w:tcPr>
          <w:p w14:paraId="2687DB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Интеграция модуля авторизации. Разработка LoginWindow.</w:t>
            </w:r>
          </w:p>
        </w:tc>
        <w:tc>
          <w:tcPr>
            <w:tcW w:w="1827" w:type="dxa"/>
            <w:shd w:val="clear" w:color="auto" w:fill="auto"/>
            <w:noWrap/>
            <w:vAlign w:val="center"/>
          </w:tcPr>
          <w:p w14:paraId="6B42F6B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786" w:type="dxa"/>
            <w:shd w:val="clear" w:color="auto" w:fill="auto"/>
            <w:noWrap/>
            <w:vAlign w:val="center"/>
          </w:tcPr>
          <w:p w14:paraId="109356E9">
            <w:pP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37FBAC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11" w:type="dxa"/>
            <w:shd w:val="clear" w:color="auto" w:fill="auto"/>
            <w:noWrap/>
            <w:vAlign w:val="center"/>
          </w:tcPr>
          <w:p w14:paraId="3EA5897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22.06.2026</w:t>
            </w:r>
          </w:p>
        </w:tc>
        <w:tc>
          <w:tcPr>
            <w:tcW w:w="5863" w:type="dxa"/>
            <w:shd w:val="clear" w:color="auto" w:fill="auto"/>
            <w:noWrap/>
            <w:vAlign w:val="center"/>
          </w:tcPr>
          <w:p w14:paraId="692AF22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Интеграция модуля интерфейса. Страницы NewsPage, CabinetsPage, ProfilePage.</w:t>
            </w:r>
          </w:p>
        </w:tc>
        <w:tc>
          <w:tcPr>
            <w:tcW w:w="1827" w:type="dxa"/>
            <w:shd w:val="clear" w:color="auto" w:fill="auto"/>
            <w:noWrap/>
            <w:vAlign w:val="center"/>
          </w:tcPr>
          <w:p w14:paraId="1F7C26C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786" w:type="dxa"/>
            <w:shd w:val="clear" w:color="auto" w:fill="auto"/>
            <w:noWrap/>
            <w:vAlign w:val="center"/>
          </w:tcPr>
          <w:p w14:paraId="51376043">
            <w:pP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B6D9B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11" w:type="dxa"/>
            <w:shd w:val="clear" w:color="auto" w:fill="auto"/>
            <w:noWrap/>
            <w:vAlign w:val="center"/>
          </w:tcPr>
          <w:p w14:paraId="3791D46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22.06.2026</w:t>
            </w:r>
          </w:p>
        </w:tc>
        <w:tc>
          <w:tcPr>
            <w:tcW w:w="5863" w:type="dxa"/>
            <w:shd w:val="clear" w:color="auto" w:fill="auto"/>
            <w:noWrap/>
            <w:vAlign w:val="center"/>
          </w:tcPr>
          <w:p w14:paraId="4D626F9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Интеграция модуля детального просмотра. CabinetDetailWindow, ComputerDetailsWindow.</w:t>
            </w:r>
          </w:p>
        </w:tc>
        <w:tc>
          <w:tcPr>
            <w:tcW w:w="1827" w:type="dxa"/>
            <w:shd w:val="clear" w:color="auto" w:fill="auto"/>
            <w:noWrap/>
            <w:vAlign w:val="center"/>
          </w:tcPr>
          <w:p w14:paraId="6167D40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786" w:type="dxa"/>
            <w:shd w:val="clear" w:color="auto" w:fill="auto"/>
            <w:noWrap/>
            <w:vAlign w:val="center"/>
          </w:tcPr>
          <w:p w14:paraId="572202BB">
            <w:pP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1AF6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11" w:type="dxa"/>
            <w:shd w:val="clear" w:color="auto" w:fill="auto"/>
            <w:noWrap/>
            <w:vAlign w:val="center"/>
          </w:tcPr>
          <w:p w14:paraId="1BF5B2D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23.06.2026</w:t>
            </w:r>
          </w:p>
        </w:tc>
        <w:tc>
          <w:tcPr>
            <w:tcW w:w="5863" w:type="dxa"/>
            <w:shd w:val="clear" w:color="auto" w:fill="auto"/>
            <w:noWrap/>
            <w:vAlign w:val="center"/>
          </w:tcPr>
          <w:p w14:paraId="0EA2458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Реализация изменения статуса. Интеграция с уведомлениями.</w:t>
            </w:r>
          </w:p>
        </w:tc>
        <w:tc>
          <w:tcPr>
            <w:tcW w:w="1827" w:type="dxa"/>
            <w:shd w:val="clear" w:color="auto" w:fill="auto"/>
            <w:noWrap/>
            <w:vAlign w:val="center"/>
          </w:tcPr>
          <w:p w14:paraId="45E9CAAE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786" w:type="dxa"/>
            <w:shd w:val="clear" w:color="auto" w:fill="auto"/>
            <w:noWrap/>
            <w:vAlign w:val="center"/>
          </w:tcPr>
          <w:p w14:paraId="24B2C23D">
            <w:pP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0ADA2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11" w:type="dxa"/>
            <w:shd w:val="clear" w:color="auto" w:fill="auto"/>
            <w:noWrap/>
            <w:vAlign w:val="center"/>
          </w:tcPr>
          <w:p w14:paraId="3878528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23.06.2026</w:t>
            </w:r>
          </w:p>
        </w:tc>
        <w:tc>
          <w:tcPr>
            <w:tcW w:w="5863" w:type="dxa"/>
            <w:shd w:val="clear" w:color="auto" w:fill="auto"/>
            <w:noWrap/>
            <w:vAlign w:val="center"/>
          </w:tcPr>
          <w:p w14:paraId="0B74D6F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Отладка модулей в Visual Studio 2026 Community.</w:t>
            </w:r>
          </w:p>
        </w:tc>
        <w:tc>
          <w:tcPr>
            <w:tcW w:w="1827" w:type="dxa"/>
            <w:shd w:val="clear" w:color="auto" w:fill="auto"/>
            <w:noWrap/>
            <w:vAlign w:val="center"/>
          </w:tcPr>
          <w:p w14:paraId="4B6B813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786" w:type="dxa"/>
            <w:shd w:val="clear" w:color="auto" w:fill="auto"/>
            <w:noWrap/>
            <w:vAlign w:val="center"/>
          </w:tcPr>
          <w:p w14:paraId="19AD3722">
            <w:pP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0EC2E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11" w:type="dxa"/>
            <w:shd w:val="clear" w:color="auto" w:fill="auto"/>
            <w:noWrap/>
            <w:vAlign w:val="center"/>
          </w:tcPr>
          <w:p w14:paraId="188C0ACF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24.06.2026</w:t>
            </w:r>
          </w:p>
        </w:tc>
        <w:tc>
          <w:tcPr>
            <w:tcW w:w="5863" w:type="dxa"/>
            <w:shd w:val="clear" w:color="auto" w:fill="auto"/>
            <w:noWrap/>
            <w:vAlign w:val="center"/>
          </w:tcPr>
          <w:p w14:paraId="71B3F2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Разработка тестовых наборов. Тестирование методом «чёрного ящика».</w:t>
            </w:r>
          </w:p>
        </w:tc>
        <w:tc>
          <w:tcPr>
            <w:tcW w:w="1827" w:type="dxa"/>
            <w:shd w:val="clear" w:color="auto" w:fill="auto"/>
            <w:noWrap/>
            <w:vAlign w:val="center"/>
          </w:tcPr>
          <w:p w14:paraId="0B0F8921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786" w:type="dxa"/>
            <w:shd w:val="clear" w:color="auto" w:fill="auto"/>
            <w:noWrap/>
            <w:vAlign w:val="center"/>
          </w:tcPr>
          <w:p w14:paraId="3ED5B5AE">
            <w:pP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2555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11" w:type="dxa"/>
            <w:shd w:val="clear" w:color="auto" w:fill="auto"/>
            <w:noWrap/>
            <w:vAlign w:val="center"/>
          </w:tcPr>
          <w:p w14:paraId="35213308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24.06.2026</w:t>
            </w:r>
          </w:p>
        </w:tc>
        <w:tc>
          <w:tcPr>
            <w:tcW w:w="5863" w:type="dxa"/>
            <w:shd w:val="clear" w:color="auto" w:fill="auto"/>
            <w:noWrap/>
            <w:vAlign w:val="center"/>
          </w:tcPr>
          <w:p w14:paraId="513B502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Инспектирование кода. Рефакторинг структуры проекта.</w:t>
            </w:r>
          </w:p>
        </w:tc>
        <w:tc>
          <w:tcPr>
            <w:tcW w:w="1827" w:type="dxa"/>
            <w:shd w:val="clear" w:color="auto" w:fill="auto"/>
            <w:noWrap/>
            <w:vAlign w:val="center"/>
          </w:tcPr>
          <w:p w14:paraId="12BA6E7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786" w:type="dxa"/>
            <w:shd w:val="clear" w:color="auto" w:fill="auto"/>
            <w:noWrap/>
            <w:vAlign w:val="center"/>
          </w:tcPr>
          <w:p w14:paraId="77413F79">
            <w:pP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4719F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11" w:type="dxa"/>
            <w:shd w:val="clear" w:color="auto" w:fill="auto"/>
            <w:noWrap/>
            <w:vAlign w:val="center"/>
          </w:tcPr>
          <w:p w14:paraId="7DD1753A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25.06.2026</w:t>
            </w:r>
          </w:p>
        </w:tc>
        <w:tc>
          <w:tcPr>
            <w:tcW w:w="5863" w:type="dxa"/>
            <w:shd w:val="clear" w:color="auto" w:fill="auto"/>
            <w:noWrap/>
            <w:vAlign w:val="center"/>
          </w:tcPr>
          <w:p w14:paraId="270EC2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Доработка интерфейса. Горизонтальное меню, кнопка добавления новостей.</w:t>
            </w:r>
          </w:p>
        </w:tc>
        <w:tc>
          <w:tcPr>
            <w:tcW w:w="1827" w:type="dxa"/>
            <w:shd w:val="clear" w:color="auto" w:fill="auto"/>
            <w:noWrap/>
            <w:vAlign w:val="center"/>
          </w:tcPr>
          <w:p w14:paraId="5277E336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786" w:type="dxa"/>
            <w:shd w:val="clear" w:color="auto" w:fill="auto"/>
            <w:noWrap/>
            <w:vAlign w:val="center"/>
          </w:tcPr>
          <w:p w14:paraId="23ECCB68">
            <w:pP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3AA31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11" w:type="dxa"/>
            <w:shd w:val="clear" w:color="auto" w:fill="auto"/>
            <w:noWrap/>
            <w:vAlign w:val="center"/>
          </w:tcPr>
          <w:p w14:paraId="6446AD90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25.06.2026</w:t>
            </w:r>
          </w:p>
        </w:tc>
        <w:tc>
          <w:tcPr>
            <w:tcW w:w="5863" w:type="dxa"/>
            <w:shd w:val="clear" w:color="auto" w:fill="auto"/>
            <w:noWrap/>
            <w:vAlign w:val="center"/>
          </w:tcPr>
          <w:p w14:paraId="13A519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Улучшение личного кабинета. Статистика, уведомления, сотрудники.</w:t>
            </w:r>
          </w:p>
        </w:tc>
        <w:tc>
          <w:tcPr>
            <w:tcW w:w="1827" w:type="dxa"/>
            <w:shd w:val="clear" w:color="auto" w:fill="auto"/>
            <w:noWrap/>
            <w:vAlign w:val="center"/>
          </w:tcPr>
          <w:p w14:paraId="7F5793B3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786" w:type="dxa"/>
            <w:shd w:val="clear" w:color="auto" w:fill="auto"/>
            <w:noWrap/>
            <w:vAlign w:val="center"/>
          </w:tcPr>
          <w:p w14:paraId="55EB12AF">
            <w:pP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25159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11" w:type="dxa"/>
            <w:shd w:val="clear" w:color="auto" w:fill="auto"/>
            <w:noWrap/>
            <w:vAlign w:val="center"/>
          </w:tcPr>
          <w:p w14:paraId="5AC3DF8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26.06.2026</w:t>
            </w:r>
          </w:p>
        </w:tc>
        <w:tc>
          <w:tcPr>
            <w:tcW w:w="5863" w:type="dxa"/>
            <w:shd w:val="clear" w:color="auto" w:fill="auto"/>
            <w:noWrap/>
            <w:vAlign w:val="center"/>
          </w:tcPr>
          <w:p w14:paraId="56FAE7F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Интеграция с API публичного IP. Метод GetPublicIPAddressAsync.</w:t>
            </w:r>
          </w:p>
        </w:tc>
        <w:tc>
          <w:tcPr>
            <w:tcW w:w="1827" w:type="dxa"/>
            <w:shd w:val="clear" w:color="auto" w:fill="auto"/>
            <w:noWrap/>
            <w:vAlign w:val="center"/>
          </w:tcPr>
          <w:p w14:paraId="72278EC7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786" w:type="dxa"/>
            <w:shd w:val="clear" w:color="auto" w:fill="auto"/>
            <w:noWrap/>
            <w:vAlign w:val="center"/>
          </w:tcPr>
          <w:p w14:paraId="0E63741E">
            <w:pP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31234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11" w:type="dxa"/>
            <w:shd w:val="clear" w:color="auto" w:fill="auto"/>
            <w:noWrap/>
            <w:vAlign w:val="center"/>
          </w:tcPr>
          <w:p w14:paraId="3EFAD2CB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26.06.2026</w:t>
            </w:r>
          </w:p>
        </w:tc>
        <w:tc>
          <w:tcPr>
            <w:tcW w:w="5863" w:type="dxa"/>
            <w:shd w:val="clear" w:color="auto" w:fill="auto"/>
            <w:noWrap/>
            <w:vAlign w:val="center"/>
          </w:tcPr>
          <w:p w14:paraId="2292212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Экспорт в Excel. Установка EPPlus.</w:t>
            </w:r>
          </w:p>
        </w:tc>
        <w:tc>
          <w:tcPr>
            <w:tcW w:w="1827" w:type="dxa"/>
            <w:shd w:val="clear" w:color="auto" w:fill="auto"/>
            <w:noWrap/>
            <w:vAlign w:val="center"/>
          </w:tcPr>
          <w:p w14:paraId="672D714C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786" w:type="dxa"/>
            <w:shd w:val="clear" w:color="auto" w:fill="auto"/>
            <w:noWrap/>
            <w:vAlign w:val="center"/>
          </w:tcPr>
          <w:p w14:paraId="51A06A07">
            <w:pP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6AA4C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11" w:type="dxa"/>
            <w:shd w:val="clear" w:color="auto" w:fill="auto"/>
            <w:noWrap/>
            <w:vAlign w:val="center"/>
          </w:tcPr>
          <w:p w14:paraId="06D476A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29.06.2026</w:t>
            </w:r>
          </w:p>
        </w:tc>
        <w:tc>
          <w:tcPr>
            <w:tcW w:w="5863" w:type="dxa"/>
            <w:shd w:val="clear" w:color="auto" w:fill="auto"/>
            <w:noWrap/>
            <w:vAlign w:val="center"/>
          </w:tcPr>
          <w:p w14:paraId="1C6E436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Заполнение БД данными. Импорт через SQL-скрипты.</w:t>
            </w:r>
          </w:p>
        </w:tc>
        <w:tc>
          <w:tcPr>
            <w:tcW w:w="1827" w:type="dxa"/>
            <w:shd w:val="clear" w:color="auto" w:fill="auto"/>
            <w:noWrap/>
            <w:vAlign w:val="center"/>
          </w:tcPr>
          <w:p w14:paraId="4DA484F9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786" w:type="dxa"/>
            <w:shd w:val="clear" w:color="auto" w:fill="auto"/>
            <w:noWrap/>
            <w:vAlign w:val="center"/>
          </w:tcPr>
          <w:p w14:paraId="616365D1">
            <w:pP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  <w:tr w14:paraId="64FB3F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311" w:type="dxa"/>
            <w:shd w:val="clear" w:color="auto" w:fill="auto"/>
            <w:noWrap/>
            <w:vAlign w:val="center"/>
          </w:tcPr>
          <w:p w14:paraId="4249201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29.06.2026</w:t>
            </w:r>
          </w:p>
        </w:tc>
        <w:tc>
          <w:tcPr>
            <w:tcW w:w="5863" w:type="dxa"/>
            <w:shd w:val="clear" w:color="auto" w:fill="auto"/>
            <w:noWrap/>
            <w:vAlign w:val="center"/>
          </w:tcPr>
          <w:p w14:paraId="4699F2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Написание руководства оператора. Оформление документации.</w:t>
            </w:r>
          </w:p>
        </w:tc>
        <w:tc>
          <w:tcPr>
            <w:tcW w:w="1827" w:type="dxa"/>
            <w:shd w:val="clear" w:color="auto" w:fill="auto"/>
            <w:noWrap/>
            <w:vAlign w:val="center"/>
          </w:tcPr>
          <w:p w14:paraId="0F57E8C2">
            <w:pPr>
              <w:keepNext w:val="0"/>
              <w:keepLines w:val="0"/>
              <w:widowControl/>
              <w:suppressLineNumbers w:val="0"/>
              <w:jc w:val="right"/>
              <w:textAlignment w:val="center"/>
              <w:rPr>
                <w:rFonts w:hint="default" w:ascii="Times New Roman" w:hAnsi="Times New Roman" w:cs="Times New Roman"/>
                <w:i w:val="0"/>
                <w:iCs w:val="0"/>
                <w:color w:val="000000"/>
                <w:u w:val="none"/>
              </w:rPr>
            </w:pPr>
            <w:r>
              <w:rPr>
                <w:rFonts w:hint="default" w:ascii="Times New Roman" w:hAnsi="Times New Roman" w:eastAsia="SimSun" w:cs="Times New Roman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786" w:type="dxa"/>
            <w:shd w:val="clear" w:color="auto" w:fill="auto"/>
            <w:noWrap/>
            <w:vAlign w:val="center"/>
          </w:tcPr>
          <w:p w14:paraId="55A2196B">
            <w:pPr>
              <w:rPr>
                <w:rFonts w:hint="default" w:ascii="Times New Roman" w:hAnsi="Times New Roman" w:cs="Times New Roman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</w:tr>
    </w:tbl>
    <w:p w14:paraId="5A76F6F8"/>
    <w:sectPr>
      <w:pgSz w:w="11906" w:h="16838"/>
      <w:pgMar w:top="1134" w:right="850" w:bottom="993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Verdana">
    <w:panose1 w:val="020B0604030504040204"/>
    <w:charset w:val="CC"/>
    <w:family w:val="swiss"/>
    <w:pitch w:val="default"/>
    <w:sig w:usb0="A00006FF" w:usb1="4000205B" w:usb2="0000001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281"/>
    <w:rsid w:val="000D79CE"/>
    <w:rsid w:val="00283685"/>
    <w:rsid w:val="003D319C"/>
    <w:rsid w:val="00473281"/>
    <w:rsid w:val="004C7244"/>
    <w:rsid w:val="00655596"/>
    <w:rsid w:val="008423B3"/>
    <w:rsid w:val="008757A2"/>
    <w:rsid w:val="009E0B55"/>
    <w:rsid w:val="00A97F9E"/>
    <w:rsid w:val="00D00044"/>
    <w:rsid w:val="00EB145E"/>
    <w:rsid w:val="00EE0BD0"/>
    <w:rsid w:val="06DE41D3"/>
    <w:rsid w:val="093850CC"/>
    <w:rsid w:val="57054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5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6">
    <w:name w:val="Знак2"/>
    <w:basedOn w:val="1"/>
    <w:qFormat/>
    <w:uiPriority w:val="0"/>
    <w:pPr>
      <w:tabs>
        <w:tab w:val="left" w:pos="708"/>
      </w:tabs>
      <w:spacing w:line="240" w:lineRule="exact"/>
    </w:pPr>
    <w:rPr>
      <w:rFonts w:ascii="Verdana" w:hAnsi="Verdana" w:eastAsia="Times New Roman" w:cs="Verdana"/>
      <w:sz w:val="20"/>
      <w:szCs w:val="20"/>
      <w:lang w:val="en-US"/>
    </w:rPr>
  </w:style>
  <w:style w:type="character" w:customStyle="1" w:styleId="7">
    <w:name w:val="extendedtext-short"/>
    <w:basedOn w:val="2"/>
    <w:qFormat/>
    <w:uiPriority w:val="0"/>
  </w:style>
  <w:style w:type="paragraph" w:customStyle="1" w:styleId="8">
    <w:name w:val="Знак21"/>
    <w:basedOn w:val="1"/>
    <w:qFormat/>
    <w:uiPriority w:val="0"/>
    <w:pPr>
      <w:tabs>
        <w:tab w:val="left" w:pos="708"/>
      </w:tabs>
      <w:spacing w:line="240" w:lineRule="exact"/>
    </w:pPr>
    <w:rPr>
      <w:rFonts w:ascii="Verdana" w:hAnsi="Verdana" w:eastAsia="Times New Roman" w:cs="Verdana"/>
      <w:sz w:val="20"/>
      <w:szCs w:val="20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SPecialiST RePack</Company>
  <Pages>2</Pages>
  <Words>231</Words>
  <Characters>1797</Characters>
  <Lines>4</Lines>
  <Paragraphs>1</Paragraphs>
  <TotalTime>12</TotalTime>
  <ScaleCrop>false</ScaleCrop>
  <LinksUpToDate>false</LinksUpToDate>
  <CharactersWithSpaces>1957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2026-06-18T20:57:00Z</dcterms:created>
  <dc:creator>Светлана Ушакова</dc:creator>
  <cp:lastModifiedBy>Виктор Мищенко</cp:lastModifiedBy>
  <dcterms:modified xsi:type="dcterms:W3CDTF">2026-07-01T13:22:48Z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b3891f9c9dc8496ab6fe370e1f96ae5d</vt:lpwstr>
  </property>
  <property fmtid="{D5CDD505-2E9C-101B-9397-08002B2CF9AE}" pid="3" name="KSOTemplateDocerSaveRecord">
    <vt:lpwstr>eyJoZGlkIjoiYzQxNzI1ZGZjY2VhODE5YWFmZjUyMWQ2NjRlMGZiMjMiLCJ1c2VySWQiOiI4MjQ2MzUzNDUyNjUifQ==</vt:lpwstr>
  </property>
  <property fmtid="{D5CDD505-2E9C-101B-9397-08002B2CF9AE}" pid="4" name="KSOProductBuildVer">
    <vt:lpwstr>1049-12.1.0.26880</vt:lpwstr>
  </property>
</Properties>
</file>