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 w:eastAsia="Microsoft YaHei"/>
          <w:b/>
          <w:color w:val="2E74B5"/>
          <w:sz w:val="20"/>
        </w:rPr>
        <w:t>产品需求说明书</w:t>
      </w:r>
    </w:p>
    <w:p>
      <w:pPr>
        <w:spacing w:after="140"/>
      </w:pPr>
      <w:r>
        <w:rPr>
          <w:rFonts w:ascii="Calibri" w:hAnsi="Calibri" w:eastAsia="Microsoft YaHei"/>
          <w:b/>
          <w:color w:val="25364D"/>
          <w:sz w:val="56"/>
        </w:rPr>
        <w:t>案例教研优化</w:t>
      </w:r>
    </w:p>
    <w:p>
      <w:pPr>
        <w:spacing w:after="440"/>
      </w:pPr>
      <w:r>
        <w:rPr>
          <w:rFonts w:ascii="Calibri" w:hAnsi="Calibri" w:eastAsia="Microsoft YaHei"/>
          <w:color w:val="66758A"/>
          <w:sz w:val="26"/>
        </w:rPr>
        <w:t>教研过程、AI 会议纪要、成果沉淀与权限体系</w:t>
      </w:r>
    </w:p>
    <w:p>
      <w:pPr>
        <w:spacing w:after="60"/>
      </w:pPr>
      <w:r>
        <w:rPr>
          <w:rFonts w:ascii="Calibri" w:hAnsi="Calibri" w:eastAsia="Microsoft YaHei"/>
          <w:b/>
          <w:color w:val="25364D"/>
          <w:sz w:val="21"/>
        </w:rPr>
        <w:t>版本：</w:t>
      </w:r>
      <w:r>
        <w:rPr>
          <w:rFonts w:ascii="Calibri" w:hAnsi="Calibri" w:eastAsia="Microsoft YaHei"/>
          <w:color w:val="25364D"/>
          <w:sz w:val="21"/>
        </w:rPr>
        <w:t>V1.0</w:t>
      </w:r>
    </w:p>
    <w:p>
      <w:pPr>
        <w:spacing w:after="60"/>
      </w:pPr>
      <w:r>
        <w:rPr>
          <w:rFonts w:ascii="Calibri" w:hAnsi="Calibri" w:eastAsia="Microsoft YaHei"/>
          <w:b/>
          <w:color w:val="25364D"/>
          <w:sz w:val="21"/>
        </w:rPr>
        <w:t>日期：</w:t>
      </w:r>
      <w:r>
        <w:rPr>
          <w:rFonts w:ascii="Calibri" w:hAnsi="Calibri" w:eastAsia="Microsoft YaHei"/>
          <w:color w:val="25364D"/>
          <w:sz w:val="21"/>
        </w:rPr>
        <w:t>2026-07-30</w:t>
      </w:r>
    </w:p>
    <w:p>
      <w:pPr>
        <w:spacing w:after="60"/>
      </w:pPr>
      <w:r>
        <w:rPr>
          <w:rFonts w:ascii="Calibri" w:hAnsi="Calibri" w:eastAsia="Microsoft YaHei"/>
          <w:b/>
          <w:color w:val="25364D"/>
          <w:sz w:val="21"/>
        </w:rPr>
        <w:t>交付对象：</w:t>
      </w:r>
      <w:r>
        <w:rPr>
          <w:rFonts w:ascii="Calibri" w:hAnsi="Calibri" w:eastAsia="Microsoft YaHei"/>
          <w:color w:val="25364D"/>
          <w:sz w:val="21"/>
        </w:rPr>
        <w:t>产品、前端、后端与测试人员</w:t>
      </w:r>
    </w:p>
    <w:p>
      <w:pPr>
        <w:spacing w:after="60"/>
      </w:pPr>
      <w:r>
        <w:rPr>
          <w:rFonts w:ascii="Calibri" w:hAnsi="Calibri" w:eastAsia="Microsoft YaHei"/>
          <w:b/>
          <w:color w:val="25364D"/>
          <w:sz w:val="21"/>
        </w:rPr>
        <w:t>原型技术：</w:t>
      </w:r>
      <w:r>
        <w:rPr>
          <w:rFonts w:ascii="Calibri" w:hAnsi="Calibri" w:eastAsia="Microsoft YaHei"/>
          <w:color w:val="25364D"/>
          <w:sz w:val="21"/>
        </w:rPr>
        <w:t>Vue 3 + Vite + Element Plus</w:t>
      </w:r>
    </w:p>
    <w:p>
      <w:pPr>
        <w:spacing w:after="60"/>
      </w:pPr>
      <w:r>
        <w:rPr>
          <w:rFonts w:ascii="Calibri" w:hAnsi="Calibri" w:eastAsia="Microsoft YaHei"/>
          <w:b/>
          <w:color w:val="25364D"/>
          <w:sz w:val="21"/>
        </w:rPr>
        <w:t>核心流程：</w:t>
      </w:r>
      <w:r>
        <w:rPr>
          <w:rFonts w:ascii="Calibri" w:hAnsi="Calibri" w:eastAsia="Microsoft YaHei"/>
          <w:color w:val="25364D"/>
          <w:sz w:val="21"/>
        </w:rPr>
        <w:t>教研准备 → 在线研讨 → 现场记录 → 成果沉淀</w:t>
      </w:r>
    </w:p>
    <w:p>
      <w:pPr>
        <w:spacing w:before="360" w:after="0" w:line="300" w:lineRule="auto"/>
        <w:ind w:left="173" w:right="173"/>
        <w:shd w:fill="F6F9FD"/>
      </w:pPr>
      <w:r>
        <w:rPr>
          <w:rFonts w:ascii="Calibri" w:hAnsi="Calibri" w:eastAsia="Microsoft YaHei"/>
          <w:b/>
          <w:color w:val="1F4D78"/>
          <w:sz w:val="21"/>
        </w:rPr>
        <w:t>本文件是开发交付基线。页面演示用于确认交互，后端实现需以状态机、权限校验、异步任务和文件安全要求为准。</w:t>
      </w:r>
    </w:p>
    <w:p>
      <w:r>
        <w:br w:type="page"/>
      </w:r>
    </w:p>
    <w:p>
      <w:pPr>
        <w:pStyle w:val="Heading1"/>
      </w:pPr>
      <w:r>
        <w:t>1. 项目背景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现有案例教研已经覆盖教研准备和教研成果，但缺少教研过程的线上沉淀。新版在保留主题生成、活动方案、案例小结和整次教研总结的基础上，增加类似 BBS 的话题与回复能力，并补齐线下会议资料、AI 会议纪要和完整资料归档。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本轮优化重点不是新增独立业务模块，而是将现有能力整理为一条状态明确、权限清晰、管理端和教师端都容易理解的教研闭环。</w:t>
      </w:r>
    </w:p>
    <w:p>
      <w:pPr>
        <w:pStyle w:val="Heading1"/>
      </w:pPr>
      <w:r>
        <w:t>2. 产品目标</w:t>
      </w:r>
    </w:p>
    <w:p>
      <w:pPr>
        <w:pStyle w:val="ListNumber"/>
      </w:pPr>
      <w:r>
        <w:t>用话题与回复记录线上研讨过程。</w:t>
      </w:r>
    </w:p>
    <w:p>
      <w:pPr>
        <w:pStyle w:val="ListNumber"/>
      </w:pPr>
      <w:r>
        <w:t>用录音、转写稿、AI 会议纪要和附件记录线下会议过程。</w:t>
      </w:r>
    </w:p>
    <w:p>
      <w:pPr>
        <w:pStyle w:val="ListNumber"/>
      </w:pPr>
      <w:r>
        <w:t>一次教研支持多个关联案例，每个案例独立形成案例小结。</w:t>
      </w:r>
    </w:p>
    <w:p>
      <w:pPr>
        <w:pStyle w:val="ListNumber"/>
      </w:pPr>
      <w:r>
        <w:t>全部案例小结完成后，汇总形成一份整次教研总结。</w:t>
      </w:r>
    </w:p>
    <w:p>
      <w:pPr>
        <w:pStyle w:val="ListNumber"/>
      </w:pPr>
      <w:r>
        <w:t>将主题资料、会议资料、小结和总结统一压缩归档，不再生成教研报告。</w:t>
      </w:r>
    </w:p>
    <w:p>
      <w:pPr>
        <w:pStyle w:val="ListNumber"/>
      </w:pPr>
      <w:r>
        <w:t>管理端与教师端使用同一条业务状态，列表进度与详情进度保持一致。</w:t>
      </w:r>
    </w:p>
    <w:p>
      <w:pPr>
        <w:pStyle w:val="ListNumber"/>
      </w:pPr>
      <w:r>
        <w:t>权限按教师、教研范围和教研内角色组合控制，不与其他业务模块权限绑定。</w:t>
      </w:r>
    </w:p>
    <w:p>
      <w:pPr>
        <w:pStyle w:val="Heading1"/>
      </w:pPr>
      <w:r>
        <w:t>3. 用户角色</w:t>
      </w:r>
    </w:p>
    <w:p>
      <w:pPr>
        <w:pStyle w:val="Heading2"/>
      </w:pPr>
      <w:r>
        <w:t>3.1 管理端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适用角色包括园级管理员、教研负责人和本次教研主持人。可在授权范围内创建、编辑、发布、结束教研，预设话题，管理成员，上传会议资料，生成 AI 会议纪要，生成案例小结、教研总结和归档包。</w:t>
      </w:r>
    </w:p>
    <w:p>
      <w:pPr>
        <w:pStyle w:val="Heading2"/>
      </w:pPr>
      <w:r>
        <w:t>3.2 普通教师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普通教师只看到三个业务入口：</w:t>
      </w:r>
    </w:p>
    <w:p>
      <w:pPr>
        <w:pStyle w:val="ListNumber"/>
      </w:pPr>
      <w:r>
        <w:t>教研主题。</w:t>
      </w:r>
    </w:p>
    <w:p>
      <w:pPr>
        <w:pStyle w:val="ListNumber"/>
      </w:pPr>
      <w:r>
        <w:t>在线研讨。</w:t>
      </w:r>
    </w:p>
    <w:p>
      <w:pPr>
        <w:pStyle w:val="ListNumber"/>
      </w:pPr>
      <w:r>
        <w:t>成果文件。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普通教师可在授权范围内查看主题、加入教研、发表话题、回复观点、查看已发布的案例小结和教研总结。普通教师不进入现场记录页面，不上传或修改管理归档资料。</w:t>
      </w:r>
    </w:p>
    <w:p>
      <w:pPr>
        <w:pStyle w:val="Heading1"/>
      </w:pPr>
      <w:r>
        <w:t>4. 教研生命周期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系统统一使用四个阶段：</w:t>
      </w:r>
    </w:p>
    <w:p>
      <w:pPr>
        <w:pStyle w:val="ListNumber"/>
      </w:pPr>
      <w:r>
        <w:t>教研准备。</w:t>
      </w:r>
    </w:p>
    <w:p>
      <w:pPr>
        <w:pStyle w:val="ListNumber"/>
      </w:pPr>
      <w:r>
        <w:t>在线研讨。</w:t>
      </w:r>
    </w:p>
    <w:p>
      <w:pPr>
        <w:pStyle w:val="ListNumber"/>
      </w:pPr>
      <w:r>
        <w:t>现场记录。</w:t>
      </w:r>
    </w:p>
    <w:p>
      <w:pPr>
        <w:pStyle w:val="ListNumber"/>
      </w:pPr>
      <w:r>
        <w:t>成果沉淀。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“教研召开”不再作为系统流程节点。线下会议是实际业务事件，发生在“在线研讨”结束与“现场记录”开始之间。主持人在线下会议结束后点击“结束教研”，系统直接进入现场记录。</w:t>
      </w:r>
    </w:p>
    <w:p>
      <w:pPr>
        <w:pStyle w:val="Heading2"/>
      </w:pPr>
      <w:r>
        <w:t>4.1 状态与阶段映射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  <w:tblInd w:w="120" w:type="dxa"/>
      </w:tblPr>
      <w:tblGrid>
        <w:gridCol w:w="1883"/>
        <w:gridCol w:w="1883"/>
        <w:gridCol w:w="3710"/>
        <w:gridCol w:w="1884"/>
      </w:tblGrid>
      <w:tr>
        <w:trPr>
          <w:tblHeader w:val="true"/>
          <w:cantSplit/>
        </w:trPr>
        <w:tc>
          <w:tcPr>
            <w:tcW w:type="dxa" w:w="188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5364D"/>
                <w:sz w:val="17"/>
              </w:rPr>
              <w:t>业务状态</w:t>
            </w:r>
          </w:p>
        </w:tc>
        <w:tc>
          <w:tcPr>
            <w:tcW w:type="dxa" w:w="1883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7"/>
              </w:rPr>
              <w:t>阶段</w:t>
            </w:r>
          </w:p>
        </w:tc>
        <w:tc>
          <w:tcPr>
            <w:tcW w:type="dxa" w:w="37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7"/>
              </w:rPr>
              <w:t>说明</w:t>
            </w:r>
          </w:p>
        </w:tc>
        <w:tc>
          <w:tcPr>
            <w:tcW w:type="dxa" w:w="188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7"/>
              </w:rPr>
              <w:t>建议进度</w:t>
            </w:r>
          </w:p>
        </w:tc>
      </w:tr>
      <w:tr>
        <w:trPr>
          <w:cantSplit/>
        </w:trPr>
        <w:tc>
          <w:tcPr>
            <w:tcW w:type="dxa" w:w="1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草稿</w:t>
            </w:r>
          </w:p>
        </w:tc>
        <w:tc>
          <w:tcPr>
            <w:tcW w:type="dxa" w:w="1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教研准备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仅创建人和管理者可见</w:t>
            </w:r>
          </w:p>
        </w:tc>
        <w:tc>
          <w:tcPr>
            <w:tcW w:type="dxa" w:w="1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0%-40%</w:t>
            </w:r>
          </w:p>
        </w:tc>
      </w:tr>
      <w:tr>
        <w:trPr>
          <w:cantSplit/>
        </w:trPr>
        <w:tc>
          <w:tcPr>
            <w:tcW w:type="dxa" w:w="1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研讨中</w:t>
            </w:r>
          </w:p>
        </w:tc>
        <w:tc>
          <w:tcPr>
            <w:tcW w:type="dxa" w:w="1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在线研讨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已发布，可发表话题和回复；线下会议未结束</w:t>
            </w:r>
          </w:p>
        </w:tc>
        <w:tc>
          <w:tcPr>
            <w:tcW w:type="dxa" w:w="1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40%-75%</w:t>
            </w:r>
          </w:p>
        </w:tc>
      </w:tr>
      <w:tr>
        <w:trPr>
          <w:cantSplit/>
        </w:trPr>
        <w:tc>
          <w:tcPr>
            <w:tcW w:type="dxa" w:w="1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现场记录</w:t>
            </w:r>
          </w:p>
        </w:tc>
        <w:tc>
          <w:tcPr>
            <w:tcW w:type="dxa" w:w="1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现场记录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线下会议已结束，正在整理资料</w:t>
            </w:r>
          </w:p>
        </w:tc>
        <w:tc>
          <w:tcPr>
            <w:tcW w:type="dxa" w:w="1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75%-90%</w:t>
            </w:r>
          </w:p>
        </w:tc>
      </w:tr>
      <w:tr>
        <w:trPr>
          <w:cantSplit/>
        </w:trPr>
        <w:tc>
          <w:tcPr>
            <w:tcW w:type="dxa" w:w="1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待总结</w:t>
            </w:r>
          </w:p>
        </w:tc>
        <w:tc>
          <w:tcPr>
            <w:tcW w:type="dxa" w:w="1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成果沉淀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现场资料已确认，正在生成小结和总结</w:t>
            </w:r>
          </w:p>
        </w:tc>
        <w:tc>
          <w:tcPr>
            <w:tcW w:type="dxa" w:w="1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90%-99%</w:t>
            </w:r>
          </w:p>
        </w:tc>
      </w:tr>
      <w:tr>
        <w:trPr>
          <w:cantSplit/>
        </w:trPr>
        <w:tc>
          <w:tcPr>
            <w:tcW w:type="dxa" w:w="1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已完成</w:t>
            </w:r>
          </w:p>
        </w:tc>
        <w:tc>
          <w:tcPr>
            <w:tcW w:type="dxa" w:w="1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成果沉淀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归档包已生成</w:t>
            </w:r>
          </w:p>
        </w:tc>
        <w:tc>
          <w:tcPr>
            <w:tcW w:type="dxa" w:w="1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7"/>
              </w:rPr>
              <w:t>100%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状态、阶段和进度必须存储在同一条教研记录上。列表和详情使用同一数据源，不允许分别计算或维护。</w:t>
      </w:r>
    </w:p>
    <w:p>
      <w:pPr>
        <w:pStyle w:val="Heading1"/>
      </w:pPr>
      <w:r>
        <w:t>5. 流程节点与可操作范围</w:t>
      </w:r>
    </w:p>
    <w:p>
      <w:pPr>
        <w:pStyle w:val="Heading2"/>
      </w:pPr>
      <w:r>
        <w:t>5.1 通用规则</w:t>
      </w:r>
    </w:p>
    <w:p>
      <w:pPr>
        <w:pStyle w:val="ListBullet"/>
      </w:pPr>
      <w:r>
        <w:t>当前节点可操作。</w:t>
      </w:r>
    </w:p>
    <w:p>
      <w:pPr>
        <w:pStyle w:val="ListBullet"/>
      </w:pPr>
      <w:r>
        <w:t>已完成节点可回看。</w:t>
      </w:r>
    </w:p>
    <w:p>
      <w:pPr>
        <w:pStyle w:val="ListBullet"/>
      </w:pPr>
      <w:r>
        <w:t>未到达节点置灰且不可点击。</w:t>
      </w:r>
    </w:p>
    <w:p>
      <w:pPr>
        <w:pStyle w:val="ListBullet"/>
      </w:pPr>
      <w:r>
        <w:t>后端必须再次校验当前状态，不允许只依赖前端禁用按钮。</w:t>
      </w:r>
    </w:p>
    <w:p>
      <w:pPr>
        <w:pStyle w:val="Heading2"/>
      </w:pPr>
      <w:r>
        <w:t>5.2 管理端入口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  <w:tblInd w:w="120" w:type="dxa"/>
      </w:tblPr>
      <w:tblGrid>
        <w:gridCol w:w="2271"/>
        <w:gridCol w:w="2271"/>
        <w:gridCol w:w="4818"/>
      </w:tblGrid>
      <w:tr>
        <w:trPr>
          <w:tblHeader w:val="true"/>
          <w:cantSplit/>
        </w:trPr>
        <w:tc>
          <w:tcPr>
            <w:tcW w:type="dxa" w:w="22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页面入口</w:t>
            </w:r>
          </w:p>
        </w:tc>
        <w:tc>
          <w:tcPr>
            <w:tcW w:type="dxa" w:w="22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最早可用阶段</w:t>
            </w:r>
          </w:p>
        </w:tc>
        <w:tc>
          <w:tcPr>
            <w:tcW w:type="dxa" w:w="481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主要功能</w:t>
            </w:r>
          </w:p>
        </w:tc>
      </w:tr>
      <w:tr>
        <w:trPr>
          <w:cantSplit/>
        </w:trP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教研主题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教研准备</w:t>
            </w:r>
          </w:p>
        </w:tc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查看主题、目标、活动方案、关联案例和素材</w:t>
            </w:r>
          </w:p>
        </w:tc>
      </w:tr>
      <w:tr>
        <w:trPr>
          <w:cantSplit/>
        </w:trP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在线研讨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在线研讨</w:t>
            </w:r>
          </w:p>
        </w:tc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话题、回复、置顶、预设标识和研讨摘要</w:t>
            </w:r>
          </w:p>
        </w:tc>
      </w:tr>
      <w:tr>
        <w:trPr>
          <w:cantSplit/>
        </w:trP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现场记录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现场记录</w:t>
            </w:r>
          </w:p>
        </w:tc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出勤、资料、录音、转写、AI 会议纪要</w:t>
            </w:r>
          </w:p>
        </w:tc>
      </w:tr>
      <w:tr>
        <w:trPr>
          <w:cantSplit/>
        </w:trPr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成果文件</w:t>
            </w:r>
          </w:p>
        </w:tc>
        <w:tc>
          <w:tcPr>
            <w:tcW w:type="dxa" w:w="2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成果沉淀</w:t>
            </w:r>
          </w:p>
        </w:tc>
        <w:tc>
          <w:tcPr>
            <w:tcW w:type="dxa" w:w="48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案例小结、教研总结、会议归档包</w:t>
            </w:r>
          </w:p>
        </w:tc>
      </w:tr>
    </w:tbl>
    <w:p>
      <w:pPr>
        <w:spacing w:after="0"/>
      </w:pPr>
    </w:p>
    <w:p>
      <w:pPr>
        <w:pStyle w:val="Heading2"/>
      </w:pPr>
      <w:r>
        <w:t>5.3 教师端入口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  <w:tblInd w:w="120" w:type="dxa"/>
      </w:tblPr>
      <w:tblGrid>
        <w:gridCol w:w="2454"/>
        <w:gridCol w:w="3120"/>
        <w:gridCol w:w="3786"/>
      </w:tblGrid>
      <w:tr>
        <w:trPr>
          <w:tblHeader w:val="true"/>
          <w:cantSplit/>
        </w:trPr>
        <w:tc>
          <w:tcPr>
            <w:tcW w:type="dxa" w:w="245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页面入口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最早可用阶段</w:t>
            </w:r>
          </w:p>
        </w:tc>
        <w:tc>
          <w:tcPr>
            <w:tcW w:type="dxa" w:w="3786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权限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教研主题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教研准备</w:t>
            </w:r>
          </w:p>
        </w:tc>
        <w:tc>
          <w:tcPr>
            <w:tcW w:type="dxa" w:w="3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查看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在线研讨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在线研讨</w:t>
            </w:r>
          </w:p>
        </w:tc>
        <w:tc>
          <w:tcPr>
            <w:tcW w:type="dxa" w:w="3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加入、发表话题、回复、查看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成果文件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成果沉淀且成果已发布</w:t>
            </w:r>
          </w:p>
        </w:tc>
        <w:tc>
          <w:tcPr>
            <w:tcW w:type="dxa" w:w="37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查看、下载允许公开的成果</w:t>
            </w:r>
          </w:p>
        </w:tc>
      </w:tr>
    </w:tbl>
    <w:p>
      <w:pPr>
        <w:spacing w:after="0"/>
      </w:pPr>
    </w:p>
    <w:p>
      <w:pPr>
        <w:pStyle w:val="Heading1"/>
      </w:pPr>
      <w:r>
        <w:t>6. 功能需求</w:t>
      </w:r>
    </w:p>
    <w:p>
      <w:pPr>
        <w:pStyle w:val="Heading2"/>
      </w:pPr>
      <w:r>
        <w:t>6.1 创建与编辑教研</w:t>
      </w:r>
    </w:p>
    <w:p>
      <w:pPr>
        <w:pStyle w:val="Heading3"/>
      </w:pPr>
      <w:r>
        <w:t>FR-01 基础信息</w:t>
      </w:r>
    </w:p>
    <w:p>
      <w:pPr>
        <w:pStyle w:val="ListBullet"/>
      </w:pPr>
      <w:r>
        <w:t>教研主题：必填。</w:t>
      </w:r>
    </w:p>
    <w:p>
      <w:pPr>
        <w:pStyle w:val="ListBullet"/>
      </w:pPr>
      <w:r>
        <w:t>教研范围：园级、年级组、班级。</w:t>
      </w:r>
    </w:p>
    <w:p>
      <w:pPr>
        <w:pStyle w:val="ListBullet"/>
      </w:pPr>
      <w:r>
        <w:t>关联案例：支持一个教研关联多个案例。</w:t>
      </w:r>
    </w:p>
    <w:p>
      <w:pPr>
        <w:pStyle w:val="ListBullet"/>
      </w:pPr>
      <w:r>
        <w:t>“主题依据”统一改名为“教研目标”。</w:t>
      </w:r>
    </w:p>
    <w:p>
      <w:pPr>
        <w:pStyle w:val="ListBullet"/>
      </w:pPr>
      <w:r>
        <w:t>AI 助手可根据关联案例生成教研主题、教研目标和活动方案建议。</w:t>
      </w:r>
    </w:p>
    <w:p>
      <w:pPr>
        <w:pStyle w:val="Heading3"/>
      </w:pPr>
      <w:r>
        <w:t>FR-02 活动方案与教研素材</w:t>
      </w:r>
    </w:p>
    <w:p>
      <w:pPr>
        <w:pStyle w:val="ListBullet"/>
      </w:pPr>
      <w:r>
        <w:t>保留研讨日期、研讨地点和研讨安排。</w:t>
      </w:r>
    </w:p>
    <w:p>
      <w:pPr>
        <w:pStyle w:val="ListBullet"/>
      </w:pPr>
      <w:r>
        <w:t>原附件上传区域改名为“上传教研素材”。</w:t>
      </w:r>
    </w:p>
    <w:p>
      <w:pPr>
        <w:pStyle w:val="ListBullet"/>
      </w:pPr>
      <w:r>
        <w:t>支持视频、文档、音频、图片及其他常用文件，前端不限制文件扩展名。</w:t>
      </w:r>
    </w:p>
    <w:p>
      <w:pPr>
        <w:pStyle w:val="ListBullet"/>
      </w:pPr>
      <w:r>
        <w:t>后端仍需执行文件大小、病毒扫描、内容安全和存储配额校验。</w:t>
      </w:r>
    </w:p>
    <w:p>
      <w:pPr>
        <w:pStyle w:val="ListBullet"/>
      </w:pPr>
      <w:r>
        <w:t>素材需记录文件名、MIME 类型、大小、上传人、上传时间和关联教研。</w:t>
      </w:r>
    </w:p>
    <w:p>
      <w:pPr>
        <w:pStyle w:val="Heading3"/>
      </w:pPr>
      <w:r>
        <w:t>FR-03 参与设置</w:t>
      </w:r>
    </w:p>
    <w:p>
      <w:pPr>
        <w:pStyle w:val="ListBullet"/>
      </w:pPr>
      <w:r>
        <w:t>设置主持人和参与教师。</w:t>
      </w:r>
    </w:p>
    <w:p>
      <w:pPr>
        <w:pStyle w:val="ListBullet"/>
      </w:pPr>
      <w:r>
        <w:t>设置教师是否允许发表新话题、回复互动和匿名参与。</w:t>
      </w:r>
    </w:p>
    <w:p>
      <w:pPr>
        <w:pStyle w:val="ListBullet"/>
      </w:pPr>
      <w:r>
        <w:t>新增“管理员预设话题”。</w:t>
      </w:r>
    </w:p>
    <w:p>
      <w:pPr>
        <w:pStyle w:val="ListBullet"/>
      </w:pPr>
      <w:r>
        <w:t>预设话题字段包括关联范围、话题标题和讨论提示。</w:t>
      </w:r>
    </w:p>
    <w:p>
      <w:pPr>
        <w:pStyle w:val="ListBullet"/>
      </w:pPr>
      <w:r>
        <w:t>关联范围可选择整场教研或某个关联案例。</w:t>
      </w:r>
    </w:p>
    <w:p>
      <w:pPr>
        <w:pStyle w:val="ListBullet"/>
      </w:pPr>
      <w:r>
        <w:t>教研发布后，预设话题自动进入在线研讨并显示“管理员预设”标识。</w:t>
      </w:r>
    </w:p>
    <w:p>
      <w:pPr>
        <w:pStyle w:val="Heading2"/>
      </w:pPr>
      <w:r>
        <w:t>6.2 在线研讨</w:t>
      </w:r>
    </w:p>
    <w:p>
      <w:pPr>
        <w:pStyle w:val="Heading3"/>
      </w:pPr>
      <w:r>
        <w:t>FR-04 话题</w:t>
      </w:r>
    </w:p>
    <w:p>
      <w:pPr>
        <w:pStyle w:val="ListBullet"/>
      </w:pPr>
      <w:r>
        <w:t>一个教研主题包含多个话题。</w:t>
      </w:r>
    </w:p>
    <w:p>
      <w:pPr>
        <w:pStyle w:val="ListBullet"/>
      </w:pPr>
      <w:r>
        <w:t>一个话题必须关联整场教研或一个具体案例。</w:t>
      </w:r>
    </w:p>
    <w:p>
      <w:pPr>
        <w:pStyle w:val="ListBullet"/>
      </w:pPr>
      <w:r>
        <w:t>管理员和有权限的教师可发表话题。</w:t>
      </w:r>
    </w:p>
    <w:p>
      <w:pPr>
        <w:pStyle w:val="ListBullet"/>
      </w:pPr>
      <w:r>
        <w:t>管理员可置顶、取消置顶、关闭或隐藏不当话题。</w:t>
      </w:r>
    </w:p>
    <w:p>
      <w:pPr>
        <w:pStyle w:val="ListBullet"/>
      </w:pPr>
      <w:r>
        <w:t>话题显示作者、角色、时间、关联范围、正文和回复数。</w:t>
      </w:r>
    </w:p>
    <w:p>
      <w:pPr>
        <w:pStyle w:val="Heading3"/>
      </w:pPr>
      <w:r>
        <w:t>FR-05 回复</w:t>
      </w:r>
    </w:p>
    <w:p>
      <w:pPr>
        <w:pStyle w:val="ListBullet"/>
      </w:pPr>
      <w:r>
        <w:t>一个话题包含多条回复。</w:t>
      </w:r>
    </w:p>
    <w:p>
      <w:pPr>
        <w:pStyle w:val="ListBullet"/>
      </w:pPr>
      <w:r>
        <w:t>有权限且已加入教研的教师可回复。</w:t>
      </w:r>
    </w:p>
    <w:p>
      <w:pPr>
        <w:pStyle w:val="ListBullet"/>
      </w:pPr>
      <w:r>
        <w:t>回复记录作者、时间、内容和所属话题。</w:t>
      </w:r>
    </w:p>
    <w:p>
      <w:pPr>
        <w:pStyle w:val="ListBullet"/>
      </w:pPr>
      <w:r>
        <w:t>发表话题或回复后，成员参与状态更新为“已参与”。</w:t>
      </w:r>
    </w:p>
    <w:p>
      <w:pPr>
        <w:pStyle w:val="Heading2"/>
      </w:pPr>
      <w:r>
        <w:t>6.3 参与成员侧边栏</w:t>
      </w:r>
    </w:p>
    <w:p>
      <w:pPr>
        <w:pStyle w:val="Heading3"/>
      </w:pPr>
      <w:r>
        <w:t>FR-06 成员入口</w:t>
      </w:r>
    </w:p>
    <w:p>
      <w:pPr>
        <w:pStyle w:val="ListBullet"/>
      </w:pPr>
      <w:r>
        <w:t>“参与成员”不作为教研业务 Tab。</w:t>
      </w:r>
    </w:p>
    <w:p>
      <w:pPr>
        <w:pStyle w:val="ListBullet"/>
      </w:pPr>
      <w:r>
        <w:t>管理端和教师端均通过详情页右侧成员入口打开抽屉。</w:t>
      </w:r>
    </w:p>
    <w:p>
      <w:pPr>
        <w:pStyle w:val="ListBullet"/>
      </w:pPr>
      <w:r>
        <w:t>交互形态参考腾讯会议成员面板，不离开当前业务页面。</w:t>
      </w:r>
    </w:p>
    <w:p>
      <w:pPr>
        <w:pStyle w:val="Heading3"/>
      </w:pPr>
      <w:r>
        <w:t>FR-07 成员信息</w:t>
      </w:r>
    </w:p>
    <w:p>
      <w:pPr>
        <w:pStyle w:val="ListBullet"/>
      </w:pPr>
      <w:r>
        <w:t>展示头像、姓名、班级、教研内角色和参与状态。</w:t>
      </w:r>
    </w:p>
    <w:p>
      <w:pPr>
        <w:pStyle w:val="ListBullet"/>
      </w:pPr>
      <w:r>
        <w:t>展示个人发表话题数和回复数。</w:t>
      </w:r>
    </w:p>
    <w:p>
      <w:pPr>
        <w:pStyle w:val="ListBullet"/>
      </w:pPr>
      <w:r>
        <w:t>普通教师当前用户显示“我”标识。</w:t>
      </w:r>
    </w:p>
    <w:p>
      <w:pPr>
        <w:pStyle w:val="ListBullet"/>
      </w:pPr>
      <w:r>
        <w:t>管理端可提醒待参与教师。</w:t>
      </w:r>
    </w:p>
    <w:p>
      <w:pPr>
        <w:pStyle w:val="Heading3"/>
      </w:pPr>
      <w:r>
        <w:t>FR-08 活跃度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第一版使用可解释的规则计算：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活跃分 = 话题数 × 3 + 回复数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  <w:tblInd w:w="120" w:type="dxa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活跃分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标识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展示建议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15 分及以上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高活跃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绿色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6-14 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已参与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橙色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0-5 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待参与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灰色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活跃度仅用于教研过程提示，不建议直接用于教师绩效评价。后续如加入点赞、被引用和有效回复质量，应由产品另行定义权重。</w:t>
      </w:r>
    </w:p>
    <w:p>
      <w:pPr>
        <w:pStyle w:val="Heading2"/>
      </w:pPr>
      <w:r>
        <w:t>6.4 现场记录</w:t>
      </w:r>
    </w:p>
    <w:p>
      <w:pPr>
        <w:pStyle w:val="Heading3"/>
      </w:pPr>
      <w:r>
        <w:t>FR-09 会议资料</w:t>
      </w:r>
    </w:p>
    <w:p>
      <w:pPr>
        <w:pStyle w:val="ListBullet"/>
      </w:pPr>
      <w:r>
        <w:t>实际召开时间。</w:t>
      </w:r>
    </w:p>
    <w:p>
      <w:pPr>
        <w:pStyle w:val="ListBullet"/>
      </w:pPr>
      <w:r>
        <w:t>实际出勤人数和缺席人数。</w:t>
      </w:r>
    </w:p>
    <w:p>
      <w:pPr>
        <w:pStyle w:val="ListBullet"/>
      </w:pPr>
      <w:r>
        <w:t>现场照片、视频、文档及其他附件。</w:t>
      </w:r>
    </w:p>
    <w:p>
      <w:pPr>
        <w:pStyle w:val="ListBullet"/>
      </w:pPr>
      <w:r>
        <w:t>现场录音。</w:t>
      </w:r>
    </w:p>
    <w:p>
      <w:pPr>
        <w:pStyle w:val="ListBullet"/>
      </w:pPr>
      <w:r>
        <w:t>录音转写稿。</w:t>
      </w:r>
    </w:p>
    <w:p>
      <w:pPr>
        <w:pStyle w:val="ListBullet"/>
      </w:pPr>
      <w:r>
        <w:t>AI 会议纪要。</w:t>
      </w:r>
    </w:p>
    <w:p>
      <w:pPr>
        <w:pStyle w:val="Heading3"/>
      </w:pPr>
      <w:r>
        <w:t>FR-10 录音转写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状态为：待上传、转写中、转写完成、转写失败。</w:t>
      </w:r>
    </w:p>
    <w:p>
      <w:pPr>
        <w:pStyle w:val="ListBullet"/>
      </w:pPr>
      <w:r>
        <w:t>录音上传后创建异步转写任务。</w:t>
      </w:r>
    </w:p>
    <w:p>
      <w:pPr>
        <w:pStyle w:val="ListBullet"/>
      </w:pPr>
      <w:r>
        <w:t>转写完成后保留完整文字稿及时间戳。</w:t>
      </w:r>
    </w:p>
    <w:p>
      <w:pPr>
        <w:pStyle w:val="ListBullet"/>
      </w:pPr>
      <w:r>
        <w:t>转写失败时允许重新提交。</w:t>
      </w:r>
    </w:p>
    <w:p>
      <w:pPr>
        <w:pStyle w:val="ListBullet"/>
      </w:pPr>
      <w:r>
        <w:t>未完成转写时，AI 会议纪要按钮不可用。</w:t>
      </w:r>
    </w:p>
    <w:p>
      <w:pPr>
        <w:pStyle w:val="Heading3"/>
      </w:pPr>
      <w:r>
        <w:t>FR-11 AI 会议纪要</w:t>
      </w:r>
    </w:p>
    <w:p>
      <w:pPr>
        <w:pStyle w:val="ListBullet"/>
      </w:pPr>
      <w:r>
        <w:t>会议纪要不能从空白手工新建。</w:t>
      </w:r>
    </w:p>
    <w:p>
      <w:pPr>
        <w:pStyle w:val="ListBullet"/>
      </w:pPr>
      <w:r>
        <w:t>必须基于完整录音转写稿由 AI 生成。</w:t>
      </w:r>
    </w:p>
    <w:p>
      <w:pPr>
        <w:pStyle w:val="ListBullet"/>
      </w:pPr>
      <w:r>
        <w:t>生成状态为：待生成、生成中、已生成、生成失败。</w:t>
      </w:r>
    </w:p>
    <w:p>
      <w:pPr>
        <w:pStyle w:val="ListBullet"/>
      </w:pPr>
      <w:r>
        <w:t>生成结果使用 Markdown 存储。</w:t>
      </w:r>
    </w:p>
    <w:p>
      <w:pPr>
        <w:pStyle w:val="ListBullet"/>
      </w:pPr>
      <w:r>
        <w:t>建议结构包括会议结论、主要分歧、后续行动和责任人。</w:t>
      </w:r>
    </w:p>
    <w:p>
      <w:pPr>
        <w:pStyle w:val="ListBullet"/>
      </w:pPr>
      <w:r>
        <w:t>AI 初稿生成后，主持人可编辑并保存版本。</w:t>
      </w:r>
    </w:p>
    <w:p>
      <w:pPr>
        <w:pStyle w:val="ListBullet"/>
      </w:pPr>
      <w:r>
        <w:t>系统需保留生成时间、使用的转写版本、最后编辑人和最后更新时间。</w:t>
      </w:r>
    </w:p>
    <w:p>
      <w:pPr>
        <w:pStyle w:val="ListBullet"/>
      </w:pPr>
      <w:r>
        <w:t>进入成果沉淀前，必须存在一份已生成并保存的会议纪要。</w:t>
      </w:r>
    </w:p>
    <w:p>
      <w:pPr>
        <w:pStyle w:val="Heading2"/>
      </w:pPr>
      <w:r>
        <w:t>6.5 成果沉淀</w:t>
      </w:r>
    </w:p>
    <w:p>
      <w:pPr>
        <w:pStyle w:val="Heading3"/>
      </w:pPr>
      <w:r>
        <w:t>FR-12 案例小结</w:t>
      </w:r>
    </w:p>
    <w:p>
      <w:pPr>
        <w:pStyle w:val="ListBullet"/>
      </w:pPr>
      <w:r>
        <w:t>每个关联案例独立生成一份案例小结。</w:t>
      </w:r>
    </w:p>
    <w:p>
      <w:pPr>
        <w:pStyle w:val="ListBullet"/>
      </w:pPr>
      <w:r>
        <w:t>小结输入包括案例材料、关联话题与回复、录音转写片段和会议纪要。</w:t>
      </w:r>
    </w:p>
    <w:p>
      <w:pPr>
        <w:pStyle w:val="ListBullet"/>
      </w:pPr>
      <w:r>
        <w:t>管理端可生成和编辑。</w:t>
      </w:r>
    </w:p>
    <w:p>
      <w:pPr>
        <w:pStyle w:val="ListBullet"/>
      </w:pPr>
      <w:r>
        <w:t>教师端只查看已发布版本。</w:t>
      </w:r>
    </w:p>
    <w:p>
      <w:pPr>
        <w:pStyle w:val="Heading3"/>
      </w:pPr>
      <w:r>
        <w:t>FR-13 整次教研总结</w:t>
      </w:r>
    </w:p>
    <w:p>
      <w:pPr>
        <w:pStyle w:val="ListBullet"/>
      </w:pPr>
      <w:r>
        <w:t>必须在全部案例小结完成后生成。</w:t>
      </w:r>
    </w:p>
    <w:p>
      <w:pPr>
        <w:pStyle w:val="ListBullet"/>
      </w:pPr>
      <w:r>
        <w:t>输入包括全部案例小结、整场教研话题、会议纪要和成员参与记录。</w:t>
      </w:r>
    </w:p>
    <w:p>
      <w:pPr>
        <w:pStyle w:val="ListBullet"/>
      </w:pPr>
      <w:r>
        <w:t>管理端可生成和编辑。</w:t>
      </w:r>
    </w:p>
    <w:p>
      <w:pPr>
        <w:pStyle w:val="ListBullet"/>
      </w:pPr>
      <w:r>
        <w:t>教师端只查看已发布版本。</w:t>
      </w:r>
    </w:p>
    <w:p>
      <w:pPr>
        <w:pStyle w:val="Heading3"/>
      </w:pPr>
      <w:r>
        <w:t>FR-14 本次会议归档</w:t>
      </w:r>
    </w:p>
    <w:p>
      <w:pPr>
        <w:pStyle w:val="ListBullet"/>
      </w:pPr>
      <w:r>
        <w:t>不再生成教研报告。</w:t>
      </w:r>
    </w:p>
    <w:p>
      <w:pPr>
        <w:pStyle w:val="ListBullet"/>
      </w:pPr>
      <w:r>
        <w:t>教研总结完成后，管理端可生成 ZIP 归档包。</w:t>
      </w:r>
    </w:p>
    <w:p>
      <w:pPr>
        <w:pStyle w:val="ListBullet"/>
      </w:pPr>
      <w:r>
        <w:t>归档完成后，教研状态更新为“已完成”，进度更新为 100%。</w:t>
      </w:r>
    </w:p>
    <w:p>
      <w:pPr>
        <w:pStyle w:val="ListBullet"/>
      </w:pPr>
      <w:r>
        <w:t>归档包建议结构如下：</w:t>
      </w:r>
    </w:p>
    <w:p>
      <w:pPr>
        <w:spacing w:before="80" w:after="160" w:line="259" w:lineRule="auto"/>
        <w:ind w:left="230" w:right="230"/>
        <w:shd w:fill="F5F7FA"/>
      </w:pPr>
      <w:r>
        <w:rPr>
          <w:rFonts w:ascii="Consolas" w:hAnsi="Consolas" w:eastAsia="Microsoft YaHei"/>
          <w:color w:val="44546A"/>
          <w:sz w:val="16"/>
        </w:rPr>
        <w:t>教研主题_日期.zip</w:t>
      </w:r>
      <w:r>
        <w:br/>
      </w:r>
      <w:r>
        <w:rPr>
          <w:rFonts w:ascii="Consolas" w:hAnsi="Consolas" w:eastAsia="Microsoft YaHei"/>
          <w:color w:val="44546A"/>
          <w:sz w:val="16"/>
        </w:rPr>
        <w:t>├─ 01_教研准备</w:t>
      </w:r>
      <w:r>
        <w:br/>
      </w:r>
      <w:r>
        <w:rPr>
          <w:rFonts w:ascii="Consolas" w:hAnsi="Consolas" w:eastAsia="Microsoft YaHei"/>
          <w:color w:val="44546A"/>
          <w:sz w:val="16"/>
        </w:rPr>
        <w:t>│  ├─ 教研主题与目标.md</w:t>
      </w:r>
      <w:r>
        <w:br/>
      </w:r>
      <w:r>
        <w:rPr>
          <w:rFonts w:ascii="Consolas" w:hAnsi="Consolas" w:eastAsia="Microsoft YaHei"/>
          <w:color w:val="44546A"/>
          <w:sz w:val="16"/>
        </w:rPr>
        <w:t>│  ├─ 活动方案.md</w:t>
      </w:r>
      <w:r>
        <w:br/>
      </w:r>
      <w:r>
        <w:rPr>
          <w:rFonts w:ascii="Consolas" w:hAnsi="Consolas" w:eastAsia="Microsoft YaHei"/>
          <w:color w:val="44546A"/>
          <w:sz w:val="16"/>
        </w:rPr>
        <w:t>│  └─ 教研素材</w:t>
      </w:r>
      <w:r>
        <w:br/>
      </w:r>
      <w:r>
        <w:rPr>
          <w:rFonts w:ascii="Consolas" w:hAnsi="Consolas" w:eastAsia="Microsoft YaHei"/>
          <w:color w:val="44546A"/>
          <w:sz w:val="16"/>
        </w:rPr>
        <w:t>├─ 02_在线研讨</w:t>
      </w:r>
      <w:r>
        <w:br/>
      </w:r>
      <w:r>
        <w:rPr>
          <w:rFonts w:ascii="Consolas" w:hAnsi="Consolas" w:eastAsia="Microsoft YaHei"/>
          <w:color w:val="44546A"/>
          <w:sz w:val="16"/>
        </w:rPr>
        <w:t>│  ├─ 话题与回复.json</w:t>
      </w:r>
      <w:r>
        <w:br/>
      </w:r>
      <w:r>
        <w:rPr>
          <w:rFonts w:ascii="Consolas" w:hAnsi="Consolas" w:eastAsia="Microsoft YaHei"/>
          <w:color w:val="44546A"/>
          <w:sz w:val="16"/>
        </w:rPr>
        <w:t>│  └─ 参与成员.csv</w:t>
      </w:r>
      <w:r>
        <w:br/>
      </w:r>
      <w:r>
        <w:rPr>
          <w:rFonts w:ascii="Consolas" w:hAnsi="Consolas" w:eastAsia="Microsoft YaHei"/>
          <w:color w:val="44546A"/>
          <w:sz w:val="16"/>
        </w:rPr>
        <w:t>├─ 03_现场记录</w:t>
      </w:r>
      <w:r>
        <w:br/>
      </w:r>
      <w:r>
        <w:rPr>
          <w:rFonts w:ascii="Consolas" w:hAnsi="Consolas" w:eastAsia="Microsoft YaHei"/>
          <w:color w:val="44546A"/>
          <w:sz w:val="16"/>
        </w:rPr>
        <w:t>│  ├─ 现场图片</w:t>
      </w:r>
      <w:r>
        <w:br/>
      </w:r>
      <w:r>
        <w:rPr>
          <w:rFonts w:ascii="Consolas" w:hAnsi="Consolas" w:eastAsia="Microsoft YaHei"/>
          <w:color w:val="44546A"/>
          <w:sz w:val="16"/>
        </w:rPr>
        <w:t>│  ├─ 现场视频</w:t>
      </w:r>
      <w:r>
        <w:br/>
      </w:r>
      <w:r>
        <w:rPr>
          <w:rFonts w:ascii="Consolas" w:hAnsi="Consolas" w:eastAsia="Microsoft YaHei"/>
          <w:color w:val="44546A"/>
          <w:sz w:val="16"/>
        </w:rPr>
        <w:t>│  ├─ 现场录音</w:t>
      </w:r>
      <w:r>
        <w:br/>
      </w:r>
      <w:r>
        <w:rPr>
          <w:rFonts w:ascii="Consolas" w:hAnsi="Consolas" w:eastAsia="Microsoft YaHei"/>
          <w:color w:val="44546A"/>
          <w:sz w:val="16"/>
        </w:rPr>
        <w:t>│  ├─ 录音转写稿.md</w:t>
      </w:r>
      <w:r>
        <w:br/>
      </w:r>
      <w:r>
        <w:rPr>
          <w:rFonts w:ascii="Consolas" w:hAnsi="Consolas" w:eastAsia="Microsoft YaHei"/>
          <w:color w:val="44546A"/>
          <w:sz w:val="16"/>
        </w:rPr>
        <w:t>│  └─ AI会议纪要.md</w:t>
      </w:r>
      <w:r>
        <w:br/>
      </w:r>
      <w:r>
        <w:rPr>
          <w:rFonts w:ascii="Consolas" w:hAnsi="Consolas" w:eastAsia="Microsoft YaHei"/>
          <w:color w:val="44546A"/>
          <w:sz w:val="16"/>
        </w:rPr>
        <w:t>└─ 04_成果文件</w:t>
      </w:r>
      <w:r>
        <w:br/>
      </w:r>
      <w:r>
        <w:rPr>
          <w:rFonts w:ascii="Consolas" w:hAnsi="Consolas" w:eastAsia="Microsoft YaHei"/>
          <w:color w:val="44546A"/>
          <w:sz w:val="16"/>
        </w:rPr>
        <w:t xml:space="preserve">   ├─ 案例小结</w:t>
      </w:r>
      <w:r>
        <w:br/>
      </w:r>
      <w:r>
        <w:rPr>
          <w:rFonts w:ascii="Consolas" w:hAnsi="Consolas" w:eastAsia="Microsoft YaHei"/>
          <w:color w:val="44546A"/>
          <w:sz w:val="16"/>
        </w:rPr>
        <w:t xml:space="preserve">   └─ 教研总结.md</w:t>
      </w:r>
    </w:p>
    <w:p>
      <w:pPr>
        <w:pStyle w:val="Heading1"/>
      </w:pPr>
      <w:r>
        <w:t>7. 权限设计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权限按教研范围生效，并与教师平台角色、教研内角色和具体操作动作共同判断。</w:t>
      </w:r>
    </w:p>
    <w:p>
      <w:pPr>
        <w:pStyle w:val="Heading2"/>
      </w:pPr>
      <w:r>
        <w:t>7.1 权限模型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建议后端采用四个维度组合鉴权：</w:t>
      </w:r>
    </w:p>
    <w:p>
      <w:pPr>
        <w:pStyle w:val="ListNumber"/>
      </w:pPr>
      <w:r>
        <w:t>用户平台角色。</w:t>
      </w:r>
    </w:p>
    <w:p>
      <w:pPr>
        <w:pStyle w:val="ListNumber"/>
      </w:pPr>
      <w:r>
        <w:t>教研范围。</w:t>
      </w:r>
    </w:p>
    <w:p>
      <w:pPr>
        <w:pStyle w:val="ListNumber"/>
      </w:pPr>
      <w:r>
        <w:t>教研内角色。</w:t>
      </w:r>
    </w:p>
    <w:p>
      <w:pPr>
        <w:pStyle w:val="ListNumber"/>
      </w:pPr>
      <w:r>
        <w:t>资源动作。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用户拥有案例教研权限，不代表拥有案例管理、统计、设置或其他园本教研功能权限。</w:t>
      </w:r>
    </w:p>
    <w:p>
      <w:pPr>
        <w:pStyle w:val="Heading2"/>
      </w:pPr>
      <w:r>
        <w:t>7.2 教研范围</w:t>
      </w:r>
    </w:p>
    <w:p>
      <w:pPr>
        <w:pStyle w:val="ListBullet"/>
      </w:pPr>
      <w:r>
        <w:t>园级教研：授权到全园或指定园区。</w:t>
      </w:r>
    </w:p>
    <w:p>
      <w:pPr>
        <w:pStyle w:val="ListBullet"/>
      </w:pPr>
      <w:r>
        <w:t>年级组教研：授权到指定年级组。</w:t>
      </w:r>
    </w:p>
    <w:p>
      <w:pPr>
        <w:pStyle w:val="ListBullet"/>
      </w:pPr>
      <w:r>
        <w:t>班级教研：授权到指定班级。</w:t>
      </w:r>
    </w:p>
    <w:p>
      <w:pPr>
        <w:pStyle w:val="ListBullet"/>
      </w:pPr>
      <w:r>
        <w:t>主班老师可单独开通案例教研权限，并仅访问本人班级或被邀请的教研。</w:t>
      </w:r>
    </w:p>
    <w:p>
      <w:pPr>
        <w:pStyle w:val="ListBullet"/>
      </w:pPr>
      <w:r>
        <w:t>跨班、跨年级参与必须通过邀请名单或额外范围授权。</w:t>
      </w:r>
    </w:p>
    <w:p>
      <w:pPr>
        <w:pStyle w:val="Heading2"/>
      </w:pPr>
      <w:r>
        <w:t>7.3 建议权限点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  <w:tblInd w:w="120" w:type="dxa"/>
      </w:tblPr>
      <w:tblGrid>
        <w:gridCol w:w="4552"/>
        <w:gridCol w:w="2404"/>
        <w:gridCol w:w="2404"/>
      </w:tblGrid>
      <w:tr>
        <w:trPr>
          <w:tblHeader w:val="true"/>
          <w:cantSplit/>
        </w:trPr>
        <w:tc>
          <w:tcPr>
            <w:tcW w:type="dxa" w:w="455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权限点</w:t>
            </w:r>
          </w:p>
        </w:tc>
        <w:tc>
          <w:tcPr>
            <w:tcW w:type="dxa" w:w="240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管理者/主持人</w:t>
            </w:r>
          </w:p>
        </w:tc>
        <w:tc>
          <w:tcPr>
            <w:tcW w:type="dxa" w:w="240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普通教师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research.create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research.edit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research.publish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research.end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research.view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按范围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topic.create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按设置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topic.reply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按设置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topic.moderate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member.view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member.remind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record.manage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transcript.create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minutes.generate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minutes.edit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result.generate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result.view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已发布后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archive.create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4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archive.download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是</w:t>
            </w:r>
          </w:p>
        </w:tc>
        <w:tc>
          <w:tcPr>
            <w:tcW w:type="dxa" w:w="2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按发布设置</w:t>
            </w:r>
          </w:p>
        </w:tc>
      </w:tr>
    </w:tbl>
    <w:p>
      <w:pPr>
        <w:spacing w:after="0"/>
      </w:pPr>
    </w:p>
    <w:p>
      <w:pPr>
        <w:pStyle w:val="Heading2"/>
      </w:pPr>
      <w:r>
        <w:t>7.4 后端校验要求</w:t>
      </w:r>
    </w:p>
    <w:p>
      <w:pPr>
        <w:pStyle w:val="ListBullet"/>
      </w:pPr>
      <w:r>
        <w:t>每个写接口必须校验权限点和教研范围。</w:t>
      </w:r>
    </w:p>
    <w:p>
      <w:pPr>
        <w:pStyle w:val="ListBullet"/>
      </w:pPr>
      <w:r>
        <w:t>每个状态变更接口必须校验当前状态和目标状态。</w:t>
      </w:r>
    </w:p>
    <w:p>
      <w:pPr>
        <w:pStyle w:val="ListBullet"/>
      </w:pPr>
      <w:r>
        <w:t>文件下载必须使用短时授权地址，不能只依赖前端隐藏。</w:t>
      </w:r>
    </w:p>
    <w:p>
      <w:pPr>
        <w:pStyle w:val="ListBullet"/>
      </w:pPr>
      <w:r>
        <w:t>话题、回复、纪要和成果编辑需记录操作日志。</w:t>
      </w:r>
    </w:p>
    <w:p>
      <w:pPr>
        <w:pStyle w:val="ListBullet"/>
      </w:pPr>
      <w:r>
        <w:t>权限变更后应及时失效缓存，避免越权访问。</w:t>
      </w:r>
    </w:p>
    <w:p>
      <w:pPr>
        <w:pStyle w:val="Heading1"/>
      </w:pPr>
      <w:r>
        <w:t>8. 核心数据对象建议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  <w:tblInd w:w="120" w:type="dxa"/>
      </w:tblPr>
      <w:tblGrid>
        <w:gridCol w:w="2889"/>
        <w:gridCol w:w="6471"/>
      </w:tblGrid>
      <w:tr>
        <w:trPr>
          <w:tblHeader w:val="true"/>
          <w:cantSplit/>
        </w:trPr>
        <w:tc>
          <w:tcPr>
            <w:tcW w:type="dxa" w:w="2889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对象</w:t>
            </w:r>
          </w:p>
        </w:tc>
        <w:tc>
          <w:tcPr>
            <w:tcW w:type="dxa" w:w="647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核心字段</w:t>
            </w:r>
          </w:p>
        </w:tc>
      </w:tr>
      <w:tr>
        <w:trPr>
          <w:cantSplit/>
        </w:trPr>
        <w:tc>
          <w:tcPr>
            <w:tcW w:type="dxa" w:w="28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</w:t>
            </w:r>
          </w:p>
        </w:tc>
        <w:tc>
          <w:tcPr>
            <w:tcW w:type="dxa" w:w="6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id、title、goal、scopeType、scopeIds、stage、status、progress、hostId、plannedTime、location</w:t>
            </w:r>
          </w:p>
        </w:tc>
      </w:tr>
      <w:tr>
        <w:trPr>
          <w:cantSplit/>
        </w:trPr>
        <w:tc>
          <w:tcPr>
            <w:tcW w:type="dxa" w:w="28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ResearchCase</w:t>
            </w:r>
          </w:p>
        </w:tc>
        <w:tc>
          <w:tcPr>
            <w:tcW w:type="dxa" w:w="6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researchId、caseId、sort</w:t>
            </w:r>
          </w:p>
        </w:tc>
      </w:tr>
      <w:tr>
        <w:trPr>
          <w:cantSplit/>
        </w:trPr>
        <w:tc>
          <w:tcPr>
            <w:tcW w:type="dxa" w:w="28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ResearchMember</w:t>
            </w:r>
          </w:p>
        </w:tc>
        <w:tc>
          <w:tcPr>
            <w:tcW w:type="dxa" w:w="6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researchId、userId、classId、researchRole、joinStatus、topicCount、replyCount</w:t>
            </w:r>
          </w:p>
        </w:tc>
      </w:tr>
      <w:tr>
        <w:trPr>
          <w:cantSplit/>
        </w:trPr>
        <w:tc>
          <w:tcPr>
            <w:tcW w:type="dxa" w:w="28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Topic</w:t>
            </w:r>
          </w:p>
        </w:tc>
        <w:tc>
          <w:tcPr>
            <w:tcW w:type="dxa" w:w="6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researchId、caseId、title、content、authorId、isPreset、isPinned、status</w:t>
            </w:r>
          </w:p>
        </w:tc>
      </w:tr>
      <w:tr>
        <w:trPr>
          <w:cantSplit/>
        </w:trPr>
        <w:tc>
          <w:tcPr>
            <w:tcW w:type="dxa" w:w="28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Reply</w:t>
            </w:r>
          </w:p>
        </w:tc>
        <w:tc>
          <w:tcPr>
            <w:tcW w:type="dxa" w:w="6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topicId、authorId、content、createdAt、status</w:t>
            </w:r>
          </w:p>
        </w:tc>
      </w:tr>
      <w:tr>
        <w:trPr>
          <w:cantSplit/>
        </w:trPr>
        <w:tc>
          <w:tcPr>
            <w:tcW w:type="dxa" w:w="28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Material</w:t>
            </w:r>
          </w:p>
        </w:tc>
        <w:tc>
          <w:tcPr>
            <w:tcW w:type="dxa" w:w="6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researchId、bizType、fileId、fileName、mimeType、size、uploaderId</w:t>
            </w:r>
          </w:p>
        </w:tc>
      </w:tr>
      <w:tr>
        <w:trPr>
          <w:cantSplit/>
        </w:trPr>
        <w:tc>
          <w:tcPr>
            <w:tcW w:type="dxa" w:w="28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Transcript</w:t>
            </w:r>
          </w:p>
        </w:tc>
        <w:tc>
          <w:tcPr>
            <w:tcW w:type="dxa" w:w="6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researchId、audioFileId、status、content、segments、version</w:t>
            </w:r>
          </w:p>
        </w:tc>
      </w:tr>
      <w:tr>
        <w:trPr>
          <w:cantSplit/>
        </w:trPr>
        <w:tc>
          <w:tcPr>
            <w:tcW w:type="dxa" w:w="28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MeetingMinutes</w:t>
            </w:r>
          </w:p>
        </w:tc>
        <w:tc>
          <w:tcPr>
            <w:tcW w:type="dxa" w:w="6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researchId、transcriptVersion、status、markdown、aiGeneratedAt、lastEditorId、version</w:t>
            </w:r>
          </w:p>
        </w:tc>
      </w:tr>
      <w:tr>
        <w:trPr>
          <w:cantSplit/>
        </w:trPr>
        <w:tc>
          <w:tcPr>
            <w:tcW w:type="dxa" w:w="28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CaseSummary</w:t>
            </w:r>
          </w:p>
        </w:tc>
        <w:tc>
          <w:tcPr>
            <w:tcW w:type="dxa" w:w="6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researchId、caseId、status、markdown、version</w:t>
            </w:r>
          </w:p>
        </w:tc>
      </w:tr>
      <w:tr>
        <w:trPr>
          <w:cantSplit/>
        </w:trPr>
        <w:tc>
          <w:tcPr>
            <w:tcW w:type="dxa" w:w="28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ResearchSummary</w:t>
            </w:r>
          </w:p>
        </w:tc>
        <w:tc>
          <w:tcPr>
            <w:tcW w:type="dxa" w:w="6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researchId、status、markdown、version</w:t>
            </w:r>
          </w:p>
        </w:tc>
      </w:tr>
      <w:tr>
        <w:trPr>
          <w:cantSplit/>
        </w:trPr>
        <w:tc>
          <w:tcPr>
            <w:tcW w:type="dxa" w:w="28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Archive</w:t>
            </w:r>
          </w:p>
        </w:tc>
        <w:tc>
          <w:tcPr>
            <w:tcW w:type="dxa" w:w="64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researchId、status、fileId、manifest、generatedAt</w:t>
            </w:r>
          </w:p>
        </w:tc>
      </w:tr>
    </w:tbl>
    <w:p>
      <w:pPr>
        <w:spacing w:after="0"/>
      </w:pPr>
    </w:p>
    <w:p>
      <w:pPr>
        <w:pStyle w:val="Heading1"/>
      </w:pPr>
      <w:r>
        <w:t>9. 接口建议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  <w:tblInd w:w="120" w:type="dxa"/>
      </w:tblPr>
      <w:tblGrid>
        <w:gridCol w:w="1677"/>
        <w:gridCol w:w="5562"/>
        <w:gridCol w:w="2121"/>
      </w:tblGrid>
      <w:tr>
        <w:trPr>
          <w:tblHeader w:val="true"/>
          <w:cantSplit/>
        </w:trPr>
        <w:tc>
          <w:tcPr>
            <w:tcW w:type="dxa" w:w="1677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方法</w:t>
            </w:r>
          </w:p>
        </w:tc>
        <w:tc>
          <w:tcPr>
            <w:tcW w:type="dxa" w:w="556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接口</w:t>
            </w:r>
          </w:p>
        </w:tc>
        <w:tc>
          <w:tcPr>
            <w:tcW w:type="dxa" w:w="2121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5364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POST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/research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创建教研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PUT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/research/{id}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编辑教研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POST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/research/{id}/publish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发布教研及预设话题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POST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/research/{id}/end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结束教研，进入现场记录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GET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/research/{id}/members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成员及活跃度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POST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/research/{id}/topics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新增话题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POST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/topics/{id}/replies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新增回复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POST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/research/{id}/materials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上传素材或会议资料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POST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/research/{id}/transcripts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创建录音转写任务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POST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/research/{id}/minutes/generate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AI 生成会议纪要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PUT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/research/{id}/minutes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编辑保存会议纪要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POST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/research/{id}/case-summaries/{caseId}/generate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生成案例小结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POST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/research/{id}/summary/generate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生成整次教研总结</w:t>
            </w:r>
          </w:p>
        </w:tc>
      </w:tr>
      <w:tr>
        <w:trPr>
          <w:cantSplit/>
        </w:trPr>
        <w:tc>
          <w:tcPr>
            <w:tcW w:type="dxa" w:w="16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POST</w:t>
            </w:r>
          </w:p>
        </w:tc>
        <w:tc>
          <w:tcPr>
            <w:tcW w:type="dxa" w:w="55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/research/{id}/archive</w:t>
            </w:r>
          </w:p>
        </w:tc>
        <w:tc>
          <w:tcPr>
            <w:tcW w:type="dxa" w:w="2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5364D"/>
                <w:sz w:val="18"/>
              </w:rPr>
              <w:t>创建归档包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异步任务接口建议返回 taskId，并提供统一任务状态查询或 WebSocket/SSE 推送。</w:t>
      </w:r>
    </w:p>
    <w:p>
      <w:pPr>
        <w:pStyle w:val="Heading1"/>
      </w:pPr>
      <w:r>
        <w:t>10. 非功能需求</w:t>
      </w:r>
    </w:p>
    <w:p>
      <w:pPr>
        <w:pStyle w:val="ListBullet"/>
      </w:pPr>
      <w:r>
        <w:t>页面首次可交互时间建议不超过 3 秒。</w:t>
      </w:r>
    </w:p>
    <w:p>
      <w:pPr>
        <w:pStyle w:val="ListBullet"/>
      </w:pPr>
      <w:r>
        <w:t>话题列表和成员列表需要分页或虚拟滚动。</w:t>
      </w:r>
    </w:p>
    <w:p>
      <w:pPr>
        <w:pStyle w:val="ListBullet"/>
      </w:pPr>
      <w:r>
        <w:t>大文件使用分片上传、断点续传和失败重试。</w:t>
      </w:r>
    </w:p>
    <w:p>
      <w:pPr>
        <w:pStyle w:val="ListBullet"/>
      </w:pPr>
      <w:r>
        <w:t>AI 任务需要幂等键，防止重复生成和重复计费。</w:t>
      </w:r>
    </w:p>
    <w:p>
      <w:pPr>
        <w:pStyle w:val="ListBullet"/>
      </w:pPr>
      <w:r>
        <w:t>Markdown 内容需防止 XSS，展示时使用安全白名单渲染。</w:t>
      </w:r>
    </w:p>
    <w:p>
      <w:pPr>
        <w:pStyle w:val="ListBullet"/>
      </w:pPr>
      <w:r>
        <w:t>所有上传文件需要病毒扫描、内容安全检测和访问审计。</w:t>
      </w:r>
    </w:p>
    <w:p>
      <w:pPr>
        <w:pStyle w:val="ListBullet"/>
      </w:pPr>
      <w:r>
        <w:t>关键操作保留操作人、时间、前后状态和失败原因。</w:t>
      </w:r>
    </w:p>
    <w:p>
      <w:pPr>
        <w:pStyle w:val="ListBullet"/>
      </w:pPr>
      <w:r>
        <w:t>支持桌面端和手机端响应式布局。</w:t>
      </w:r>
    </w:p>
    <w:p>
      <w:pPr>
        <w:pStyle w:val="Heading1"/>
      </w:pPr>
      <w:r>
        <w:t>11. 验收标准</w:t>
      </w:r>
    </w:p>
    <w:p>
      <w:pPr>
        <w:pStyle w:val="ListNumber"/>
      </w:pPr>
      <w:r>
        <w:t>列表和详情均只显示四个阶段，状态和进度完全一致。</w:t>
      </w:r>
    </w:p>
    <w:p>
      <w:pPr>
        <w:pStyle w:val="ListNumber"/>
      </w:pPr>
      <w:r>
        <w:t>在线研讨阶段，现场记录和成果文件置灰且不可点击。</w:t>
      </w:r>
    </w:p>
    <w:p>
      <w:pPr>
        <w:pStyle w:val="ListNumber"/>
      </w:pPr>
      <w:r>
        <w:t>现场记录阶段，成果文件置灰且不可点击。</w:t>
      </w:r>
    </w:p>
    <w:p>
      <w:pPr>
        <w:pStyle w:val="ListNumber"/>
      </w:pPr>
      <w:r>
        <w:t>教师端只显示教研主题、在线研讨和成果文件三个入口。</w:t>
      </w:r>
    </w:p>
    <w:p>
      <w:pPr>
        <w:pStyle w:val="ListNumber"/>
      </w:pPr>
      <w:r>
        <w:t>教师端不显示创建、结束教研、现场资料编辑和成果生成按钮。</w:t>
      </w:r>
    </w:p>
    <w:p>
      <w:pPr>
        <w:pStyle w:val="ListNumber"/>
      </w:pPr>
      <w:r>
        <w:t>参与设置可新增、查看和删除管理员预设话题。</w:t>
      </w:r>
    </w:p>
    <w:p>
      <w:pPr>
        <w:pStyle w:val="ListNumber"/>
      </w:pPr>
      <w:r>
        <w:t>发布后的预设话题带“管理员预设”标识。</w:t>
      </w:r>
    </w:p>
    <w:p>
      <w:pPr>
        <w:pStyle w:val="ListNumber"/>
      </w:pPr>
      <w:r>
        <w:t>参与成员通过右侧抽屉展示，不再出现在业务 Tab 中。</w:t>
      </w:r>
    </w:p>
    <w:p>
      <w:pPr>
        <w:pStyle w:val="ListNumber"/>
      </w:pPr>
      <w:r>
        <w:t>成员抽屉显示头像、姓名、班级、话题数、回复数和活跃标识。</w:t>
      </w:r>
    </w:p>
    <w:p>
      <w:pPr>
        <w:pStyle w:val="ListNumber"/>
      </w:pPr>
      <w:r>
        <w:t>未完成录音转写时，AI 生成会议纪要按钮不可用。</w:t>
      </w:r>
    </w:p>
    <w:p>
      <w:pPr>
        <w:pStyle w:val="ListNumber"/>
      </w:pPr>
      <w:r>
        <w:t>AI 会议纪要生成前不能手工输入；生成后可编辑 Markdown。</w:t>
      </w:r>
    </w:p>
    <w:p>
      <w:pPr>
        <w:pStyle w:val="ListNumber"/>
      </w:pPr>
      <w:r>
        <w:t>未生成会议纪要时不能进入成果沉淀。</w:t>
      </w:r>
    </w:p>
    <w:p>
      <w:pPr>
        <w:pStyle w:val="ListNumber"/>
      </w:pPr>
      <w:r>
        <w:t>全部案例小结完成前，教研总结按钮不可用。</w:t>
      </w:r>
    </w:p>
    <w:p>
      <w:pPr>
        <w:pStyle w:val="ListNumber"/>
      </w:pPr>
      <w:r>
        <w:t>教研总结完成前，归档包按钮不可用。</w:t>
      </w:r>
    </w:p>
    <w:p>
      <w:pPr>
        <w:pStyle w:val="ListNumber"/>
      </w:pPr>
      <w:r>
        <w:t>归档完成后状态为已完成、进度为 100%，不出现教研报告。</w:t>
      </w:r>
    </w:p>
    <w:p>
      <w:pPr>
        <w:pStyle w:val="ListNumber"/>
      </w:pPr>
      <w:r>
        <w:t>活动方案下显示“上传教研素材”，支持多类文件。</w:t>
      </w:r>
    </w:p>
    <w:p>
      <w:pPr>
        <w:pStyle w:val="ListNumber"/>
      </w:pPr>
      <w:r>
        <w:t>所有“主题依据”文案均改为“教研目标”。</w:t>
      </w:r>
    </w:p>
    <w:p>
      <w:pPr>
        <w:pStyle w:val="ListNumber"/>
      </w:pPr>
      <w:r>
        <w:t>后端对越权写操作返回 403，对非法状态流转返回 409。</w:t>
      </w:r>
    </w:p>
    <w:p>
      <w:pPr>
        <w:pStyle w:val="Heading1"/>
      </w:pPr>
      <w:r>
        <w:t>12. 本期不实现</w:t>
      </w:r>
    </w:p>
    <w:p>
      <w:pPr>
        <w:pStyle w:val="ListBullet"/>
      </w:pPr>
      <w:r>
        <w:t>将活跃度直接用于绩效考核。</w:t>
      </w:r>
    </w:p>
    <w:p>
      <w:pPr>
        <w:pStyle w:val="ListBullet"/>
      </w:pPr>
      <w:r>
        <w:t>实时音视频会议。</w:t>
      </w:r>
    </w:p>
    <w:p>
      <w:pPr>
        <w:pStyle w:val="ListBullet"/>
      </w:pPr>
      <w:r>
        <w:t>自动识别线下会议是否真正召开。</w:t>
      </w:r>
    </w:p>
    <w:p>
      <w:pPr>
        <w:pStyle w:val="ListBullet"/>
      </w:pPr>
      <w:r>
        <w:t>复杂的 AI 质量评分。</w:t>
      </w:r>
    </w:p>
    <w:p>
      <w:pPr>
        <w:pStyle w:val="ListBullet"/>
      </w:pPr>
      <w:r>
        <w:t>面向外部人员的公开社区。</w:t>
      </w:r>
    </w:p>
    <w:p>
      <w:pPr>
        <w:pStyle w:val="ListBullet"/>
      </w:pPr>
      <w:r>
        <w:t>教研报告生成。</w:t>
      </w:r>
    </w:p>
    <w:p>
      <w:pPr>
        <w:pStyle w:val="Heading1"/>
      </w:pPr>
      <w:r>
        <w:t>13. 演示说明</w:t>
      </w:r>
    </w:p>
    <w:p>
      <w:pPr>
        <w:keepLines w:val="0"/>
      </w:pPr>
      <w:r>
        <w:rPr>
          <w:rFonts w:ascii="Calibri" w:hAnsi="Calibri" w:eastAsia="Microsoft YaHei"/>
          <w:color w:val="25364D"/>
          <w:sz w:val="21"/>
        </w:rPr>
        <w:t>当前演示为前端交互原型，不连接真实后端。弹窗、状态切换、录音转写、AI 纪要、成果生成和归档均使用本地模拟数据，用于确认产品流程和开发范围。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58A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58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58A"/>
        <w:sz w:val="17"/>
      </w:rPr>
      <w:t>方桌云 · 案例教研优化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536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案例教研优化需求说明书</dc:title>
  <dc:subject>案例教研流程、权限、AI会议纪要与资料归档</dc:subject>
  <dc:creator>方桌云产品设计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