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spacing w:after="40"/>
      </w:pPr>
      <w:r>
        <w:rPr>
          <w:rFonts w:ascii="Aptos" w:cs="Aptos" w:hAnsi="Aptos" w:eastAsia="Aptos"/>
          <w:b/>
          <w:bCs/>
          <w:color w:val="365F91"/>
          <w:sz w:val="30"/>
          <w:szCs w:val="30"/>
        </w:rPr>
        <w:t xml:space="preserve">TABELLA DI CONTROLLO v3.1 - REVISIONE DELLE RELAZIONI</w:t>
      </w:r>
    </w:p>
    <w:p>
      <w:pPr>
        <w:pStyle w:val="Corpo"/>
        <w:spacing w:after="80" w:line="250" w:lineRule="auto"/>
      </w:pPr>
      <w:r>
        <w:rPr>
          <w:rFonts w:ascii="Aptos" w:cs="Aptos" w:hAnsi="Aptos" w:eastAsia="Aptos"/>
          <w:sz w:val="17"/>
          <w:szCs w:val="17"/>
        </w:rPr>
        <w:t xml:space="preserve">Per ogni correzione: che cosa è stato modificato, dove, l'esito della verifica indipendente e che cosa resta del giudizio. «APPLICATA» significa che cambia un calcolo, una tabella o la conclusione; un'avvertenza da sola non è una correzione. E = Eurocasa, M = Mercurio. Nessun valore dei casi reali compare in questa tabella. HG-2 e DEMO restano NON approvate.</w:t>
      </w:r>
    </w:p>
    <w:tbl>
      <w:tblPr>
        <w:tblW w:w="9700" w:type="dxa"/>
        <w:jc w:val="center"/>
        <w:tblLayout w:type="fixed"/>
      </w:tblPr>
      <w:tblGrid>
        <w:gridCol w:w="330"/>
        <w:gridCol w:w="1350"/>
        <w:gridCol w:w="2400"/>
        <w:gridCol w:w="800"/>
        <w:gridCol w:w="1050"/>
        <w:gridCol w:w="1850"/>
        <w:gridCol w:w="1920"/>
      </w:tblGrid>
      <w:tr>
        <w:trPr>
          <w:cantSplit/>
          <w:tblHeader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4"/>
                <w:szCs w:val="14"/>
              </w:rPr>
              <w:t xml:space="preserve">N.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4"/>
                <w:szCs w:val="14"/>
              </w:rPr>
              <w:t xml:space="preserve">Correzione richiesta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4"/>
                <w:szCs w:val="14"/>
              </w:rPr>
              <w:t xml:space="preserve">Modifica effettuata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4"/>
                <w:szCs w:val="14"/>
              </w:rPr>
              <w:t xml:space="preserve">Pagina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4"/>
                <w:szCs w:val="14"/>
              </w:rPr>
              <w:t xml:space="preserve">Esito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4"/>
                <w:szCs w:val="14"/>
              </w:rPr>
              <w:t xml:space="preserve">Verifica indipendente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4"/>
                <w:szCs w:val="14"/>
              </w:rPr>
              <w:t xml:space="preserve">Effetto residuo sul giudizio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1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Separare il rapporto semplificato debito/EBITDA dal test ministeriale; aggiornare il riferimento al decreto del 23/04/2026.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Indicatore rinominato «rapporto semplificato» (fasce indicative 1, 3, 5 solo di riferimento). Test ministeriale A/B (debito da servire / flussi annui) come scheda separata: NON ESEGUITO in Eurocasa e Mercurio (voci mancanti elencate), ESEGUITO nella DEMO. Riferimento aggiornato al decreto 23/04/2026 (B.U. n. 10 del 31/05/2026), che aggiorna quello del 28/09/2021.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E: p. 5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M: p. 5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Schede: App. A, E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4"/>
                <w:szCs w:val="14"/>
              </w:rPr>
              <w:t xml:space="preserve">APPLICATA CON LIMITE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Revisore indipendente: decreto, struttura A/B e fasce CONFERMATI su fonte pubblica (ilcaso.it); entrata in vigore NON VERIFICABILE; Bollettino non letto.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Nessun rapporto ministeriale è attribuito ai casi reali: i giudizi si fondano sul solo rapporto semplificato, dichiarato tale. Il test ministeriale richiede situazione corrente, scadenze e libro cespiti.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2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Eurocasa: non equiparare importo delle garanzie e debito garantito; non presentare il calo dei crediti come stralcio accertato; riferire il giudizio alla gestione storica.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Garanzie reali: importo dei conti d'ordine distinto dal debito dichiarato assistito da garanzia reale (nota); capienza per i chirografari «non determinabile». Calo dei crediti: causa «non accertata» (incasso, cessione, compensazione o stralcio). Giudizio di sostenibilità riferito a «gestione storica 2021-2022».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E: pp. 1-4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4"/>
                <w:szCs w:val="14"/>
              </w:rPr>
              <w:t xml:space="preserve">APPLICATA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CONFERMATI i valori (garanzie, debito garantito, calo crediti); corretti rimandi di pagina (scritture p. 15, non p. 13) e un riferimento interno (scheda A7); segnalata la quota di 551 non ripartita dalla nota.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Sostenibilità ROSSO invariata ma ora limitata al 2021-2022; fattibilità NON CONCLUDENTE invariata. Conclusione NON DEFINITIVA: mancano perizia, debito garantito per posizione, tesoreria.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3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Mercurio: distinguere incasso, compensazione e recupero degli anticipi; documentare tempi e recuperabilità; verificare la liquidità utilizzabile.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Scenari riscritti: M2 incasso del prestito, M3 compensazione (limite superiore sulle sole controparti note, riduce il debito ma non crea cassa), M4 incasso di prestito e anticipi, M5 liquidazione. Tempi e recuperabilità dichiarati NON DOCUMENTATI (anticipi fermi da tre esercizi, prestito in crescita). Liquidità utilizzabile limitata alla banca; contanti non verificati; rapporto anche con sola banca.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M: pp. 1-5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4"/>
                <w:szCs w:val="14"/>
              </w:rPr>
              <w:t xml:space="preserve">APPLICATA CON LIMITE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Revisore indipendente: saldi, rapporti (10,8x; 5,0x; 7,7x; 12,2x) e scenari M2-M4 RICALCOLATI e CONFERMATI; corretto un rimando di pagina (T04 p. 2).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Sostenibilità da GIALLO (v3) a ROSSO (flusso più prudente oltre 5); fattibilità CONDIZIONATA e provvisoria. NON DEFINITIVA: prestito, anticipi, tesoreria e ruoli non documentati.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4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Eliminare l'equivalenza EBITDA contabile = cassa disponibile; correggere l'ipotesi di duplicazione tra finanziamenti soci e debiti bancari garantiti.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In tutte le relazioni: «l'EBITDA non è cassa»; criterio «flusso di cassa disponibile» NON VERIFICATO e tesoreria tra i dati decisivi. Duplicazione corretta: possibile solo se il conto soci nasce da rate o escussioni pagate dai soci; la semplice garanzia dei soci non duplica il debito.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E: p. 1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M: p. 1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M: sez. 5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4"/>
                <w:szCs w:val="14"/>
              </w:rPr>
              <w:t xml:space="preserve">APPLICATA CON LIMITE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Verificato nel testo di entrambe le relazioni; nessun numero cambia.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La sostenibilità finanziaria resta non verificata finché mancano estratti conto e rendiconto: effetto dichiarato nello stato «NON DEFINITIVA». Causale del conto soci non acquisita.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5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Mantenere la rettifica degli ammortamenti come simulazione finché non verificata sul libro cespiti.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PN rettificato rinominato SIMULAZIONE, con intervallo (massimo e alternativa con il veicolo del 2025) e fuori dal semaforo, che usa il PN contabile. L'EBITDA non cambia.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M: pp. 2-4; App. A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4"/>
                <w:szCs w:val="14"/>
              </w:rPr>
              <w:t xml:space="preserve">APPLICATA CON LIMITE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Revisore indipendente: importi CONFERMATI. Scoperta nuova: nel 2024 il valore lordo delle immobilizzazioni scende di 19.315,52 senza B10 e senza variazione dei fondi; la simulazione può duplicare una rettifica già avvenuta. Testo corretto.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Il segno del PN rettificato resta non determinato; il semaforo non lo usa. Serve il libro cespiti e il movimento 2024 delle immobilizzazioni.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6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DEMO: esplicitare il calcolo del flusso dopo la vendita dell'immobile; integrare scadenze e tesoreria; correggere la regola sui fondi di ammortamento.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Nota di sezione 7 con il calcolo passo per passo (canone, investimenti, imposte, interessi azzerati, proventi che estinguono mutuo e fido); sezione 7-bis con scadenze (scaduto, entro 12 mesi, oltre) e budget trimestrale; regola sui fondi: ammortamento mancante mai dedotto dal confronto dei fondi, incoerenza da chiarire sul libro cespiti.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DEMO: pp. 1-4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4"/>
                <w:szCs w:val="14"/>
              </w:rPr>
              <w:t xml:space="preserve">APPLICATA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Revisore indipendente: S1 15,0%, S2 80,8%, test A/B 11,8x, scadenze e tesoreria RICALCOLATI e CONFERMATI. Corretti: S3 reso omogeneo (stessa liquidità utilizzabile, 76,7%) e data di elaborazione allineata al decreto.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DEMO: sostenibilità ROSSO (era GIALLO), qualità ALTA, fattibilità CONDIZIONATA e definitiva. La DEMO non è ancora approvata (HG-2).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7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Aggiungere alla tabella di controllo la verifica indipendente e l'effetto residuo sul giudizio.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Questo documento: due colonne nuove. La verifica è affidata a un revisore che non ha scritto il motore né i costruttori e ha ricalcolato dalle fonti.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-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4"/>
                <w:szCs w:val="14"/>
              </w:rPr>
              <w:t xml:space="preserve">APPLICATA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Revisione eseguita su tre relazioni; 34 verifiche confermate, 7 discrepanze corrette, 3 punti non verificabili.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Residui: entrata in vigore del decreto; causa della trasformazione di Eurocasa; Bollettino non letto.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8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Nuovo modulo semaforo: sostenibilità, qualità dei dati, fattibilità; dati decisivi mancanti impediscono la conclusione definitiva.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Modulo analisi_crisi/semaforo_v3.py (la v2 resta invariata e importabile). Tre giudizi nella sezione 1 e stato «DEFINITIVA / NON DEFINITIVA». Con un dato decisivo mancante la fattibilità non può essere né percorribile né non percorribile. Rapporto valutato sul flusso più prudente.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E: p. 1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M: p. 1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4"/>
                <w:szCs w:val="14"/>
              </w:rPr>
              <w:t xml:space="preserve">APPLICATA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Test automatici del modulo (7 gruppi) superati; revisore indipendente: terminologia «semplificato», «simulazione», «NON DEFINITIVA» CONFERMATA nelle relazioni.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Le soglie restano parametri interni; la loro approvazione è una decisione dell'avvocato (HG-2). La riforma del semaforo nell'interfaccia dell'app non è stata fatta (HG-3).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9</w:t>
            </w:r>
          </w:p>
        </w:tc>
        <w:tc>
          <w:tcPr>
            <w:tcW w:type="dxa" w:w="13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Mantenuti i requisiti della v3: corpo di cinque pagine, appendici, tabelle non spezzate, nessuna variabile non compilata.</w:t>
            </w:r>
          </w:p>
        </w:tc>
        <w:tc>
          <w:tcPr>
            <w:tcW w:type="dxa" w:w="2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Corpo di 5 pagine (E), 5 (M), 4 (DEMO); norme in sintesi nel corpo e testo completo in App. E; tabelle lunghe interrompibili solo tra le righe.</w:t>
            </w:r>
          </w:p>
        </w:tc>
        <w:tc>
          <w:tcPr>
            <w:tcW w:type="dxa" w:w="8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E: pp. 1-5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M: pp. 1-5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4"/>
                <w:szCs w:val="14"/>
              </w:rPr>
              <w:t xml:space="preserve">APPLICATA CON LIMITE</w:t>
            </w:r>
          </w:p>
        </w:tc>
        <w:tc>
          <w:tcPr>
            <w:tcW w:type="dxa" w:w="18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Controllo automatico di segnaposto, None e nan superato; test di impaginazione superato.</w:t>
            </w:r>
          </w:p>
        </w:tc>
        <w:tc>
          <w:tcPr>
            <w:tcW w:type="dxa" w:w="192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4"/>
                <w:szCs w:val="14"/>
              </w:rPr>
              <w:t xml:space="preserve">Impaginazione verificata con LibreOffice (font sostituito): in Word può slittare di qualche riga.</w:t>
            </w:r>
          </w:p>
        </w:tc>
      </w:tr>
    </w:tbl>
    <w:p>
      <w:pPr>
        <w:pStyle w:val="Corpo"/>
        <w:spacing w:after="40" w:line="200" w:lineRule="auto"/>
      </w:pPr>
      <w:r>
        <w:rPr>
          <w:rFonts w:ascii="Aptos" w:cs="Aptos" w:hAnsi="Aptos" w:eastAsia="Aptos"/>
        </w:rPr>
        <w:t xml:space="preserve"/>
      </w:r>
    </w:p>
    <w:sectPr>
      <w:headerReference w:type="default" r:id="rId4"/>
      <w:footerReference w:type="default" r:id="rId5"/>
      <w:pgSz w:w="11906" w:h="16838" w:orient="portrait"/>
      <w:pgMar w:top="1000" w:right="900" w:bottom="850" w:left="900" w:header="500" w:footer="4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  <w:lang w:val="en-US"/>
      </w:rPr>
      <w:t xml:space="preserve">Preanalisi CNC | Pagina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ile importato 2"/>
  </w:abstractNum>
  <w:abstractNum w:abstractNumId="3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0"/>
      <w:szCs w:val="30"/>
      <w:u w:val="none" w:color="365f91"/>
      <w:shd w:val="nil" w:color="auto" w:fill="auto"/>
      <w:vertAlign w:val="baseline"/>
      <w:lang w:val="it-IT"/>
      <w14:textOutline>
        <w14:noFill/>
      </w14:textOutline>
      <w14:textFill>
        <w14:solidFill>
          <w14:srgbClr w14:val="365F91"/>
        </w14:solidFill>
      </w14:textFill>
    </w:rPr>
  </w:style>
  <w:style w:type="paragraph" w:styleId="Intestazione 2">
    <w:name w:val="Intestazione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5"/>
      <w:szCs w:val="25"/>
      <w:u w:val="none" w:color="4f81bd"/>
      <w:shd w:val="nil" w:color="auto" w:fill="auto"/>
      <w:vertAlign w:val="baseline"/>
      <w:lang w:val="it-IT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