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spacing w:after="40"/>
      </w:pPr>
      <w:r>
        <w:rPr>
          <w:rFonts w:ascii="Aptos" w:cs="Aptos" w:hAnsi="Aptos" w:eastAsia="Aptos"/>
          <w:b/>
          <w:bCs/>
          <w:color w:val="365F91"/>
          <w:sz w:val="30"/>
          <w:szCs w:val="30"/>
        </w:rPr>
        <w:t xml:space="preserve">TABELLA DI CONTROLLO - REVISIONE v3 DELLE RELAZIONI</w:t>
      </w:r>
    </w:p>
    <w:p>
      <w:pPr>
        <w:pStyle w:val="Corpo"/>
        <w:spacing w:after="80" w:line="250" w:lineRule="auto"/>
      </w:pPr>
      <w:r>
        <w:rPr>
          <w:rFonts w:ascii="Aptos" w:cs="Aptos" w:hAnsi="Aptos" w:eastAsia="Aptos"/>
          <w:sz w:val="17"/>
          <w:szCs w:val="17"/>
        </w:rPr>
        <w:t xml:space="preserve">Per ogni correzione richiesta: che cosa è stato modificato nel calcolo o nella conclusione, in quale pagina, e che cosa resta impedito. «APPLICATA» significa che cambia un calcolo, una tabella o la conclusione; un'avvertenza da sola non è contata come correzione applicata. E = Eurocasa, M = Mercurio. Nessun valore dei casi reali compare in questa tabella.</w:t>
      </w:r>
    </w:p>
    <w:tbl>
      <w:tblPr>
        <w:tblW w:w="9700" w:type="dxa"/>
        <w:jc w:val="center"/>
        <w:tblLayout w:type="fixed"/>
      </w:tblPr>
      <w:tblGrid>
        <w:gridCol w:w="400"/>
        <w:gridCol w:w="1700"/>
        <w:gridCol w:w="3050"/>
        <w:gridCol w:w="1050"/>
        <w:gridCol w:w="1250"/>
        <w:gridCol w:w="2250"/>
      </w:tblGrid>
      <w:tr>
        <w:trPr>
          <w:cantSplit/>
          <w:tblHeader/>
        </w:trPr>
        <w:tc>
          <w:tcPr>
            <w:tcW w:type="dxa" w:w="4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E2F3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b/>
                <w:bCs/>
                <w:sz w:val="15"/>
                <w:szCs w:val="15"/>
              </w:rPr>
              <w:t xml:space="preserve">N.</w:t>
            </w:r>
          </w:p>
        </w:tc>
        <w:tc>
          <w:tcPr>
            <w:tcW w:type="dxa" w:w="17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E2F3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b/>
                <w:bCs/>
                <w:sz w:val="15"/>
                <w:szCs w:val="15"/>
              </w:rPr>
              <w:t xml:space="preserve">Correzione richiesta</w:t>
            </w:r>
          </w:p>
        </w:tc>
        <w:tc>
          <w:tcPr>
            <w:tcW w:type="dxa" w:w="3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E2F3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b/>
                <w:bCs/>
                <w:sz w:val="15"/>
                <w:szCs w:val="15"/>
              </w:rPr>
              <w:t xml:space="preserve">Modifica effettuata</w:t>
            </w:r>
          </w:p>
        </w:tc>
        <w:tc>
          <w:tcPr>
            <w:tcW w:type="dxa" w:w="1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E2F3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b/>
                <w:bCs/>
                <w:sz w:val="15"/>
                <w:szCs w:val="15"/>
              </w:rPr>
              <w:t xml:space="preserve">Pagina</w:t>
            </w:r>
          </w:p>
        </w:tc>
        <w:tc>
          <w:tcPr>
            <w:tcW w:type="dxa" w:w="12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E2F3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b/>
                <w:bCs/>
                <w:sz w:val="15"/>
                <w:szCs w:val="15"/>
              </w:rPr>
              <w:t xml:space="preserve">Esito</w:t>
            </w:r>
          </w:p>
        </w:tc>
        <w:tc>
          <w:tcPr>
            <w:tcW w:type="dxa" w:w="22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E2F3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b/>
                <w:bCs/>
                <w:sz w:val="15"/>
                <w:szCs w:val="15"/>
              </w:rPr>
              <w:t xml:space="preserve">Impedimento o limite residuo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1</w:t>
            </w:r>
          </w:p>
        </w:tc>
        <w:tc>
          <w:tcPr>
            <w:tcW w:type="dxa" w:w="17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Eurocasa: normalizzare gli oneri straordinari della nota integrativa 2021; mostrare ogni rettifica e l'effetto sul margine; se manca il 2022, dichiararne l'impatto sul giudizio.</w:t>
            </w:r>
          </w:p>
        </w:tc>
        <w:tc>
          <w:tcPr>
            <w:tcW w:type="dxa" w:w="3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Tabella di normalizzazione 2021 con quattro rettifiche quantificate (oneri straordinari, contributi, sopravvenienze, vendite di merci da smobilizzo) e margine progressivo riga per riga; due rettifiche non quantificabili elencate. Per il 2022: ipotesi H1 etichettata IPOTESI e impatto sul giudizio in tre punti.</w:t>
            </w:r>
          </w:p>
        </w:tc>
        <w:tc>
          <w:tcPr>
            <w:tcW w:type="dxa" w:w="1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E: pp. 2-3</w:t>
            </w:r>
          </w:p>
        </w:tc>
        <w:tc>
          <w:tcPr>
            <w:tcW w:type="dxa" w:w="12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FEB9C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/>
                <w:bCs/>
                <w:color w:val="7F6000"/>
                <w:sz w:val="15"/>
                <w:szCs w:val="15"/>
              </w:rPr>
              <w:t xml:space="preserve">APPLICATA CON LIMITE</w:t>
            </w:r>
          </w:p>
        </w:tc>
        <w:tc>
          <w:tcPr>
            <w:tcW w:type="dxa" w:w="22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La nota non indica l'importo per componente (IMU/TARI, stralci di attivo): l'EBITDA normalizzato 2021 è un limite superiore. Il dettaglio 2022 non esiste: il 2022 non entra nel giudizio come dato.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2</w:t>
            </w:r>
          </w:p>
        </w:tc>
        <w:tc>
          <w:tcPr>
            <w:tcW w:type="dxa" w:w="17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Eliminare la classificazione automatica «EBITDA positivo = crisi finanziaria; negativo = crisi industriale» e ricostruire le cause.</w:t>
            </w:r>
          </w:p>
        </w:tc>
        <w:tc>
          <w:tcPr>
            <w:tcW w:type="dxa" w:w="3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Regola assente dal motore v3 (un test automatico la esclude). La sezione 3 ricostruisce le cause da evidenze, con stato FATTO / INFERENZA / IPOTESI e fonte (sette cause per Eurocasa, cinque per Mercurio).</w:t>
            </w:r>
          </w:p>
        </w:tc>
        <w:tc>
          <w:tcPr>
            <w:tcW w:type="dxa" w:w="1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E: p. 2</w:t>
            </w:r>
          </w:p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M: p. 2</w:t>
            </w:r>
          </w:p>
        </w:tc>
        <w:tc>
          <w:tcPr>
            <w:tcW w:type="dxa" w:w="12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C6EFCE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/>
                <w:bCs/>
                <w:color w:val="006100"/>
                <w:sz w:val="15"/>
                <w:szCs w:val="15"/>
              </w:rPr>
              <w:t xml:space="preserve">APPLICATA</w:t>
            </w:r>
          </w:p>
        </w:tc>
        <w:tc>
          <w:tcPr>
            <w:tcW w:type="dxa" w:w="22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Le cause derivano solo dai documenti: manca l'intervista al liquidatore o all'imprenditore (indicata come IPOTESI da verificare).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3</w:t>
            </w:r>
          </w:p>
        </w:tc>
        <w:tc>
          <w:tcPr>
            <w:tcW w:type="dxa" w:w="17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Non qualificare come aggiornati documenti del 2020; distinguere data di acquisizione, data del documento, periodo economico.</w:t>
            </w:r>
          </w:p>
        </w:tc>
        <w:tc>
          <w:tcPr>
            <w:tcW w:type="dxa" w:w="3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La sezione 2 riporta le tre date per ogni documento. Ruoli, CAI, CRIF e CTC (ottobre-novembre 2020) e visura (2022) sono STORICO non aggiornato; nessuna relazione usa «AGGIORNATO» per dati del 2020. Corretto l'esito «nessun dato» di CAI, CRIF e CTC, prima presentato senza data.</w:t>
            </w:r>
          </w:p>
        </w:tc>
        <w:tc>
          <w:tcPr>
            <w:tcW w:type="dxa" w:w="1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E: p. 1</w:t>
            </w:r>
          </w:p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M: p. 1</w:t>
            </w:r>
          </w:p>
        </w:tc>
        <w:tc>
          <w:tcPr>
            <w:tcW w:type="dxa" w:w="12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FEB9C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/>
                <w:bCs/>
                <w:color w:val="7F6000"/>
                <w:sz w:val="15"/>
                <w:szCs w:val="15"/>
              </w:rPr>
              <w:t xml:space="preserve">APPLICATA CON LIMITE</w:t>
            </w:r>
          </w:p>
        </w:tc>
        <w:tc>
          <w:tcPr>
            <w:tcW w:type="dxa" w:w="22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La data di acquisizione è quella di salvataggio nella cartella del caso: la ricezione dal cliente non è tracciata. Serve un registro dei caricamenti nell'app (non ancora costruito).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4</w:t>
            </w:r>
          </w:p>
        </w:tc>
        <w:tc>
          <w:tcPr>
            <w:tcW w:type="dxa" w:w="17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Sostituire «massa passiva = max(bilancio, ruoli)» con una riconciliazione per creditore e posizione; se impossibile, debito provvisorio con omissioni e duplicazioni.</w:t>
            </w:r>
          </w:p>
        </w:tc>
        <w:tc>
          <w:tcPr>
            <w:tcW w:type="dxa" w:w="3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Formula eliminata. Tabella per creditore e posizione, riconciliazione per classe (Eurocasa: scritture 2021 contro ruoli 2020; Mercurio: 2025 contro 2024), stato PROVVISORIA, elenco di omissioni e duplicazioni possibili. Emerso che i ruoli 2020 non sono sommabili alle scritture 2021.</w:t>
            </w:r>
          </w:p>
        </w:tc>
        <w:tc>
          <w:tcPr>
            <w:tcW w:type="dxa" w:w="1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E: pp. 3-4</w:t>
            </w:r>
          </w:p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M: pp. 3-4</w:t>
            </w:r>
          </w:p>
        </w:tc>
        <w:tc>
          <w:tcPr>
            <w:tcW w:type="dxa" w:w="12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FEB9C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/>
                <w:bCs/>
                <w:color w:val="7F6000"/>
                <w:sz w:val="15"/>
                <w:szCs w:val="15"/>
              </w:rPr>
              <w:t xml:space="preserve">APPLICATA CON LIMITE</w:t>
            </w:r>
          </w:p>
        </w:tc>
        <w:tc>
          <w:tcPr>
            <w:tcW w:type="dxa" w:w="22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Corrispondenza cartella per cartella non dimostrabile (scritture aggregate); per Mercurio nessun estratto di ruolo. Il debito resta PROVVISORIO.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5</w:t>
            </w:r>
          </w:p>
        </w:tc>
        <w:tc>
          <w:tcPr>
            <w:tcW w:type="dxa" w:w="17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Mercurio: eliminare gli zeri associati a dati mancanti; verificare ammortamenti 2024, composizione di crediti e liquidità; valutare l'adeguatezza del patrimonio.</w:t>
            </w:r>
          </w:p>
        </w:tc>
        <w:tc>
          <w:tcPr>
            <w:tcW w:type="dxa" w:w="3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«non disponibile» al posto degli zeri (rimanenze, compenso, ruoli, Centrale Rischi). Ammortamenti 2024: voce B10 assente e fondi invariati, quindi zero è un fatto contabile con effetto su risultato e patrimonio (stima). Crediti e liquidità scomposti per voce; patrimonio valutato per adeguatezza (rettificato, attivo di recupero incerto, debito pubblico). Emerse sopravvenienze 2024 che alterano l'EBITDA.</w:t>
            </w:r>
          </w:p>
        </w:tc>
        <w:tc>
          <w:tcPr>
            <w:tcW w:type="dxa" w:w="1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M: pp. 2-4</w:t>
            </w:r>
          </w:p>
        </w:tc>
        <w:tc>
          <w:tcPr>
            <w:tcW w:type="dxa" w:w="12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FEB9C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/>
                <w:bCs/>
                <w:color w:val="7F6000"/>
                <w:sz w:val="15"/>
                <w:szCs w:val="15"/>
              </w:rPr>
              <w:t xml:space="preserve">APPLICATA CON LIMITE</w:t>
            </w:r>
          </w:p>
        </w:tc>
        <w:tc>
          <w:tcPr>
            <w:tcW w:type="dxa" w:w="22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Ammortamento 2024 stimato, non documentato; rimanenze non rilevate; il contante richiede un inventario di cassa; il bilancio è provvisorio e non depositato.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6</w:t>
            </w:r>
          </w:p>
        </w:tc>
        <w:tc>
          <w:tcPr>
            <w:tcW w:type="dxa" w:w="17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Separare sostenibilità della gestione attuale e fattibilità del risanamento; non concludere «non percorribile» per la formula 50% EBITDA × 5 anni.</w:t>
            </w:r>
          </w:p>
        </w:tc>
        <w:tc>
          <w:tcPr>
            <w:tcW w:type="dxa" w:w="3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Due giudizi distinti nella conclusione, con motivazione. La formula 50% × 5 è resa indicatore informativo non determinante (App. A) e non entra nel giudizio.</w:t>
            </w:r>
          </w:p>
        </w:tc>
        <w:tc>
          <w:tcPr>
            <w:tcW w:type="dxa" w:w="1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E: p. 1</w:t>
            </w:r>
          </w:p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M: p. 1</w:t>
            </w:r>
          </w:p>
        </w:tc>
        <w:tc>
          <w:tcPr>
            <w:tcW w:type="dxa" w:w="12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C6EFCE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/>
                <w:bCs/>
                <w:color w:val="006100"/>
                <w:sz w:val="15"/>
                <w:szCs w:val="15"/>
              </w:rPr>
              <w:t xml:space="preserve">APPLICATA</w:t>
            </w:r>
          </w:p>
        </w:tc>
        <w:tc>
          <w:tcPr>
            <w:tcW w:type="dxa" w:w="22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Il modulo semaforo.py (usato dalla v2) non è stato modificato: la sua riforma e dei relativi test è una decisione da approvare (HG-3).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7</w:t>
            </w:r>
          </w:p>
        </w:tc>
        <w:tc>
          <w:tcPr>
            <w:tcW w:type="dxa" w:w="17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Scenari omogenei per data, patrimonio, flussi, fabbisogni e costi; non preferire la liquidazione se il confronto è non valutabile.</w:t>
            </w:r>
          </w:p>
        </w:tc>
        <w:tc>
          <w:tcPr>
            <w:tcW w:type="dxa" w:w="3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Tabella con le sette colonne richieste. Eurocasa: S2 e S3 NON VALUTABILI, nessuna preferenza. Mercurio: liquidazione NON VALUTABILE; scenari di continuità con e senza rientro del prestito. Un test automatico impedisce la preferenza quando il confronto è non valutabile.</w:t>
            </w:r>
          </w:p>
        </w:tc>
        <w:tc>
          <w:tcPr>
            <w:tcW w:type="dxa" w:w="1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E: p. 4</w:t>
            </w:r>
          </w:p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M: p. 4</w:t>
            </w:r>
          </w:p>
        </w:tc>
        <w:tc>
          <w:tcPr>
            <w:tcW w:type="dxa" w:w="12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FEB9C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/>
                <w:bCs/>
                <w:color w:val="7F6000"/>
                <w:sz w:val="15"/>
                <w:szCs w:val="15"/>
              </w:rPr>
              <w:t xml:space="preserve">APPLICATA CON LIMITE</w:t>
            </w:r>
          </w:p>
        </w:tc>
        <w:tc>
          <w:tcPr>
            <w:tcW w:type="dxa" w:w="22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Per valutare S2 e S3 (Eurocasa) servono perizia e costi di procedura, assenti. I coefficienti di realizzo della v2 non sono più usati.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8</w:t>
            </w:r>
          </w:p>
        </w:tc>
        <w:tc>
          <w:tcPr>
            <w:tcW w:type="dxa" w:w="17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Identificare norme e indicazioni ministeriali con fonti precise; qualificare le soglie discrezionali come parametri interni di screening.</w:t>
            </w:r>
          </w:p>
        </w:tc>
        <w:tc>
          <w:tcPr>
            <w:tcW w:type="dxa" w:w="3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Sezione 8: CCII artt. 2, 3, 12, 13, 17, 25-novies; decreto dirigenziale 28/09/2021 (agg. 21/03/2023); CNDCEC ottobre 2019; articoli del codice civile; parametri elencati in App. B come «parametri interni di screening». Errore v2 corretto: il 5% non era una soglia del CCII.</w:t>
            </w:r>
          </w:p>
        </w:tc>
        <w:tc>
          <w:tcPr>
            <w:tcW w:type="dxa" w:w="1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E: p. 5</w:t>
            </w:r>
          </w:p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M: p. 5</w:t>
            </w:r>
          </w:p>
        </w:tc>
        <w:tc>
          <w:tcPr>
            <w:tcW w:type="dxa" w:w="12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FEB9C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/>
                <w:bCs/>
                <w:color w:val="7F6000"/>
                <w:sz w:val="15"/>
                <w:szCs w:val="15"/>
              </w:rPr>
              <w:t xml:space="preserve">PARZIALE</w:t>
            </w:r>
          </w:p>
        </w:tc>
        <w:tc>
          <w:tcPr>
            <w:tcW w:type="dxa" w:w="22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Testo consolidato vigente non verificato per artt. 12, 17, 25-novies e codice civile (segnati «da verificare»). Tabelle di settore del CNDCEC non acquisite: indici non calcolati.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9</w:t>
            </w:r>
          </w:p>
        </w:tc>
        <w:tc>
          <w:tcPr>
            <w:tcW w:type="dxa" w:w="17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Corpo di quattro o cinque pagine, schede e formule in appendice; niente tabelle spezzate, riferimenti senza corrispondenza o variabili non compilate.</w:t>
            </w:r>
          </w:p>
        </w:tc>
        <w:tc>
          <w:tcPr>
            <w:tcW w:type="dxa" w:w="3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Corpo di 5 pagine (E) e 5 (M); appendici A-D; righe non spezzabili, tabelle tenute insieme, formato A4; controllo automatico di segnaposto, None e nan.</w:t>
            </w:r>
          </w:p>
        </w:tc>
        <w:tc>
          <w:tcPr>
            <w:tcW w:type="dxa" w:w="1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E: pp. 1-5</w:t>
            </w:r>
          </w:p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M: pp. 1-5</w:t>
            </w:r>
          </w:p>
        </w:tc>
        <w:tc>
          <w:tcPr>
            <w:tcW w:type="dxa" w:w="12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FEB9C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/>
                <w:bCs/>
                <w:color w:val="7F6000"/>
                <w:sz w:val="15"/>
                <w:szCs w:val="15"/>
              </w:rPr>
              <w:t xml:space="preserve">APPLICATA CON LIMITE</w:t>
            </w:r>
          </w:p>
        </w:tc>
        <w:tc>
          <w:tcPr>
            <w:tcW w:type="dxa" w:w="22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Impaginazione verificata con LibreOffice (font Aptos sostituito): in Word può slittare di qualche riga. Riferimenti interni verificati a mano.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10</w:t>
            </w:r>
          </w:p>
        </w:tc>
        <w:tc>
          <w:tcPr>
            <w:tcW w:type="dxa" w:w="17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Tabella di controllo.</w:t>
            </w:r>
          </w:p>
        </w:tc>
        <w:tc>
          <w:tcPr>
            <w:tcW w:type="dxa" w:w="3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Questo documento; le pagine sono lette dai PDF generati.</w:t>
            </w:r>
          </w:p>
        </w:tc>
        <w:tc>
          <w:tcPr>
            <w:tcW w:type="dxa" w:w="1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-</w:t>
            </w:r>
          </w:p>
        </w:tc>
        <w:tc>
          <w:tcPr>
            <w:tcW w:type="dxa" w:w="12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C6EFCE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/>
                <w:bCs/>
                <w:color w:val="006100"/>
                <w:sz w:val="15"/>
                <w:szCs w:val="15"/>
              </w:rPr>
              <w:t xml:space="preserve">APPLICATA</w:t>
            </w:r>
          </w:p>
        </w:tc>
        <w:tc>
          <w:tcPr>
            <w:tcW w:type="dxa" w:w="22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11</w:t>
            </w:r>
          </w:p>
        </w:tc>
        <w:tc>
          <w:tcPr>
            <w:tcW w:type="dxa" w:w="17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Tabella DEMO definitiva con i dati ideali.</w:t>
            </w:r>
          </w:p>
        </w:tc>
        <w:tc>
          <w:tcPr>
            <w:tcW w:type="dxa" w:w="3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Cartella DEMO: tabella dei dati ideali (CSV, DOCX, PDF), caso fittizio completo e relazione DEMO prodotta con lo stesso motore.</w:t>
            </w:r>
          </w:p>
        </w:tc>
        <w:tc>
          <w:tcPr>
            <w:tcW w:type="dxa" w:w="1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DEMO</w:t>
            </w:r>
          </w:p>
        </w:tc>
        <w:tc>
          <w:tcPr>
            <w:tcW w:type="dxa" w:w="12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C6EFCE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/>
                <w:bCs/>
                <w:color w:val="006100"/>
                <w:sz w:val="15"/>
                <w:szCs w:val="15"/>
              </w:rPr>
              <w:t xml:space="preserve">APPLICATA</w:t>
            </w:r>
          </w:p>
        </w:tc>
        <w:tc>
          <w:tcPr>
            <w:tcW w:type="dxa" w:w="22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Dati fittizi. La definitività richiede la tua approvazione (HG-2).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12</w:t>
            </w:r>
          </w:p>
        </w:tc>
        <w:tc>
          <w:tcPr>
            <w:tcW w:type="dxa" w:w="170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Non richiesto, emerso durante la revisione.</w:t>
            </w:r>
          </w:p>
        </w:tc>
        <w:tc>
          <w:tcPr>
            <w:tcW w:type="dxa" w:w="3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Mercurio: sopravvenienze 2024 e 2025 alterano l'EBITDA; Eurocasa: oneri diversi 2022 quasi pari alla riduzione dei crediti; liquidità Eurocasa quasi tutta sul conto della procedura esecutiva.</w:t>
            </w:r>
          </w:p>
        </w:tc>
        <w:tc>
          <w:tcPr>
            <w:tcW w:type="dxa" w:w="1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-</w:t>
            </w:r>
          </w:p>
        </w:tc>
        <w:tc>
          <w:tcPr>
            <w:tcW w:type="dxa" w:w="12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C6EFCE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  <w:jc w:val="center"/>
            </w:pPr>
            <w:r>
              <w:rPr>
                <w:rFonts w:ascii="Aptos" w:cs="Aptos" w:hAnsi="Aptos" w:eastAsia="Aptos"/>
                <w:b/>
                <w:bCs/>
                <w:color w:val="006100"/>
                <w:sz w:val="15"/>
                <w:szCs w:val="15"/>
              </w:rPr>
              <w:t xml:space="preserve">APPLICATA</w:t>
            </w:r>
          </w:p>
        </w:tc>
        <w:tc>
          <w:tcPr>
            <w:tcW w:type="dxa" w:w="22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pStyle w:val="Corpo"/>
              <w:spacing w:after="0" w:line="240" w:lineRule="auto"/>
            </w:pPr>
            <w:r>
              <w:rPr>
                <w:rFonts w:ascii="Aptos" w:cs="Aptos" w:hAnsi="Aptos" w:eastAsia="Aptos"/>
                <w:sz w:val="15"/>
                <w:szCs w:val="15"/>
              </w:rPr>
              <w:t xml:space="preserve">Sono inferenze da confermare con la documentazione.</w:t>
            </w:r>
          </w:p>
        </w:tc>
      </w:tr>
    </w:tbl>
    <w:p>
      <w:pPr>
        <w:pStyle w:val="Corpo"/>
        <w:spacing w:after="40" w:line="200" w:lineRule="auto"/>
      </w:pPr>
      <w:r>
        <w:rPr>
          <w:rFonts w:ascii="Aptos" w:cs="Aptos" w:hAnsi="Aptos" w:eastAsia="Aptos"/>
        </w:rPr>
        <w:t xml:space="preserve"/>
      </w:r>
    </w:p>
    <w:sectPr>
      <w:headerReference w:type="default" r:id="rId4"/>
      <w:footerReference w:type="default" r:id="rId5"/>
      <w:pgSz w:w="11906" w:h="16838" w:orient="portrait"/>
      <w:pgMar w:top="1000" w:right="900" w:bottom="850" w:left="900" w:header="500" w:footer="40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tl w:val="0"/>
        <w:lang w:val="en-US"/>
      </w:rPr>
      <w:t xml:space="preserve">Preanalisi CNC | Pagina </w:t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ile importato 1"/>
  </w:abstractNum>
  <w:abstractNum w:abstractNumId="1">
    <w:multiLevelType w:val="hybridMultilevel"/>
    <w:styleLink w:val="Stile importato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Stile importato 2"/>
  </w:abstractNum>
  <w:abstractNum w:abstractNumId="3">
    <w:multiLevelType w:val="hybridMultilevel"/>
    <w:styleLink w:val="Stile importato 2"/>
    <w:lvl w:ilvl="0">
      <w:start w:val="1"/>
      <w:numFmt w:val="decimal"/>
      <w:suff w:val="tab"/>
      <w:lvlText w:val="%1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Intestazione">
    <w:name w:val="Intestazione"/>
    <w:next w:val="Co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Aptos" w:cs="Aptos" w:hAnsi="Aptos" w:eastAsia="Apto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30"/>
      <w:szCs w:val="30"/>
      <w:u w:val="none" w:color="365f91"/>
      <w:shd w:val="nil" w:color="auto" w:fill="auto"/>
      <w:vertAlign w:val="baseline"/>
      <w:lang w:val="it-IT"/>
      <w14:textOutline>
        <w14:noFill/>
      </w14:textOutline>
      <w14:textFill>
        <w14:solidFill>
          <w14:srgbClr w14:val="365F91"/>
        </w14:solidFill>
      </w14:textFill>
    </w:rPr>
  </w:style>
  <w:style w:type="paragraph" w:styleId="Intestazione 2">
    <w:name w:val="Intestazione 2"/>
    <w:next w:val="Co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Aptos" w:cs="Aptos" w:hAnsi="Aptos" w:eastAsia="Apto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5"/>
      <w:szCs w:val="25"/>
      <w:u w:val="none" w:color="4f81bd"/>
      <w:shd w:val="nil" w:color="auto" w:fill="auto"/>
      <w:vertAlign w:val="baseline"/>
      <w:lang w:val="it-IT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Stile importato 1">
    <w:name w:val="Stile importato 1"/>
    <w:pPr>
      <w:numPr>
        <w:numId w:val="1"/>
      </w:numPr>
    </w:p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Stile importato 2">
    <w:name w:val="Stile importato 2"/>
    <w:pPr>
      <w:numPr>
        <w:numId w:val="3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