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LoanScoreAI v6.0 – Replit Development Guide</w:t>
      </w:r>
    </w:p>
    <w:p>
      <w:pPr>
        <w:pStyle w:val="Heading1"/>
      </w:pPr>
      <w:r>
        <w:t>📌 Objective</w:t>
      </w:r>
    </w:p>
    <w:p>
      <w:r>
        <w:t>Develop the LoanScoreAI v6.0 Scorecard in Replit, which assesses loan applicants based on both intent to repay and probability of disbursement. This rule-based scorecard uses weighted scoring logic and risk buckets to generate final credit decisions.</w:t>
      </w:r>
    </w:p>
    <w:p>
      <w:pPr>
        <w:pStyle w:val="Heading1"/>
      </w:pPr>
      <w:r>
        <w:t>🛠️ Functional Requirements</w:t>
      </w:r>
    </w:p>
    <w:p>
      <w:r>
        <w:t>The application must:</w:t>
      </w:r>
    </w:p>
    <w:p>
      <w:r>
        <w:rPr>
          <w:b/>
        </w:rPr>
        <w:t>- Accept individual or CSV-based bulk input data</w:t>
        <w:br/>
      </w:r>
      <w:r>
        <w:t>- Apply clearance rules to filter out ineligible applicants</w:t>
        <w:br/>
      </w:r>
      <w:r>
        <w:t>- Score each eligible applicant using weighted variable bands</w:t>
        <w:br/>
      </w:r>
      <w:r>
        <w:t>- Aggregate scores into a 0–100 final score</w:t>
        <w:br/>
      </w:r>
      <w:r>
        <w:t>- Assign a risk bucket (A, B, C, D) based on score and post-score movement logic</w:t>
        <w:br/>
      </w:r>
      <w:r>
        <w:t>- Output results in downloadable or viewable format</w:t>
        <w:br/>
      </w:r>
    </w:p>
    <w:p>
      <w:pPr>
        <w:pStyle w:val="Heading1"/>
      </w:pPr>
      <w:r>
        <w:t>⚙️ Scoring Variables &amp; Logic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Group</w:t>
            </w:r>
          </w:p>
        </w:tc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Scoring Bands / Logic</w:t>
            </w:r>
          </w:p>
        </w:tc>
      </w:tr>
      <w:tr>
        <w:tc>
          <w:tcPr>
            <w:tcW w:type="dxa" w:w="2160"/>
          </w:tcPr>
          <w:p>
            <w:r>
              <w:t>Core Credit Inputs</w:t>
            </w:r>
          </w:p>
        </w:tc>
        <w:tc>
          <w:tcPr>
            <w:tcW w:type="dxa" w:w="2160"/>
          </w:tcPr>
          <w:p>
            <w:r>
              <w:t>Credit Score</w:t>
            </w:r>
          </w:p>
        </w:tc>
        <w:tc>
          <w:tcPr>
            <w:tcW w:type="dxa" w:w="2160"/>
          </w:tcPr>
          <w:p>
            <w:r>
              <w:t>15%</w:t>
            </w:r>
          </w:p>
        </w:tc>
        <w:tc>
          <w:tcPr>
            <w:tcW w:type="dxa" w:w="2160"/>
          </w:tcPr>
          <w:p>
            <w:r>
              <w:t>-1 / 0 → 0.0</w:t>
              <w:br/>
              <w:t>1–99 → 0.2</w:t>
              <w:br/>
              <w:t>100–599 → 0.0</w:t>
              <w:br/>
              <w:t>600–649 → 0.3</w:t>
              <w:br/>
              <w:t>650–699 → 0.6</w:t>
              <w:br/>
              <w:t>700–729 → 0.8</w:t>
              <w:br/>
              <w:t>730–749 → 0.9</w:t>
              <w:br/>
              <w:t>750+ → 1.0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FOIR</w:t>
            </w:r>
          </w:p>
        </w:tc>
        <w:tc>
          <w:tcPr>
            <w:tcW w:type="dxa" w:w="2160"/>
          </w:tcPr>
          <w:p>
            <w:r>
              <w:t>7%</w:t>
            </w:r>
          </w:p>
        </w:tc>
        <w:tc>
          <w:tcPr>
            <w:tcW w:type="dxa" w:w="2160"/>
          </w:tcPr>
          <w:p>
            <w:r>
              <w:t>≤0.35 → 1.0</w:t>
              <w:br/>
              <w:t>0.36–0.45 → 0.6</w:t>
              <w:br/>
              <w:t>0.46–0.55 → 0.3</w:t>
              <w:br/>
              <w:t>&gt;0.55 → 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DPD30Plus</w:t>
            </w:r>
          </w:p>
        </w:tc>
        <w:tc>
          <w:tcPr>
            <w:tcW w:type="dxa" w:w="2160"/>
          </w:tcPr>
          <w:p>
            <w:r>
              <w:t>7%</w:t>
            </w:r>
          </w:p>
        </w:tc>
        <w:tc>
          <w:tcPr>
            <w:tcW w:type="dxa" w:w="2160"/>
          </w:tcPr>
          <w:p>
            <w:r>
              <w:t>0 → 1.0</w:t>
              <w:br/>
              <w:t>1 → 0.5</w:t>
              <w:br/>
              <w:t>≥2 → 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Enquiry Count</w:t>
            </w:r>
          </w:p>
        </w:tc>
        <w:tc>
          <w:tcPr>
            <w:tcW w:type="dxa" w:w="2160"/>
          </w:tcPr>
          <w:p>
            <w:r>
              <w:t>6%</w:t>
            </w:r>
          </w:p>
        </w:tc>
        <w:tc>
          <w:tcPr>
            <w:tcW w:type="dxa" w:w="2160"/>
          </w:tcPr>
          <w:p>
            <w:r>
              <w:t>0–1 → 1.0</w:t>
              <w:br/>
              <w:t>2–3 → 0.6</w:t>
              <w:br/>
              <w:t>&gt;3 → 0.2</w:t>
            </w:r>
          </w:p>
        </w:tc>
      </w:tr>
      <w:tr>
        <w:tc>
          <w:tcPr>
            <w:tcW w:type="dxa" w:w="2160"/>
          </w:tcPr>
          <w:p>
            <w:r>
              <w:t>Income Stability</w:t>
            </w:r>
          </w:p>
        </w:tc>
        <w:tc>
          <w:tcPr>
            <w:tcW w:type="dxa" w:w="2160"/>
          </w:tcPr>
          <w:p>
            <w:r>
              <w:t>Monthly Income</w:t>
            </w:r>
          </w:p>
        </w:tc>
        <w:tc>
          <w:tcPr>
            <w:tcW w:type="dxa" w:w="2160"/>
          </w:tcPr>
          <w:p>
            <w:r>
              <w:t>8%</w:t>
            </w:r>
          </w:p>
        </w:tc>
        <w:tc>
          <w:tcPr>
            <w:tcW w:type="dxa" w:w="2160"/>
          </w:tcPr>
          <w:p>
            <w:r>
              <w:t>&gt;₹30K → 1.0</w:t>
              <w:br/>
              <w:t>₹20K–30K → 0.6</w:t>
              <w:br/>
              <w:t>₹18K–20K → 0.4</w:t>
              <w:br/>
              <w:t>₹15K–18K → 0.3</w:t>
              <w:br/>
              <w:t>&lt;₹15K → 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4%</w:t>
            </w:r>
          </w:p>
        </w:tc>
        <w:tc>
          <w:tcPr>
            <w:tcW w:type="dxa" w:w="2160"/>
          </w:tcPr>
          <w:p>
            <w:r>
              <w:t>26–35 → 1.0</w:t>
              <w:br/>
              <w:t>36–45 → 0.8</w:t>
              <w:br/>
              <w:t>21–25 / 46–55 → 0.6</w:t>
              <w:br/>
              <w:t>56–60 → 0.4</w:t>
              <w:br/>
              <w:t>&lt;21 or &gt;60 → 0.0</w:t>
            </w:r>
          </w:p>
        </w:tc>
      </w:tr>
      <w:tr>
        <w:tc>
          <w:tcPr>
            <w:tcW w:type="dxa" w:w="2160"/>
          </w:tcPr>
          <w:p>
            <w:r>
              <w:t>Behavioral Analytics</w:t>
            </w:r>
          </w:p>
        </w:tc>
        <w:tc>
          <w:tcPr>
            <w:tcW w:type="dxa" w:w="2160"/>
          </w:tcPr>
          <w:p>
            <w:r>
              <w:t>Credit Vintage</w:t>
            </w:r>
          </w:p>
        </w:tc>
        <w:tc>
          <w:tcPr>
            <w:tcW w:type="dxa" w:w="2160"/>
          </w:tcPr>
          <w:p>
            <w:r>
              <w:t>6%</w:t>
            </w:r>
          </w:p>
        </w:tc>
        <w:tc>
          <w:tcPr>
            <w:tcW w:type="dxa" w:w="2160"/>
          </w:tcPr>
          <w:p>
            <w:r>
              <w:t>&gt;60 → 1.0</w:t>
              <w:br/>
              <w:t>37–60 → 0.8</w:t>
              <w:br/>
              <w:t>25–36 → 0.6</w:t>
              <w:br/>
              <w:t>13–24 → 0.4</w:t>
              <w:br/>
              <w:t>7–12 → 0.2</w:t>
              <w:br/>
              <w:t>≤6 → 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Loan Mix Type</w:t>
            </w:r>
          </w:p>
        </w:tc>
        <w:tc>
          <w:tcPr>
            <w:tcW w:type="dxa" w:w="2160"/>
          </w:tcPr>
          <w:p>
            <w:r>
              <w:t>6%</w:t>
            </w:r>
          </w:p>
        </w:tc>
        <w:tc>
          <w:tcPr>
            <w:tcW w:type="dxa" w:w="2160"/>
          </w:tcPr>
          <w:p>
            <w:r>
              <w:t>PL/HL/CC → 1.0</w:t>
              <w:br/>
              <w:t>Gold + Consumer Durable → 0.6</w:t>
              <w:br/>
              <w:t>Only Gold → 0.3</w:t>
              <w:br/>
              <w:t>Agri/Other loans → 0.4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Loan Completion Ratio</w:t>
            </w:r>
          </w:p>
        </w:tc>
        <w:tc>
          <w:tcPr>
            <w:tcW w:type="dxa" w:w="2160"/>
          </w:tcPr>
          <w:p>
            <w:r>
              <w:t>7%</w:t>
            </w:r>
          </w:p>
        </w:tc>
        <w:tc>
          <w:tcPr>
            <w:tcW w:type="dxa" w:w="2160"/>
          </w:tcPr>
          <w:p>
            <w:r>
              <w:t>&gt;0.7 → 1.0</w:t>
              <w:br/>
              <w:t>0.4–0.7 → 0.6</w:t>
              <w:br/>
              <w:t>&lt;0.4 → 0.3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Defaulted Loans</w:t>
            </w:r>
          </w:p>
        </w:tc>
        <w:tc>
          <w:tcPr>
            <w:tcW w:type="dxa" w:w="2160"/>
          </w:tcPr>
          <w:p>
            <w:r>
              <w:t>6%</w:t>
            </w:r>
          </w:p>
        </w:tc>
        <w:tc>
          <w:tcPr>
            <w:tcW w:type="dxa" w:w="2160"/>
          </w:tcPr>
          <w:p>
            <w:r>
              <w:t>0 → 1.0</w:t>
              <w:br/>
              <w:t>&gt;0 → 0.0</w:t>
            </w:r>
          </w:p>
        </w:tc>
      </w:tr>
      <w:tr>
        <w:tc>
          <w:tcPr>
            <w:tcW w:type="dxa" w:w="2160"/>
          </w:tcPr>
          <w:p>
            <w:r>
              <w:t>Exposure Metrics</w:t>
            </w:r>
          </w:p>
        </w:tc>
        <w:tc>
          <w:tcPr>
            <w:tcW w:type="dxa" w:w="2160"/>
          </w:tcPr>
          <w:p>
            <w:r>
              <w:t>Unsecured Loan Amount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unsecured → 0.6</w:t>
              <w:br/>
              <w:t>&lt;₹50K → 0.8</w:t>
              <w:br/>
              <w:t>₹50K–1L → 1.0</w:t>
              <w:br/>
              <w:t>&gt;₹1L → 0.6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Outstanding Amount 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&lt;30% → 1.0</w:t>
              <w:br/>
              <w:t>30–60% → 0.6</w:t>
              <w:br/>
              <w:t>&gt;60% → 0.3</w:t>
            </w:r>
          </w:p>
        </w:tc>
      </w:tr>
      <w:tr>
        <w:tc>
          <w:tcPr>
            <w:tcW w:type="dxa" w:w="2160"/>
          </w:tcPr>
          <w:p>
            <w:r>
              <w:t>Intent Signals</w:t>
            </w:r>
          </w:p>
        </w:tc>
        <w:tc>
          <w:tcPr>
            <w:tcW w:type="dxa" w:w="2160"/>
          </w:tcPr>
          <w:p>
            <w:r>
              <w:t>Our Lender Exposure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&gt;0 → 1.0</w:t>
              <w:br/>
              <w:t>0 → 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Channel Type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Merchant/Referral → 1.0</w:t>
              <w:br/>
              <w:t>Digital/Other → 0.5</w:t>
            </w:r>
          </w:p>
        </w:tc>
      </w:tr>
    </w:tbl>
    <w:p>
      <w:pPr>
        <w:pStyle w:val="Heading1"/>
      </w:pPr>
      <w:r>
        <w:t>🚫 Clearance Rules (Pre-Score)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Rule Criteria</w:t>
            </w:r>
          </w:p>
        </w:tc>
        <w:tc>
          <w:tcPr>
            <w:tcW w:type="dxa" w:w="4320"/>
          </w:tcPr>
          <w:p>
            <w:r>
              <w:t>Action</w:t>
            </w:r>
          </w:p>
        </w:tc>
      </w:tr>
      <w:tr>
        <w:tc>
          <w:tcPr>
            <w:tcW w:type="dxa" w:w="4320"/>
          </w:tcPr>
          <w:p>
            <w:r>
              <w:t>PAN is missing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  <w:tr>
        <w:tc>
          <w:tcPr>
            <w:tcW w:type="dxa" w:w="4320"/>
          </w:tcPr>
          <w:p>
            <w:r>
              <w:t>Age &lt; 21 or &gt; 60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  <w:tr>
        <w:tc>
          <w:tcPr>
            <w:tcW w:type="dxa" w:w="4320"/>
          </w:tcPr>
          <w:p>
            <w:r>
              <w:t>Monthly Income &lt; ₹15,000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  <w:tr>
        <w:tc>
          <w:tcPr>
            <w:tcW w:type="dxa" w:w="4320"/>
          </w:tcPr>
          <w:p>
            <w:r>
              <w:t>WriteOffFlag = True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  <w:tr>
        <w:tc>
          <w:tcPr>
            <w:tcW w:type="dxa" w:w="4320"/>
          </w:tcPr>
          <w:p>
            <w:r>
              <w:t>DPD30Plus &gt; 2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  <w:tr>
        <w:tc>
          <w:tcPr>
            <w:tcW w:type="dxa" w:w="4320"/>
          </w:tcPr>
          <w:p>
            <w:r>
              <w:t>Defaulted Loans &gt; 0</w:t>
            </w:r>
          </w:p>
        </w:tc>
        <w:tc>
          <w:tcPr>
            <w:tcW w:type="dxa" w:w="4320"/>
          </w:tcPr>
          <w:p>
            <w:r>
              <w:t>Decline (D)</w:t>
            </w:r>
          </w:p>
        </w:tc>
      </w:tr>
    </w:tbl>
    <w:p>
      <w:pPr>
        <w:pStyle w:val="Heading1"/>
      </w:pPr>
      <w:r>
        <w:t>📊 Post-Score Movement Logic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From → To</w:t>
            </w:r>
          </w:p>
        </w:tc>
        <w:tc>
          <w:tcPr>
            <w:tcW w:type="dxa" w:w="4320"/>
          </w:tcPr>
          <w:p>
            <w:r>
              <w:t>Conditions</w:t>
            </w:r>
          </w:p>
        </w:tc>
      </w:tr>
      <w:tr>
        <w:tc>
          <w:tcPr>
            <w:tcW w:type="dxa" w:w="4320"/>
          </w:tcPr>
          <w:p>
            <w:r>
              <w:t>A → B</w:t>
            </w:r>
          </w:p>
        </w:tc>
        <w:tc>
          <w:tcPr>
            <w:tcW w:type="dxa" w:w="4320"/>
          </w:tcPr>
          <w:p>
            <w:r>
              <w:t>Score ≥ 90 but 2+ of: DPD &gt; 0, Enquiry &gt; 3, FOIR &gt; 0.45, LoanMix = Gold only, CompletionRatio &lt; 0.5</w:t>
            </w:r>
          </w:p>
        </w:tc>
      </w:tr>
      <w:tr>
        <w:tc>
          <w:tcPr>
            <w:tcW w:type="dxa" w:w="4320"/>
          </w:tcPr>
          <w:p>
            <w:r>
              <w:t>B → A</w:t>
            </w:r>
          </w:p>
        </w:tc>
        <w:tc>
          <w:tcPr>
            <w:tcW w:type="dxa" w:w="4320"/>
          </w:tcPr>
          <w:p>
            <w:r>
              <w:t>Score 78–89.99 and 4+ of: CreditScore ≥ 770, DPD = 0, FOIR &lt; 0.35, PL/HL in LoanMix, OurLenderExposure &gt; 0</w:t>
            </w:r>
          </w:p>
        </w:tc>
      </w:tr>
      <w:tr>
        <w:tc>
          <w:tcPr>
            <w:tcW w:type="dxa" w:w="4320"/>
          </w:tcPr>
          <w:p>
            <w:r>
              <w:t>C → B</w:t>
            </w:r>
          </w:p>
        </w:tc>
        <w:tc>
          <w:tcPr>
            <w:tcW w:type="dxa" w:w="4320"/>
          </w:tcPr>
          <w:p>
            <w:r>
              <w:t>Score 60–77.99 and ALL: CreditScore ≥ 730, CreditVintage ≥ 36, CompletionRatio &gt; 0.6</w:t>
            </w:r>
          </w:p>
        </w:tc>
      </w:tr>
      <w:tr>
        <w:tc>
          <w:tcPr>
            <w:tcW w:type="dxa" w:w="4320"/>
          </w:tcPr>
          <w:p>
            <w:r>
              <w:t>D → C</w:t>
            </w:r>
          </w:p>
        </w:tc>
        <w:tc>
          <w:tcPr>
            <w:tcW w:type="dxa" w:w="4320"/>
          </w:tcPr>
          <w:p>
            <w:r>
              <w:t>Score &lt; 60 and 3+ of: CreditScore ≥ 750, FOIR &lt; 0.35, DPD = 0, Enquiry ≤ 2, Income ≥ ₹30K</w:t>
            </w:r>
          </w:p>
        </w:tc>
      </w:tr>
    </w:tbl>
    <w:p>
      <w:pPr>
        <w:pStyle w:val="Heading1"/>
      </w:pPr>
      <w:r>
        <w:t>📦 Final Risk Buckets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Bucket</w:t>
            </w:r>
          </w:p>
        </w:tc>
        <w:tc>
          <w:tcPr>
            <w:tcW w:type="dxa" w:w="2880"/>
          </w:tcPr>
          <w:p>
            <w:r>
              <w:t>Score Range</w:t>
            </w:r>
          </w:p>
        </w:tc>
        <w:tc>
          <w:tcPr>
            <w:tcW w:type="dxa" w:w="2880"/>
          </w:tcPr>
          <w:p>
            <w:r>
              <w:t>Decision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≥ 90</w:t>
            </w:r>
          </w:p>
        </w:tc>
        <w:tc>
          <w:tcPr>
            <w:tcW w:type="dxa" w:w="2880"/>
          </w:tcPr>
          <w:p>
            <w:r>
              <w:t>Auto-approve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78–89.99</w:t>
            </w:r>
          </w:p>
        </w:tc>
        <w:tc>
          <w:tcPr>
            <w:tcW w:type="dxa" w:w="2880"/>
          </w:tcPr>
          <w:p>
            <w:r>
              <w:t>Recommend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60–77.99</w:t>
            </w:r>
          </w:p>
        </w:tc>
        <w:tc>
          <w:tcPr>
            <w:tcW w:type="dxa" w:w="2880"/>
          </w:tcPr>
          <w:p>
            <w:r>
              <w:t>Refer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&lt; 60</w:t>
            </w:r>
          </w:p>
        </w:tc>
        <w:tc>
          <w:tcPr>
            <w:tcW w:type="dxa" w:w="2880"/>
          </w:tcPr>
          <w:p>
            <w:r>
              <w:t>Decline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