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B5CAB"/>
          <w:sz w:val="52"/>
        </w:rPr>
        <w:t>Elite Foods</w:t>
      </w:r>
    </w:p>
    <w:p>
      <w:pPr>
        <w:jc w:val="center"/>
      </w:pPr>
      <w:r>
        <w:rPr>
          <w:b/>
          <w:color w:val="014486"/>
          <w:sz w:val="40"/>
        </w:rPr>
        <w:t>Primary PBIS (Performance Based Incentive Scheme)</w:t>
      </w:r>
    </w:p>
    <w:p>
      <w:pPr>
        <w:jc w:val="center"/>
      </w:pPr>
      <w:r>
        <w:rPr>
          <w:sz w:val="32"/>
        </w:rPr>
        <w:t>User Manual</w:t>
      </w:r>
    </w:p>
    <w:p>
      <w:pPr>
        <w:jc w:val="center"/>
      </w:pPr>
      <w:r>
        <w:rPr>
          <w:b/>
          <w:color w:val="0B5CAB"/>
          <w:sz w:val="32"/>
        </w:rPr>
        <w:t>Administrator Guide</w:t>
      </w:r>
    </w:p>
    <w:p/>
    <w:p/>
    <w:p/>
    <w:p/>
    <w:p/>
    <w:p/>
    <w:p/>
    <w:p/>
    <w:p>
      <w:pPr>
        <w:jc w:val="center"/>
      </w:pPr>
      <w:r>
        <w:rPr>
          <w:color w:val="706E6B"/>
        </w:rPr>
        <w:t>Version 1.0</w:t>
      </w:r>
    </w:p>
    <w:p>
      <w:pPr>
        <w:jc w:val="center"/>
      </w:pPr>
      <w:r>
        <w:rPr>
          <w:color w:val="706E6B"/>
        </w:rPr>
        <w:t>Last updated: 17 June 2026</w:t>
      </w:r>
    </w:p>
    <w:p>
      <w:pPr>
        <w:jc w:val="center"/>
      </w:pPr>
      <w:r>
        <w:rPr>
          <w:color w:val="706E6B"/>
        </w:rPr>
        <w:t>Applies to: Salesforce (Lightning Experience) — Desktop &amp; Mobile</w:t>
      </w:r>
    </w:p>
    <w:p>
      <w:r>
        <w:br w:type="page"/>
      </w:r>
    </w:p>
    <w:p>
      <w:pPr>
        <w:pStyle w:val="Heading1"/>
      </w:pPr>
      <w:r>
        <w:t>1. What is Primary PBIS?</w:t>
      </w:r>
    </w:p>
    <w:p>
      <w:r>
        <w:t>Primary PBIS is Elite Foods' configurable engine for calculating Performance Based Incentives on primary sales. For every salesperson and period it measures actual achievement against targets across a set of Sales &amp; Distribution (S&amp;D) parameters, matches each achievement to an incentive slab, and computes the incentive earned.</w:t>
      </w:r>
    </w:p>
    <w:p>
      <w:pPr>
        <w:pStyle w:val="Heading3"/>
      </w:pPr>
      <w:r>
        <w:t>The building blocks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is</w:t>
            </w:r>
          </w:p>
        </w:tc>
      </w:tr>
      <w:tr>
        <w:tc>
          <w:tcPr>
            <w:tcW w:type="dxa" w:w="4320"/>
          </w:tcPr>
          <w:p>
            <w:r>
              <w:t>S &amp; D Parameter</w:t>
            </w:r>
          </w:p>
        </w:tc>
        <w:tc>
          <w:tcPr>
            <w:tcW w:type="dxa" w:w="4320"/>
          </w:tcPr>
          <w:p>
            <w:r>
              <w:t>A reusable measure (e.g. Total Volume, Focus Pack, New Customers). Defines what is measured and how (the operator).</w:t>
            </w:r>
          </w:p>
        </w:tc>
      </w:tr>
      <w:tr>
        <w:tc>
          <w:tcPr>
            <w:tcW w:type="dxa" w:w="4320"/>
          </w:tcPr>
          <w:p>
            <w:r>
              <w:t>Focused Pack</w:t>
            </w:r>
          </w:p>
        </w:tc>
        <w:tc>
          <w:tcPr>
            <w:tcW w:type="dxa" w:w="4320"/>
          </w:tcPr>
          <w:p>
            <w:r>
              <w:t>A named set of SKUs used by Focus-Pack parameters, scoped by Sales Channel.</w:t>
            </w:r>
          </w:p>
        </w:tc>
      </w:tr>
      <w:tr>
        <w:tc>
          <w:tcPr>
            <w:tcW w:type="dxa" w:w="4320"/>
          </w:tcPr>
          <w:p>
            <w:r>
              <w:t>PBIS Policy</w:t>
            </w:r>
          </w:p>
        </w:tc>
        <w:tc>
          <w:tcPr>
            <w:tcW w:type="dxa" w:w="4320"/>
          </w:tcPr>
          <w:p>
            <w:r>
              <w:t>A channel-wise policy holding, per Profile, the incentive slabs (achievement bands and their Monthly/Quarterly incentive %).</w:t>
            </w:r>
          </w:p>
        </w:tc>
      </w:tr>
      <w:tr>
        <w:tc>
          <w:tcPr>
            <w:tcW w:type="dxa" w:w="4320"/>
          </w:tcPr>
          <w:p>
            <w:r>
              <w:t>PBIS Target</w:t>
            </w:r>
          </w:p>
        </w:tc>
        <w:tc>
          <w:tcPr>
            <w:tcW w:type="dxa" w:w="4320"/>
          </w:tcPr>
          <w:p>
            <w:r>
              <w:t>One per user per period. Holds up to 10 S&amp;D parameter slots with each slot's Target and Weightage, and (after calculation) the Achievement, %, Slab and Incentive.</w:t>
            </w:r>
          </w:p>
        </w:tc>
      </w:tr>
      <w:tr>
        <w:tc>
          <w:tcPr>
            <w:tcW w:type="dxa" w:w="4320"/>
          </w:tcPr>
          <w:p>
            <w:r>
              <w:t>KPI Dashboard</w:t>
            </w:r>
          </w:p>
        </w:tc>
        <w:tc>
          <w:tcPr>
            <w:tcW w:type="dxa" w:w="4320"/>
          </w:tcPr>
          <w:p>
            <w:r>
              <w:t>A tab with two sub-tabs — Primary KPI and Secondary KPI — where users and managers view performance and incentives.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3FF"/>
          </w:tcPr>
          <w:p>
            <w:r>
              <w:rPr>
                <w:b/>
                <w:color w:val="014486"/>
              </w:rPr>
              <w:t xml:space="preserve">How incentive is calculated: </w:t>
            </w:r>
            <w:r>
              <w:t>For each filled slot: Incentive = Gross Salary x Slab % x Weightage. The Total Incentive is paid only when the target is Eligible (every mandatory parameter reaches the lowest slab floor); otherwise the total is 0.</w:t>
            </w:r>
          </w:p>
        </w:tc>
      </w:tr>
    </w:tbl>
    <w:p/>
    <w:p>
      <w:pPr>
        <w:pStyle w:val="Heading1"/>
      </w:pPr>
      <w:r>
        <w:t>2. Before you begin</w:t>
      </w:r>
    </w:p>
    <w:p>
      <w:pPr>
        <w:pStyle w:val="ListBullet"/>
      </w:pPr>
      <w:r>
        <w:t>You need an admin profile (or a permission set granting access to S &amp; D Parameters, Primary PBIS Policies, PBIS Targets, Focused Pack and the KPI Dashboard).</w:t>
      </w:r>
    </w:p>
    <w:p>
      <w:pPr>
        <w:pStyle w:val="ListBullet"/>
      </w:pPr>
      <w:r>
        <w:t>Each salesperson is a Salesforce User with a Role (the role hierarchy powers the team views) and a Monthly Gross Salary on their User record.</w:t>
      </w:r>
    </w:p>
    <w:p>
      <w:pPr>
        <w:pStyle w:val="ListBullet"/>
      </w:pPr>
      <w:r>
        <w:t>Setup order: (1) Focused Packs, (2) S &amp; D Parameters, (3) PBIS Policy + slabs, (4) PBIS Targets, (5) run the calculation.</w:t>
      </w:r>
    </w:p>
    <w:p>
      <w:pPr>
        <w:pStyle w:val="Heading1"/>
      </w:pPr>
      <w:r>
        <w:t>3. Create Focused Packs</w:t>
      </w:r>
    </w:p>
    <w:p>
      <w:r>
        <w:t>Focused Packs group the SKUs that a Focus-Pack parameter measures, per Sales Channel.</w:t>
      </w:r>
    </w:p>
    <w:p>
      <w:pPr>
        <w:pStyle w:val="ListNumber"/>
      </w:pPr>
      <w:r>
        <w:t>Open the Focused Pack tab and click New.</w:t>
      </w:r>
    </w:p>
    <w:p>
      <w:pPr>
        <w:pStyle w:val="ListNumber"/>
      </w:pPr>
      <w:r>
        <w:t>Enter the Focused Pack Name and choose the Sales Channel.</w:t>
      </w:r>
    </w:p>
    <w:p>
      <w:pPr>
        <w:pStyle w:val="ListNumber"/>
      </w:pPr>
      <w:r>
        <w:t>Use the filters (Category / Group / Sub Group / Search) and the All / Selected toggle to find and tick the SKUs that belong to this pack.</w:t>
      </w:r>
    </w:p>
    <w:p>
      <w:pPr>
        <w:pStyle w:val="ListNumber"/>
      </w:pPr>
      <w:r>
        <w:t>Click Save. The pack now appears for parameters in that same Sales Channel.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3FF"/>
          </w:tcPr>
          <w:p>
            <w:r>
              <w:rPr>
                <w:b/>
                <w:color w:val="014486"/>
              </w:rPr>
              <w:t xml:space="preserve">Tip: </w:t>
            </w:r>
            <w:r>
              <w:t>The Focused Pack picker on an S&amp;D Parameter only lists packs whose Sales Channel matches the parameter's channel — set the channel first.</w:t>
            </w:r>
          </w:p>
        </w:tc>
      </w:tr>
    </w:tbl>
    <w:p/>
    <w:p>
      <w:r>
        <w:rPr>
          <w:i/>
          <w:color w:val="706E6B"/>
        </w:rPr>
        <w:t>[ Screenshot placeholder — Focused Pack builder with SKU list and All/Selected toggle ]</w:t>
      </w:r>
    </w:p>
    <w:p>
      <w:pPr>
        <w:pStyle w:val="Heading1"/>
      </w:pPr>
      <w:r>
        <w:t>4. Create S &amp; D Parameters</w:t>
      </w:r>
    </w:p>
    <w:p>
      <w:r>
        <w:t>An S&amp;D Parameter (tab: S &amp; D Parameters) defines one measure. Click New to open the full-screen builder, choose an Operator, then fill the operator-specific fields.</w:t>
      </w:r>
    </w:p>
    <w:p>
      <w:pPr>
        <w:pStyle w:val="Heading3"/>
      </w:pPr>
      <w:r>
        <w:t>Operators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Operator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Use it for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t>SUM</w:t>
            </w:r>
          </w:p>
        </w:tc>
        <w:tc>
          <w:tcPr>
            <w:tcW w:type="dxa" w:w="2880"/>
          </w:tcPr>
          <w:p>
            <w:r>
              <w:t>Sum a numeric field (e.g. volume MT, revenue)</w:t>
            </w:r>
          </w:p>
        </w:tc>
        <w:tc>
          <w:tcPr>
            <w:tcW w:type="dxa" w:w="2880"/>
          </w:tcPr>
          <w:p>
            <w:r>
              <w:t>Object, Field, User Field, Date Field, Filters</w:t>
            </w:r>
          </w:p>
        </w:tc>
      </w:tr>
      <w:tr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Count records (e.g. orders)</w:t>
            </w:r>
          </w:p>
        </w:tc>
        <w:tc>
          <w:tcPr>
            <w:tcW w:type="dxa" w:w="2880"/>
          </w:tcPr>
          <w:p>
            <w:r>
              <w:t>Object, User Field, Date Field, Filters</w:t>
            </w:r>
          </w:p>
        </w:tc>
      </w:tr>
      <w:tr>
        <w:tc>
          <w:tcPr>
            <w:tcW w:type="dxa" w:w="2880"/>
          </w:tcPr>
          <w:p>
            <w:r>
              <w:t>COUNT_DISTINCT</w:t>
            </w:r>
          </w:p>
        </w:tc>
        <w:tc>
          <w:tcPr>
            <w:tcW w:type="dxa" w:w="2880"/>
          </w:tcPr>
          <w:p>
            <w:r>
              <w:t>Unique count of one field (e.g. unique Accounts on Order)</w:t>
            </w:r>
          </w:p>
        </w:tc>
        <w:tc>
          <w:tcPr>
            <w:tcW w:type="dxa" w:w="2880"/>
          </w:tcPr>
          <w:p>
            <w:r>
              <w:t>Object, Field (to count), User Field, Date Field</w:t>
            </w:r>
          </w:p>
        </w:tc>
      </w:tr>
      <w:tr>
        <w:tc>
          <w:tcPr>
            <w:tcW w:type="dxa" w:w="2880"/>
          </w:tcPr>
          <w:p>
            <w:r>
              <w:t>MULTI_OBJECT_DISTINCT</w:t>
            </w:r>
          </w:p>
        </w:tc>
        <w:tc>
          <w:tcPr>
            <w:tcW w:type="dxa" w:w="2880"/>
          </w:tcPr>
          <w:p>
            <w:r>
              <w:t>Unique Customers across several objects (e.g. Visit + Visit Form + Order)</w:t>
            </w:r>
          </w:p>
        </w:tc>
        <w:tc>
          <w:tcPr>
            <w:tcW w:type="dxa" w:w="2880"/>
          </w:tcPr>
          <w:p>
            <w:r>
              <w:t>One or more Sources, each: Object, Customer Field, User Field, Date Field, Filters</w:t>
            </w:r>
          </w:p>
        </w:tc>
      </w:tr>
      <w:tr>
        <w:tc>
          <w:tcPr>
            <w:tcW w:type="dxa" w:w="2880"/>
          </w:tcPr>
          <w:p>
            <w:r>
              <w:t>FOCUS_PACK_VOLUME / FOCUS_PACK_REVENUE</w:t>
            </w:r>
          </w:p>
        </w:tc>
        <w:tc>
          <w:tcPr>
            <w:tcW w:type="dxa" w:w="2880"/>
          </w:tcPr>
          <w:p>
            <w:r>
              <w:t>Volume/revenue restricted to a Focused Pack's SKUs</w:t>
            </w:r>
          </w:p>
        </w:tc>
        <w:tc>
          <w:tcPr>
            <w:tcW w:type="dxa" w:w="2880"/>
          </w:tcPr>
          <w:p>
            <w:r>
              <w:t>Object, Field, User/Date Field, Sales Channel, Focused Pack</w:t>
            </w:r>
          </w:p>
        </w:tc>
      </w:tr>
    </w:tbl>
    <w:p/>
    <w:p>
      <w:pPr>
        <w:pStyle w:val="Heading3"/>
      </w:pPr>
      <w:r>
        <w:t>Steps</w:t>
      </w:r>
    </w:p>
    <w:p>
      <w:pPr>
        <w:pStyle w:val="ListNumber"/>
      </w:pPr>
      <w:r>
        <w:t>S &amp; D Parameters tab &gt; New.</w:t>
      </w:r>
    </w:p>
    <w:p>
      <w:pPr>
        <w:pStyle w:val="ListNumber"/>
      </w:pPr>
      <w:r>
        <w:t>Enter a Name and pick the Operator.</w:t>
      </w:r>
    </w:p>
    <w:p>
      <w:pPr>
        <w:pStyle w:val="ListNumber"/>
      </w:pPr>
      <w:r>
        <w:t>Choose the source Object; pick the User Field (identifies the salesperson) and the Date Field (used for the period).</w:t>
      </w:r>
    </w:p>
    <w:p>
      <w:pPr>
        <w:pStyle w:val="ListNumber"/>
      </w:pPr>
      <w:r>
        <w:t>For SUM / COUNT_DISTINCT / Focus Pack: pick the Field to aggregate/count.</w:t>
      </w:r>
    </w:p>
    <w:p>
      <w:pPr>
        <w:pStyle w:val="ListNumber"/>
      </w:pPr>
      <w:r>
        <w:t>For Unique Customers (multi-object): click Add Source and define each object + its customer field (+ user/date field + filters). Add a source per customer field (e.g. Visit Form Primary and Secondary Customer are two sources).</w:t>
      </w:r>
    </w:p>
    <w:p>
      <w:pPr>
        <w:pStyle w:val="ListNumber"/>
      </w:pPr>
      <w:r>
        <w:t>Optionally add Filters and Filter Logic; tick Mandatory if this is a value/volume gate.</w:t>
      </w:r>
    </w:p>
    <w:p>
      <w:pPr>
        <w:pStyle w:val="ListNumber"/>
      </w:pPr>
      <w:r>
        <w:t>Click Save. The query the engine will run is stored automatically.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3FF"/>
          </w:tcPr>
          <w:p>
            <w:r>
              <w:rPr>
                <w:b/>
                <w:color w:val="014486"/>
              </w:rPr>
              <w:t xml:space="preserve">Important: </w:t>
            </w:r>
            <w:r>
              <w:t>Mark at least one parameter per target as Mandatory — eligibility depends on the mandatory parameter(s) reaching the lowest slab floor.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3FF"/>
          </w:tcPr>
          <w:p>
            <w:r>
              <w:rPr>
                <w:b/>
                <w:color w:val="014486"/>
              </w:rPr>
              <w:t xml:space="preserve">After deployment: </w:t>
            </w:r>
            <w:r>
              <w:t>If parameters were just deployed, an admin runs scripts/apex/regen_sd_parameter_soql.apex once so stored queries are regenerated.</w:t>
            </w:r>
          </w:p>
        </w:tc>
      </w:tr>
    </w:tbl>
    <w:p/>
    <w:p>
      <w:r>
        <w:rPr>
          <w:i/>
          <w:color w:val="706E6B"/>
        </w:rPr>
        <w:t>[ Screenshot placeholder — S&amp;D Parameter builder showing operator and source mapping ]</w:t>
      </w:r>
    </w:p>
    <w:p>
      <w:pPr>
        <w:pStyle w:val="Heading1"/>
      </w:pPr>
      <w:r>
        <w:t>5. Build a PBIS Policy and its Slabs</w:t>
      </w:r>
    </w:p>
    <w:p>
      <w:pPr>
        <w:pStyle w:val="ListNumber"/>
      </w:pPr>
      <w:r>
        <w:t>Primary PBIS Policies tab &gt; New to open the policy builder.</w:t>
      </w:r>
    </w:p>
    <w:p>
      <w:pPr>
        <w:pStyle w:val="ListNumber"/>
      </w:pPr>
      <w:r>
        <w:t>Enter the Policy Name, Basis (Value/Volume), and select the Sales Channel(s).</w:t>
      </w:r>
    </w:p>
    <w:p>
      <w:pPr>
        <w:pStyle w:val="ListNumber"/>
      </w:pPr>
      <w:r>
        <w:t>Add a slab row per Profile band: Profile, From %, To %, Monthly % and Quarterly %.</w:t>
      </w:r>
    </w:p>
    <w:p>
      <w:pPr>
        <w:pStyle w:val="ListNumber"/>
      </w:pPr>
      <w:r>
        <w:t>Use Add Slab for more bands; leave the top band's To % blank for an open-ended top slab.</w:t>
      </w:r>
    </w:p>
    <w:p>
      <w:pPr>
        <w:pStyle w:val="ListNumber"/>
      </w:pPr>
      <w:r>
        <w:t>Click Save.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3FF"/>
          </w:tcPr>
          <w:p>
            <w:r>
              <w:rPr>
                <w:b/>
                <w:color w:val="014486"/>
              </w:rPr>
              <w:t xml:space="preserve">One active policy per channel: </w:t>
            </w:r>
            <w:r>
              <w:t>An active policy may not share a Sales Channel with another active policy. If you try, you'll see an error naming the existing policy (e.g. "KA Policy" (KA)). Deactivate the old one or change the channel.</w:t>
            </w:r>
          </w:p>
        </w:tc>
      </w:tr>
    </w:tbl>
    <w:p/>
    <w:p>
      <w:r>
        <w:rPr>
          <w:i/>
          <w:color w:val="706E6B"/>
        </w:rPr>
        <w:t>[ Screenshot placeholder — PBIS Policy builder with per-Profile slab rows ]</w:t>
      </w:r>
    </w:p>
    <w:p>
      <w:pPr>
        <w:pStyle w:val="Heading1"/>
      </w:pPr>
      <w:r>
        <w:t>6. Upload PBIS Targets</w:t>
      </w:r>
    </w:p>
    <w:p>
      <w:r>
        <w:t>PBIS Targets are loaded per user per period using Salesforce Inspector (Data Import). A template is provided at scripts/import/PBIS_Target_Import_Template.xlsx.</w:t>
      </w:r>
    </w:p>
    <w:p>
      <w:pPr>
        <w:pStyle w:val="Heading3"/>
      </w:pPr>
      <w:r>
        <w:t>Template &amp; mapping</w:t>
      </w:r>
    </w:p>
    <w:p>
      <w:pPr>
        <w:pStyle w:val="ListBullet"/>
      </w:pPr>
      <w:r>
        <w:t>Row 1 = field API names; Row 2 = descriptions; Row 3 = a sample. Remove rows 2-3 before importing.</w:t>
      </w:r>
    </w:p>
    <w:p>
      <w:pPr>
        <w:pStyle w:val="ListBullet"/>
      </w:pPr>
      <w:r>
        <w:t>Operation: Upsert, External Id field: External_Id__c (so re-imports update the same row).</w:t>
      </w:r>
    </w:p>
    <w:p>
      <w:pPr>
        <w:pStyle w:val="ListBullet"/>
      </w:pPr>
      <w:r>
        <w:t>User by Username: column User__r.Username. Policy &amp; Profile derive from the User; Gross Salary auto-fills from the User on save.</w:t>
      </w:r>
    </w:p>
    <w:p>
      <w:pPr>
        <w:pStyle w:val="ListBullet"/>
      </w:pPr>
      <w:r>
        <w:t>Each slot's parameter: column S_D_Parameter_&lt;n&gt;__r.External_Id__c (the parameter's External Id).</w:t>
      </w:r>
    </w:p>
    <w:p>
      <w:pPr>
        <w:pStyle w:val="ListBullet"/>
      </w:pPr>
      <w:r>
        <w:t>Per slot also provide S_D_Parameter_&lt;n&gt;_Weightage__c and S_D_Parameter_&lt;n&gt;_Target__c.</w:t>
      </w:r>
    </w:p>
    <w:p>
      <w:pPr>
        <w:pStyle w:val="Heading3"/>
      </w:pPr>
      <w:r>
        <w:t>Integrity rules enforced on save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Message you may see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Fix</w:t>
            </w:r>
          </w:p>
        </w:tc>
      </w:tr>
      <w:tr>
        <w:tc>
          <w:tcPr>
            <w:tcW w:type="dxa" w:w="2880"/>
          </w:tcPr>
          <w:p>
            <w:r>
              <w:t>Slot all-or-none</w:t>
            </w:r>
          </w:p>
        </w:tc>
        <w:tc>
          <w:tcPr>
            <w:tcW w:type="dxa" w:w="2880"/>
          </w:tcPr>
          <w:p>
            <w:r>
              <w:t>S &amp; D Parameter N: enter the Parameter, its Target and its Weightage together, or leave all three blank.</w:t>
            </w:r>
          </w:p>
        </w:tc>
        <w:tc>
          <w:tcPr>
            <w:tcW w:type="dxa" w:w="2880"/>
          </w:tcPr>
          <w:p>
            <w:r>
              <w:t>Fill all three for the slot, or clear all three.</w:t>
            </w:r>
          </w:p>
        </w:tc>
      </w:tr>
      <w:tr>
        <w:tc>
          <w:tcPr>
            <w:tcW w:type="dxa" w:w="2880"/>
          </w:tcPr>
          <w:p>
            <w:r>
              <w:t>Weightages total 100</w:t>
            </w:r>
          </w:p>
        </w:tc>
        <w:tc>
          <w:tcPr>
            <w:tcW w:type="dxa" w:w="2880"/>
          </w:tcPr>
          <w:p>
            <w:r>
              <w:t>S &amp; D Parameter weightages must total 100%.</w:t>
            </w:r>
          </w:p>
        </w:tc>
        <w:tc>
          <w:tcPr>
            <w:tcW w:type="dxa" w:w="2880"/>
          </w:tcPr>
          <w:p>
            <w:r>
              <w:t>Adjust weightages to sum to 100.</w:t>
            </w:r>
          </w:p>
        </w:tc>
      </w:tr>
      <w:tr>
        <w:tc>
          <w:tcPr>
            <w:tcW w:type="dxa" w:w="2880"/>
          </w:tcPr>
          <w:p>
            <w:r>
              <w:t>Mandatory required</w:t>
            </w:r>
          </w:p>
        </w:tc>
        <w:tc>
          <w:tcPr>
            <w:tcW w:type="dxa" w:w="2880"/>
          </w:tcPr>
          <w:p>
            <w:r>
              <w:t>Include the mandatory value/volume S&amp;D parameter in at least one slot.</w:t>
            </w:r>
          </w:p>
        </w:tc>
        <w:tc>
          <w:tcPr>
            <w:tcW w:type="dxa" w:w="2880"/>
          </w:tcPr>
          <w:p>
            <w:r>
              <w:t>Add a parameter marked Mandatory.</w:t>
            </w:r>
          </w:p>
        </w:tc>
      </w:tr>
      <w:tr>
        <w:tc>
          <w:tcPr>
            <w:tcW w:type="dxa" w:w="2880"/>
          </w:tcPr>
          <w:p>
            <w:r>
              <w:t>End Date in future</w:t>
            </w:r>
          </w:p>
        </w:tc>
        <w:tc>
          <w:tcPr>
            <w:tcW w:type="dxa" w:w="2880"/>
          </w:tcPr>
          <w:p>
            <w:r>
              <w:t>For new PBIS Targets, End Date must be later than today.</w:t>
            </w:r>
          </w:p>
        </w:tc>
        <w:tc>
          <w:tcPr>
            <w:tcW w:type="dxa" w:w="2880"/>
          </w:tcPr>
          <w:p>
            <w:r>
              <w:t>Use a current/future period.</w:t>
            </w:r>
          </w:p>
        </w:tc>
      </w:tr>
      <w:tr>
        <w:tc>
          <w:tcPr>
            <w:tcW w:type="dxa" w:w="2880"/>
          </w:tcPr>
          <w:p>
            <w:r>
              <w:t>No overlapping period</w:t>
            </w:r>
          </w:p>
        </w:tc>
        <w:tc>
          <w:tcPr>
            <w:tcW w:type="dxa" w:w="2880"/>
          </w:tcPr>
          <w:p>
            <w:r>
              <w:t>A PBIS Target already exists for this User and Incentive Period with an overlapping period ...</w:t>
            </w:r>
          </w:p>
        </w:tc>
        <w:tc>
          <w:tcPr>
            <w:tcW w:type="dxa" w:w="2880"/>
          </w:tcPr>
          <w:p>
            <w:r>
              <w:t>Use non-overlapping dates, or a different Incentive Period.</w:t>
            </w:r>
          </w:p>
        </w:tc>
      </w:tr>
      <w:tr>
        <w:tc>
          <w:tcPr>
            <w:tcW w:type="dxa" w:w="2880"/>
          </w:tcPr>
          <w:p>
            <w:r>
              <w:t>Unique parameters</w:t>
            </w:r>
          </w:p>
        </w:tc>
        <w:tc>
          <w:tcPr>
            <w:tcW w:type="dxa" w:w="2880"/>
          </w:tcPr>
          <w:p>
            <w:r>
              <w:t>S &amp; D Parameter 1 and S &amp; D Parameter 2 are matching. Please add unique Parameters.</w:t>
            </w:r>
          </w:p>
        </w:tc>
        <w:tc>
          <w:tcPr>
            <w:tcW w:type="dxa" w:w="2880"/>
          </w:tcPr>
          <w:p>
            <w:r>
              <w:t>Use a different S&amp;D Parameter in each slot.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3FF"/>
          </w:tcPr>
          <w:p>
            <w:r>
              <w:rPr>
                <w:b/>
                <w:color w:val="014486"/>
              </w:rPr>
              <w:t xml:space="preserve">Bulk uploads: </w:t>
            </w:r>
            <w:r>
              <w:t>All rules are bulk-safe for ~1000 users. With partial-success enabled, only the offending rows fail; the rest load. Targets are owned by their User automatically.</w:t>
            </w:r>
          </w:p>
        </w:tc>
      </w:tr>
    </w:tbl>
    <w:p/>
    <w:p>
      <w:r>
        <w:rPr>
          <w:i/>
          <w:color w:val="706E6B"/>
        </w:rPr>
        <w:t>[ Screenshot placeholder — Salesforce Inspector Data Import — Upsert on External_Id__c ]</w:t>
      </w:r>
    </w:p>
    <w:p>
      <w:pPr>
        <w:pStyle w:val="Heading1"/>
      </w:pPr>
      <w:r>
        <w:t>7. Run &amp; verify the calculation</w:t>
      </w:r>
    </w:p>
    <w:p>
      <w:r>
        <w:t>Actuals and incentive are computed from each parameter's stored query and the policy slabs. There are three ways to run it: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Where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Scope</w:t>
            </w:r>
          </w:p>
        </w:tc>
      </w:tr>
      <w:tr>
        <w:tc>
          <w:tcPr>
            <w:tcW w:type="dxa" w:w="2880"/>
          </w:tcPr>
          <w:p>
            <w:r>
              <w:t>Recalculate Incentive</w:t>
            </w:r>
          </w:p>
        </w:tc>
        <w:tc>
          <w:tcPr>
            <w:tcW w:type="dxa" w:w="2880"/>
          </w:tcPr>
          <w:p>
            <w:r>
              <w:t>Quick action on a PBIS Target record</w:t>
            </w:r>
          </w:p>
        </w:tc>
        <w:tc>
          <w:tcPr>
            <w:tcW w:type="dxa" w:w="2880"/>
          </w:tcPr>
          <w:p>
            <w:r>
              <w:t>That one record (immediate)</w:t>
            </w:r>
          </w:p>
        </w:tc>
      </w:tr>
      <w:tr>
        <w:tc>
          <w:tcPr>
            <w:tcW w:type="dxa" w:w="2880"/>
          </w:tcPr>
          <w:p>
            <w:r>
              <w:t>Refresh Actuals</w:t>
            </w:r>
          </w:p>
        </w:tc>
        <w:tc>
          <w:tcPr>
            <w:tcW w:type="dxa" w:w="2880"/>
          </w:tcPr>
          <w:p>
            <w:r>
              <w:t>List button on the PBIS Targets list view</w:t>
            </w:r>
          </w:p>
        </w:tc>
        <w:tc>
          <w:tcPr>
            <w:tcW w:type="dxa" w:w="2880"/>
          </w:tcPr>
          <w:p>
            <w:r>
              <w:t>All active in-period targets (background)</w:t>
            </w:r>
          </w:p>
        </w:tc>
      </w:tr>
      <w:tr>
        <w:tc>
          <w:tcPr>
            <w:tcW w:type="dxa" w:w="2880"/>
          </w:tcPr>
          <w:p>
            <w:r>
              <w:t>Daily scheduler</w:t>
            </w:r>
          </w:p>
        </w:tc>
        <w:tc>
          <w:tcPr>
            <w:tcW w:type="dxa" w:w="2880"/>
          </w:tcPr>
          <w:p>
            <w:r>
              <w:t>Automatic at 9:00 AM</w:t>
            </w:r>
          </w:p>
        </w:tc>
        <w:tc>
          <w:tcPr>
            <w:tcW w:type="dxa" w:w="2880"/>
          </w:tcPr>
          <w:p>
            <w:r>
              <w:t>All active targets whose period includes today</w:t>
            </w:r>
          </w:p>
        </w:tc>
      </w:tr>
    </w:tbl>
    <w:p/>
    <w:p>
      <w:r>
        <w:t>After running, each slot shows Achievement, Achievement %, the qualified Slab band, Incentive % and Incentive Amount; the header shows Total Incentive, Max Possible and Eligible.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3FF"/>
          </w:tcPr>
          <w:p>
            <w:r>
              <w:rPr>
                <w:b/>
                <w:color w:val="014486"/>
              </w:rPr>
              <w:t xml:space="preserve">Slab snapshot: </w:t>
            </w:r>
            <w:r>
              <w:t>Each slot also stores S_D_Parameter_N_Slab__c (the band, e.g. 100 - 109.99) and S_D_Parameter_N_Incentive_Percentage__c, so the record keeps a trace even if the slab is later changed or deleted.</w:t>
            </w:r>
          </w:p>
        </w:tc>
      </w:tr>
    </w:tbl>
    <w:p/>
    <w:p>
      <w:pPr>
        <w:pStyle w:val="Heading1"/>
      </w:pPr>
      <w:r>
        <w:t>8. KPI Dashboard &amp; access</w:t>
      </w:r>
    </w:p>
    <w:p>
      <w:pPr>
        <w:pStyle w:val="ListBullet"/>
      </w:pPr>
      <w:r>
        <w:t>The KPI Dashboard tab contains two sub-tabs: Primary KPI and Secondary KPI.</w:t>
      </w:r>
    </w:p>
    <w:p>
      <w:pPr>
        <w:pStyle w:val="ListBullet"/>
      </w:pPr>
      <w:r>
        <w:t>Grant the KPI Dashboard tab and Apex access via the KPI_Dashboard_Access permission set (and add the tab to the relevant Lightning app).</w:t>
      </w:r>
    </w:p>
    <w:p>
      <w:pPr>
        <w:pStyle w:val="ListBullet"/>
      </w:pPr>
      <w:r>
        <w:t>Ensure users have field-level security (via a profile or permission set) on the PBIS Target fields so the dashboard and record page show values.</w:t>
      </w:r>
    </w:p>
    <w:p>
      <w:pPr>
        <w:pStyle w:val="ListBullet"/>
      </w:pPr>
      <w:r>
        <w:t>The record page Primary PBIS Target Record Page shows the per-slot Slab band and Incentive % (only on saved records).</w:t>
      </w:r>
    </w:p>
    <w:p>
      <w:pPr>
        <w:pStyle w:val="Heading1"/>
      </w:pPr>
      <w:r>
        <w:t>9. Deployment notes</w:t>
      </w:r>
    </w:p>
    <w:p>
      <w:pPr>
        <w:pStyle w:val="ListBullet"/>
      </w:pPr>
      <w:r>
        <w:t>Deploy via the provided manifests/workflows (e.g. pbis_kpi_slab.xml, deploy-pbisactuals).</w:t>
      </w:r>
    </w:p>
    <w:p>
      <w:pPr>
        <w:pStyle w:val="ListBullet"/>
      </w:pPr>
      <w:r>
        <w:t>The KPI container references the existing Secondary KPI dashboard component — it must exist in the target org.</w:t>
      </w:r>
    </w:p>
    <w:p>
      <w:pPr>
        <w:pStyle w:val="ListBullet"/>
      </w:pPr>
      <w:r>
        <w:t>After deploy: run scripts/apex/regen_sd_parameter_soql.apex, then re-run a recalc so existing targets populate the new fields.</w:t>
      </w:r>
    </w:p>
    <w:p>
      <w:pPr>
        <w:pStyle w:val="ListBullet"/>
      </w:pPr>
      <w:r>
        <w:t>Schedule the daily job once: scripts/apex/schedule_pbis_actuals.apex.</w:t>
      </w:r>
    </w:p>
    <w:p>
      <w:pPr>
        <w:pStyle w:val="Heading1"/>
      </w:pPr>
      <w:r>
        <w:t>10. Troubleshooting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Likely cause / fix</w:t>
            </w:r>
          </w:p>
        </w:tc>
      </w:tr>
      <w:tr>
        <w:tc>
          <w:tcPr>
            <w:tcW w:type="dxa" w:w="4320"/>
          </w:tcPr>
          <w:p>
            <w:r>
              <w:t>Incentive is 0 although achievement is high</w:t>
            </w:r>
          </w:p>
        </w:tc>
        <w:tc>
          <w:tcPr>
            <w:tcW w:type="dxa" w:w="4320"/>
          </w:tcPr>
          <w:p>
            <w:r>
              <w:t>Target is Not Eligible — a mandatory parameter is below the lowest slab floor. Check the mandatory slot's %.</w:t>
            </w:r>
          </w:p>
        </w:tc>
      </w:tr>
      <w:tr>
        <w:tc>
          <w:tcPr>
            <w:tcW w:type="dxa" w:w="4320"/>
          </w:tcPr>
          <w:p>
            <w:r>
              <w:t>KPI dashboard columns blank for a user</w:t>
            </w:r>
          </w:p>
        </w:tc>
        <w:tc>
          <w:tcPr>
            <w:tcW w:type="dxa" w:w="4320"/>
          </w:tcPr>
          <w:p>
            <w:r>
              <w:t>Missing field-level security on PBIS Target fields.</w:t>
            </w:r>
          </w:p>
        </w:tc>
      </w:tr>
      <w:tr>
        <w:tc>
          <w:tcPr>
            <w:tcW w:type="dxa" w:w="4320"/>
          </w:tcPr>
          <w:p>
            <w:r>
              <w:t>Achievement shows 0 after import</w:t>
            </w:r>
          </w:p>
        </w:tc>
        <w:tc>
          <w:tcPr>
            <w:tcW w:type="dxa" w:w="4320"/>
          </w:tcPr>
          <w:p>
            <w:r>
              <w:t>Recalc not run yet, or parameter query needs regeneration (run the regen script) — then Refresh Actuals.</w:t>
            </w:r>
          </w:p>
        </w:tc>
      </w:tr>
      <w:tr>
        <w:tc>
          <w:tcPr>
            <w:tcW w:type="dxa" w:w="4320"/>
          </w:tcPr>
          <w:p>
            <w:r>
              <w:t>Cannot save a policy (channel error)</w:t>
            </w:r>
          </w:p>
        </w:tc>
        <w:tc>
          <w:tcPr>
            <w:tcW w:type="dxa" w:w="4320"/>
          </w:tcPr>
          <w:p>
            <w:r>
              <w:t>Another active policy already uses that channel.</w:t>
            </w:r>
          </w:p>
        </w:tc>
      </w:tr>
      <w:tr>
        <w:tc>
          <w:tcPr>
            <w:tcW w:type="dxa" w:w="4320"/>
          </w:tcPr>
          <w:p>
            <w:r>
              <w:t>Row rejected on import</w:t>
            </w:r>
          </w:p>
        </w:tc>
        <w:tc>
          <w:tcPr>
            <w:tcW w:type="dxa" w:w="4320"/>
          </w:tcPr>
          <w:p>
            <w:r>
              <w:t>See the integrity-rules table in section 6.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B5CA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1448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1448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