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 w:line="360" w:lineRule="auto"/>
      </w:pPr>
    </w:p>
    <w:p>
      <w:pPr>
        <w:pBdr>
          <w:bottom w:val="single" w:sz="18" w:space="6" w:color="16365C"/>
        </w:pBdr>
        <w:spacing w:before="0" w:after="0" w:line="240" w:lineRule="auto"/>
      </w:pPr>
    </w:p>
    <w:p>
      <w:pPr>
        <w:spacing w:before="280" w:after="80" w:line="288" w:lineRule="auto"/>
      </w:pPr>
      <w:r>
        <w:rPr>
          <w:rFonts w:ascii="Arial" w:hAnsi="Arial" w:eastAsia="微软雅黑" w:cs="Arial"/>
          <w:b/>
          <w:i w:val="0"/>
          <w:color w:val="2E75B6"/>
          <w:sz w:val="20"/>
        </w:rPr>
        <w:t xml:space="preserve">官</w:t>
      </w:r>
      <w:r>
        <w:rPr>
          <w:rFonts w:ascii="Arial" w:hAnsi="Arial" w:eastAsia="Arial" w:cs="Arial"/>
          <w:b/>
          <w:i w:val="0"/>
          <w:color w:val="2E75B6"/>
          <w:sz w:val="20"/>
        </w:rPr>
        <w:t xml:space="preserve"> </w:t>
      </w:r>
      <w:r>
        <w:rPr>
          <w:rFonts w:ascii="Arial" w:hAnsi="Arial" w:eastAsia="微软雅黑" w:cs="Arial"/>
          <w:b/>
          <w:i w:val="0"/>
          <w:color w:val="2E75B6"/>
          <w:sz w:val="20"/>
        </w:rPr>
        <w:t xml:space="preserve">方</w:t>
      </w:r>
      <w:r>
        <w:rPr>
          <w:rFonts w:ascii="Arial" w:hAnsi="Arial" w:eastAsia="Arial" w:cs="Arial"/>
          <w:b/>
          <w:i w:val="0"/>
          <w:color w:val="2E75B6"/>
          <w:sz w:val="20"/>
        </w:rPr>
        <w:t xml:space="preserve"> </w:t>
      </w:r>
      <w:r>
        <w:rPr>
          <w:rFonts w:ascii="Arial" w:hAnsi="Arial" w:eastAsia="微软雅黑" w:cs="Arial"/>
          <w:b/>
          <w:i w:val="0"/>
          <w:color w:val="2E75B6"/>
          <w:sz w:val="20"/>
        </w:rPr>
        <w:t xml:space="preserve">资</w:t>
      </w:r>
      <w:r>
        <w:rPr>
          <w:rFonts w:ascii="Arial" w:hAnsi="Arial" w:eastAsia="Arial" w:cs="Arial"/>
          <w:b/>
          <w:i w:val="0"/>
          <w:color w:val="2E75B6"/>
          <w:sz w:val="20"/>
        </w:rPr>
        <w:t xml:space="preserve"> </w:t>
      </w:r>
      <w:r>
        <w:rPr>
          <w:rFonts w:ascii="Arial" w:hAnsi="Arial" w:eastAsia="微软雅黑" w:cs="Arial"/>
          <w:b/>
          <w:i w:val="0"/>
          <w:color w:val="2E75B6"/>
          <w:sz w:val="20"/>
        </w:rPr>
        <w:t xml:space="preserve">料</w:t>
      </w:r>
      <w:r>
        <w:rPr>
          <w:rFonts w:ascii="Arial" w:hAnsi="Arial" w:eastAsia="Arial" w:cs="Arial"/>
          <w:b/>
          <w:i w:val="0"/>
          <w:color w:val="2E75B6"/>
          <w:sz w:val="20"/>
        </w:rPr>
        <w:t xml:space="preserve"> · </w:t>
      </w:r>
      <w:r>
        <w:rPr>
          <w:rFonts w:ascii="Arial" w:hAnsi="Arial" w:eastAsia="微软雅黑" w:cs="Arial"/>
          <w:b/>
          <w:i w:val="0"/>
          <w:color w:val="2E75B6"/>
          <w:sz w:val="20"/>
        </w:rPr>
        <w:t xml:space="preserve">中</w:t>
      </w:r>
      <w:r>
        <w:rPr>
          <w:rFonts w:ascii="Arial" w:hAnsi="Arial" w:eastAsia="Arial" w:cs="Arial"/>
          <w:b/>
          <w:i w:val="0"/>
          <w:color w:val="2E75B6"/>
          <w:sz w:val="20"/>
        </w:rPr>
        <w:t xml:space="preserve"> </w:t>
      </w:r>
      <w:r>
        <w:rPr>
          <w:rFonts w:ascii="Arial" w:hAnsi="Arial" w:eastAsia="微软雅黑" w:cs="Arial"/>
          <w:b/>
          <w:i w:val="0"/>
          <w:color w:val="2E75B6"/>
          <w:sz w:val="20"/>
        </w:rPr>
        <w:t xml:space="preserve">文</w:t>
      </w:r>
      <w:r>
        <w:rPr>
          <w:rFonts w:ascii="Arial" w:hAnsi="Arial" w:eastAsia="Arial" w:cs="Arial"/>
          <w:b/>
          <w:i w:val="0"/>
          <w:color w:val="2E75B6"/>
          <w:sz w:val="20"/>
        </w:rPr>
        <w:t xml:space="preserve"> </w:t>
      </w:r>
      <w:r>
        <w:rPr>
          <w:rFonts w:ascii="Arial" w:hAnsi="Arial" w:eastAsia="微软雅黑" w:cs="Arial"/>
          <w:b/>
          <w:i w:val="0"/>
          <w:color w:val="2E75B6"/>
          <w:sz w:val="20"/>
        </w:rPr>
        <w:t xml:space="preserve">整</w:t>
      </w:r>
      <w:r>
        <w:rPr>
          <w:rFonts w:ascii="Arial" w:hAnsi="Arial" w:eastAsia="Arial" w:cs="Arial"/>
          <w:b/>
          <w:i w:val="0"/>
          <w:color w:val="2E75B6"/>
          <w:sz w:val="20"/>
        </w:rPr>
        <w:t xml:space="preserve"> </w:t>
      </w:r>
      <w:r>
        <w:rPr>
          <w:rFonts w:ascii="Arial" w:hAnsi="Arial" w:eastAsia="微软雅黑" w:cs="Arial"/>
          <w:b/>
          <w:i w:val="0"/>
          <w:color w:val="2E75B6"/>
          <w:sz w:val="20"/>
        </w:rPr>
        <w:t xml:space="preserve">理</w:t>
      </w:r>
    </w:p>
    <w:p>
      <w:pPr>
        <w:spacing w:before="80" w:after="120" w:line="269" w:lineRule="auto"/>
      </w:pPr>
      <w:r>
        <w:rPr>
          <w:rFonts w:ascii="Arial" w:hAnsi="Arial" w:eastAsia="微软雅黑" w:cs="Arial"/>
          <w:b/>
          <w:i w:val="0"/>
          <w:color w:val="16365C"/>
          <w:sz w:val="54"/>
        </w:rPr>
        <w:t>PiPER 标准版</w:t>
        <w:br/>
        <w:t>参数与使用说明</w:t>
      </w:r>
    </w:p>
    <w:p>
      <w:pPr>
        <w:spacing w:before="40" w:after="40" w:line="324" w:lineRule="auto"/>
      </w:pPr>
      <w:r>
        <w:rPr>
          <w:rFonts w:ascii="Arial" w:hAnsi="Arial" w:eastAsia="微软雅黑" w:cs="Arial"/>
          <w:b w:val="0"/>
          <w:i w:val="0"/>
          <w:color w:val="595959"/>
          <w:sz w:val="21"/>
        </w:rPr>
        <w:t>AgileX PiPER 标准版：完整技术参数、接口定义、上电流程、SDK 与 CAN 协议速查</w:t>
      </w:r>
    </w:p>
    <w:p>
      <w:pPr>
        <w:spacing w:before="200" w:after="0" w:line="324" w:lineRule="auto"/>
      </w:pPr>
      <w:r>
        <w:rPr>
          <w:rFonts w:ascii="Arial" w:hAnsi="Arial" w:eastAsia="Arial" w:cs="Arial"/>
          <w:b/>
          <w:i w:val="0"/>
          <w:color w:val="2E75B6"/>
          <w:sz w:val="20"/>
        </w:rPr>
        <w:t xml:space="preserve">NEXT </w:t>
      </w:r>
      <w:r>
        <w:rPr>
          <w:rFonts w:ascii="Arial" w:hAnsi="Arial" w:eastAsia="微软雅黑" w:cs="Arial"/>
          <w:b/>
          <w:i w:val="0"/>
          <w:color w:val="2E75B6"/>
          <w:sz w:val="20"/>
        </w:rPr>
        <w:t xml:space="preserve">神经外部力矩估计　</w:t>
      </w:r>
      <w:r>
        <w:rPr>
          <w:rFonts w:ascii="Arial" w:hAnsi="Arial" w:eastAsia="Arial" w:cs="Arial"/>
          <w:b/>
          <w:i w:val="0"/>
          <w:color w:val="2E75B6"/>
          <w:sz w:val="20"/>
        </w:rPr>
        <w:t xml:space="preserve">·</w:t>
      </w:r>
      <w:r>
        <w:rPr>
          <w:rFonts w:ascii="Arial" w:hAnsi="Arial" w:eastAsia="微软雅黑" w:cs="Arial"/>
          <w:b/>
          <w:i w:val="0"/>
          <w:color w:val="2E75B6"/>
          <w:sz w:val="20"/>
        </w:rPr>
        <w:t xml:space="preserve">　</w:t>
      </w:r>
      <w:r>
        <w:rPr>
          <w:rFonts w:ascii="Arial" w:hAnsi="Arial" w:eastAsia="Arial" w:cs="Arial"/>
          <w:b/>
          <w:i w:val="0"/>
          <w:color w:val="2E75B6"/>
          <w:sz w:val="20"/>
        </w:rPr>
        <w:t xml:space="preserve">FIRST </w:t>
      </w:r>
      <w:r>
        <w:rPr>
          <w:rFonts w:ascii="Arial" w:hAnsi="Arial" w:eastAsia="微软雅黑" w:cs="Arial"/>
          <w:b/>
          <w:i w:val="0"/>
          <w:color w:val="2E75B6"/>
          <w:sz w:val="20"/>
        </w:rPr>
        <w:t xml:space="preserve">力信息驱动重采样　</w:t>
      </w:r>
      <w:r>
        <w:rPr>
          <w:rFonts w:ascii="Arial" w:hAnsi="Arial" w:eastAsia="Arial" w:cs="Arial"/>
          <w:b/>
          <w:i w:val="0"/>
          <w:color w:val="2E75B6"/>
          <w:sz w:val="20"/>
        </w:rPr>
        <w:t xml:space="preserve">·</w:t>
      </w:r>
      <w:r>
        <w:rPr>
          <w:rFonts w:ascii="Arial" w:hAnsi="Arial" w:eastAsia="微软雅黑" w:cs="Arial"/>
          <w:b/>
          <w:i w:val="0"/>
          <w:color w:val="2E75B6"/>
          <w:sz w:val="20"/>
        </w:rPr>
        <w:t xml:space="preserve">　自由空间</w:t>
      </w:r>
      <w:r>
        <w:rPr>
          <w:rFonts w:ascii="Arial" w:hAnsi="Arial" w:eastAsia="Arial" w:cs="Arial"/>
          <w:b/>
          <w:i w:val="0"/>
          <w:color w:val="2E75B6"/>
          <w:sz w:val="20"/>
        </w:rPr>
        <w:t xml:space="preserve"> L1 </w:t>
      </w:r>
      <w:r>
        <w:rPr>
          <w:rFonts w:ascii="Arial" w:hAnsi="Arial" w:eastAsia="微软雅黑" w:cs="Arial"/>
          <w:b/>
          <w:i w:val="0"/>
          <w:color w:val="2E75B6"/>
          <w:sz w:val="20"/>
        </w:rPr>
        <w:t xml:space="preserve">目标</w:t>
      </w:r>
      <w:r>
        <w:rPr>
          <w:rFonts w:ascii="Arial" w:hAnsi="Arial" w:eastAsia="Arial" w:cs="Arial"/>
          <w:b/>
          <w:i w:val="0"/>
          <w:color w:val="2E75B6"/>
          <w:sz w:val="20"/>
        </w:rPr>
        <w:t xml:space="preserve"> ≤ 0.05 N·m</w:t>
      </w:r>
    </w:p>
    <w:p>
      <w:pPr>
        <w:spacing w:before="120" w:after="0" w:line="360" w:lineRule="auto"/>
      </w:pPr>
    </w:p>
    <w:p>
      <w:pPr>
        <w:pBdr>
          <w:bottom w:val="single" w:sz="6" w:space="4" w:color="C9D6E4"/>
        </w:pBdr>
        <w:spacing w:before="0" w:after="0" w:line="240" w:lineRule="auto"/>
      </w:pPr>
    </w:p>
    <w:p>
      <w:pPr>
        <w:spacing w:before="120" w:after="40" w:line="360" w:lineRule="auto"/>
      </w:pPr>
    </w:p>
    <w:tbl>
      <w:tblPr>
        <w:tblW w:type="auto" w:w="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74"/>
          </w:tcPr>
          <w:p>
            <w:pPr>
              <w:spacing w:after="60"/>
            </w:pPr>
            <w:r>
              <w:rPr>
                <w:rFonts w:ascii="Arial" w:hAnsi="Arial" w:eastAsia="微软雅黑" w:cs="Arial"/>
                <w:b/>
                <w:i w:val="0"/>
                <w:color w:val="2E75B6"/>
                <w:sz w:val="17"/>
              </w:rPr>
              <w:t>机　　型</w:t>
            </w:r>
          </w:p>
        </w:tc>
        <w:tc>
          <w:tcPr>
            <w:tcW w:type="dxa" w:w="7483"/>
          </w:tcPr>
          <w:p>
            <w:pPr>
              <w:spacing w:after="6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595959"/>
                <w:sz w:val="17"/>
              </w:rPr>
              <w:t>AgileX Robotics PiPER 标准版（6 自由度轻量机械臂）</w:t>
            </w:r>
          </w:p>
        </w:tc>
      </w:tr>
      <w:tr>
        <w:tc>
          <w:tcPr>
            <w:tcW w:type="dxa" w:w="1474"/>
          </w:tcPr>
          <w:p>
            <w:pPr>
              <w:spacing w:after="60"/>
            </w:pPr>
            <w:r>
              <w:rPr>
                <w:rFonts w:ascii="Arial" w:hAnsi="Arial" w:eastAsia="微软雅黑" w:cs="Arial"/>
                <w:b/>
                <w:i w:val="0"/>
                <w:color w:val="2E75B6"/>
                <w:sz w:val="17"/>
              </w:rPr>
              <w:t>整理依据</w:t>
            </w:r>
          </w:p>
        </w:tc>
        <w:tc>
          <w:tcPr>
            <w:tcW w:type="dxa" w:w="7483"/>
          </w:tcPr>
          <w:p>
            <w:pPr>
              <w:spacing w:after="6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595959"/>
                <w:sz w:val="17"/>
              </w:rPr>
              <w:t>官方产品页、快速上手手册 V1.0、用户手册中文 V1.1.0、</w:t>
              <w:br/>
              <w:t>CAN 协议 API 手册 v1.5、官方 SDK 与 ROS 仓库</w:t>
            </w:r>
          </w:p>
        </w:tc>
      </w:tr>
      <w:tr>
        <w:tc>
          <w:tcPr>
            <w:tcW w:type="dxa" w:w="1474"/>
          </w:tcPr>
          <w:p>
            <w:pPr>
              <w:spacing w:after="60"/>
            </w:pPr>
            <w:r>
              <w:rPr>
                <w:rFonts w:ascii="Arial" w:hAnsi="Arial" w:eastAsia="微软雅黑" w:cs="Arial"/>
                <w:b/>
                <w:i w:val="0"/>
                <w:color w:val="2E75B6"/>
                <w:sz w:val="17"/>
              </w:rPr>
              <w:t>抓取时间</w:t>
            </w:r>
          </w:p>
        </w:tc>
        <w:tc>
          <w:tcPr>
            <w:tcW w:type="dxa" w:w="7483"/>
          </w:tcPr>
          <w:p>
            <w:pPr>
              <w:spacing w:after="6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595959"/>
                <w:sz w:val="17"/>
              </w:rPr>
              <w:t>2026-10-18</w:t>
            </w:r>
          </w:p>
        </w:tc>
      </w:tr>
      <w:tr>
        <w:tc>
          <w:tcPr>
            <w:tcW w:type="dxa" w:w="1474"/>
          </w:tcPr>
          <w:p>
            <w:pPr>
              <w:spacing w:after="60"/>
            </w:pPr>
            <w:r>
              <w:rPr>
                <w:rFonts w:ascii="Arial" w:hAnsi="Arial" w:eastAsia="微软雅黑" w:cs="Arial"/>
                <w:b/>
                <w:i w:val="0"/>
                <w:color w:val="2E75B6"/>
                <w:sz w:val="17"/>
              </w:rPr>
              <w:t>配套文件</w:t>
            </w:r>
          </w:p>
        </w:tc>
        <w:tc>
          <w:tcPr>
            <w:tcW w:type="dxa" w:w="7483"/>
          </w:tcPr>
          <w:p>
            <w:pPr>
              <w:spacing w:after="6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595959"/>
                <w:sz w:val="17"/>
              </w:rPr>
              <w:t>同目录下 3 份官方原始文件（PDF / XLSX）已存档，</w:t>
              <w:br/>
              <w:t>离线可查，无需联网</w:t>
            </w:r>
          </w:p>
        </w:tc>
      </w:tr>
      <w:tr>
        <w:tc>
          <w:tcPr>
            <w:tcW w:type="dxa" w:w="1474"/>
          </w:tcPr>
          <w:p>
            <w:pPr>
              <w:spacing w:after="60"/>
            </w:pPr>
            <w:r>
              <w:rPr>
                <w:rFonts w:ascii="Arial" w:hAnsi="Arial" w:eastAsia="微软雅黑" w:cs="Arial"/>
                <w:b/>
                <w:i w:val="0"/>
                <w:color w:val="2E75B6"/>
                <w:sz w:val="17"/>
              </w:rPr>
              <w:t>文档性质</w:t>
            </w:r>
          </w:p>
        </w:tc>
        <w:tc>
          <w:tcPr>
            <w:tcW w:type="dxa" w:w="7483"/>
          </w:tcPr>
          <w:p>
            <w:pPr>
              <w:spacing w:after="60" w:line="300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595959"/>
                <w:sz w:val="17"/>
              </w:rPr>
              <w:t>官方资料的中文摘录与重排；标注「工程建议」处为复现经验补充</w:t>
            </w:r>
          </w:p>
        </w:tc>
      </w:tr>
    </w:tbl>
    <w:p>
      <w:pPr>
        <w:spacing w:before="160" w:after="0" w:line="360" w:lineRule="auto"/>
      </w:pPr>
    </w:p>
    <w:p>
      <w:pPr>
        <w:spacing w:before="0" w:after="0" w:line="324" w:lineRule="auto"/>
        <w:jc w:val="left"/>
      </w:pPr>
      <w:r>
        <w:rPr>
          <w:rFonts w:ascii="Times New Roman" w:hAnsi="Times New Roman" w:eastAsia="宋体" w:cs="Times New Roman"/>
          <w:b/>
          <w:i w:val="0"/>
          <w:color w:val="16365C"/>
          <w:sz w:val="19"/>
        </w:rPr>
        <w:t>本报告回答三个问题：这台机器能复现到哪一层？每一步怎么验收？论文的数字为什么在你这里不会一模一样？</w:t>
      </w:r>
    </w:p>
    <w:p>
      <w:r>
        <w:br w:type="page"/>
      </w:r>
    </w:p>
    <w:p>
      <w:pPr>
        <w:keepNext/>
        <w:keepLines/>
        <w:pBdr>
          <w:bottom w:val="single" w:sz="10" w:space="4" w:color="2E75B6"/>
        </w:pBdr>
        <w:spacing w:before="400" w:after="180" w:line="288" w:lineRule="auto"/>
      </w:pPr>
      <w:r>
        <w:rPr>
          <w:rFonts w:ascii="Arial" w:hAnsi="Arial" w:eastAsia="微软雅黑" w:cs="Arial"/>
          <w:b/>
          <w:i w:val="0"/>
          <w:color w:val="16365C"/>
          <w:sz w:val="30"/>
        </w:rPr>
        <w:t>1. 机型定位与版本确认</w:t>
      </w: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PiPER 是一个系列，四个型号共用外观与生态，但臂展、负载、腕部关节行程不同。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先确认你手上是哪一版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，否则后续 URDF、DH 参数、运动学解算都会对不上。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tblHeader/>
        </w:trPr>
        <w:tc>
          <w:tcPr>
            <w:tcW w:type="dxa" w:w="1553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7"/>
              </w:rPr>
              <w:t>型号</w:t>
            </w:r>
          </w:p>
        </w:tc>
        <w:tc>
          <w:tcPr>
            <w:tcW w:type="dxa" w:w="828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7"/>
              </w:rPr>
              <w:t>自由度</w:t>
            </w:r>
          </w:p>
        </w:tc>
        <w:tc>
          <w:tcPr>
            <w:tcW w:type="dxa" w:w="828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7"/>
              </w:rPr>
              <w:t>负载</w:t>
            </w:r>
          </w:p>
        </w:tc>
        <w:tc>
          <w:tcPr>
            <w:tcW w:type="dxa" w:w="913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7"/>
              </w:rPr>
              <w:t>本体重量</w:t>
            </w:r>
          </w:p>
        </w:tc>
        <w:tc>
          <w:tcPr>
            <w:tcW w:type="dxa" w:w="1644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7"/>
              </w:rPr>
              <w:t>臂展（工作半径）</w:t>
            </w:r>
          </w:p>
        </w:tc>
        <w:tc>
          <w:tcPr>
            <w:tcW w:type="dxa" w:w="1287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7"/>
              </w:rPr>
              <w:t>重复定位精度</w:t>
            </w:r>
          </w:p>
        </w:tc>
        <w:tc>
          <w:tcPr>
            <w:tcW w:type="dxa" w:w="1100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7"/>
              </w:rPr>
              <w:t>J4 行程</w:t>
            </w:r>
          </w:p>
        </w:tc>
        <w:tc>
          <w:tcPr>
            <w:tcW w:type="dxa" w:w="913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7"/>
              </w:rPr>
              <w:t>J5 行程</w:t>
            </w:r>
          </w:p>
        </w:tc>
      </w:tr>
      <w:tr>
        <w:trPr>
          <w:cantSplit/>
        </w:trPr>
        <w:tc>
          <w:tcPr>
            <w:tcW w:type="dxa" w:w="1553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7"/>
              </w:rPr>
              <w:t>PiPER（标准版）</w:t>
            </w:r>
          </w:p>
        </w:tc>
        <w:tc>
          <w:tcPr>
            <w:tcW w:type="dxa" w:w="82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6</w:t>
            </w:r>
          </w:p>
        </w:tc>
        <w:tc>
          <w:tcPr>
            <w:tcW w:type="dxa" w:w="82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7"/>
              </w:rPr>
              <w:t>1.5 kg</w:t>
            </w:r>
          </w:p>
        </w:tc>
        <w:tc>
          <w:tcPr>
            <w:tcW w:type="dxa" w:w="91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7"/>
              </w:rPr>
              <w:t>4.2 kg</w:t>
            </w:r>
          </w:p>
        </w:tc>
        <w:tc>
          <w:tcPr>
            <w:tcW w:type="dxa" w:w="1644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7"/>
              </w:rPr>
              <w:t>626.75 mm</w:t>
            </w:r>
          </w:p>
        </w:tc>
        <w:tc>
          <w:tcPr>
            <w:tcW w:type="dxa" w:w="128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7"/>
              </w:rPr>
              <w:t>±0.1 mm</w:t>
            </w:r>
          </w:p>
        </w:tc>
        <w:tc>
          <w:tcPr>
            <w:tcW w:type="dxa" w:w="1100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-102°~102°</w:t>
            </w:r>
          </w:p>
        </w:tc>
        <w:tc>
          <w:tcPr>
            <w:tcW w:type="dxa" w:w="91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-75°~75°</w:t>
            </w:r>
          </w:p>
        </w:tc>
      </w:tr>
      <w:tr>
        <w:trPr>
          <w:cantSplit/>
        </w:trPr>
        <w:tc>
          <w:tcPr>
            <w:tcW w:type="dxa" w:w="1553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PiPER L</w:t>
            </w:r>
          </w:p>
        </w:tc>
        <w:tc>
          <w:tcPr>
            <w:tcW w:type="dxa" w:w="82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6</w:t>
            </w:r>
          </w:p>
        </w:tc>
        <w:tc>
          <w:tcPr>
            <w:tcW w:type="dxa" w:w="82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1.5 kg</w:t>
            </w:r>
          </w:p>
        </w:tc>
        <w:tc>
          <w:tcPr>
            <w:tcW w:type="dxa" w:w="913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4.5 kg</w:t>
            </w:r>
          </w:p>
        </w:tc>
        <w:tc>
          <w:tcPr>
            <w:tcW w:type="dxa" w:w="1644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750 mm</w:t>
            </w:r>
          </w:p>
        </w:tc>
        <w:tc>
          <w:tcPr>
            <w:tcW w:type="dxa" w:w="128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7"/>
              </w:rPr>
              <w:t>±0.1 mm</w:t>
            </w:r>
          </w:p>
        </w:tc>
        <w:tc>
          <w:tcPr>
            <w:tcW w:type="dxa" w:w="1100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-127°~127°</w:t>
            </w:r>
          </w:p>
        </w:tc>
        <w:tc>
          <w:tcPr>
            <w:tcW w:type="dxa" w:w="913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-90°~90°</w:t>
            </w:r>
          </w:p>
        </w:tc>
      </w:tr>
      <w:tr>
        <w:trPr>
          <w:cantSplit/>
        </w:trPr>
        <w:tc>
          <w:tcPr>
            <w:tcW w:type="dxa" w:w="1553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PiPER H</w:t>
            </w:r>
          </w:p>
        </w:tc>
        <w:tc>
          <w:tcPr>
            <w:tcW w:type="dxa" w:w="82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6</w:t>
            </w:r>
          </w:p>
        </w:tc>
        <w:tc>
          <w:tcPr>
            <w:tcW w:type="dxa" w:w="82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2.0 kg</w:t>
            </w:r>
          </w:p>
        </w:tc>
        <w:tc>
          <w:tcPr>
            <w:tcW w:type="dxa" w:w="91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4.5 kg</w:t>
            </w:r>
          </w:p>
        </w:tc>
        <w:tc>
          <w:tcPr>
            <w:tcW w:type="dxa" w:w="1644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636 mm</w:t>
            </w:r>
          </w:p>
        </w:tc>
        <w:tc>
          <w:tcPr>
            <w:tcW w:type="dxa" w:w="128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7"/>
              </w:rPr>
              <w:t>±0.1 mm</w:t>
            </w:r>
          </w:p>
        </w:tc>
        <w:tc>
          <w:tcPr>
            <w:tcW w:type="dxa" w:w="1100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-127°~127°</w:t>
            </w:r>
          </w:p>
        </w:tc>
        <w:tc>
          <w:tcPr>
            <w:tcW w:type="dxa" w:w="91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-90°~90°</w:t>
            </w:r>
          </w:p>
        </w:tc>
      </w:tr>
      <w:tr>
        <w:trPr>
          <w:cantSplit/>
        </w:trPr>
        <w:tc>
          <w:tcPr>
            <w:tcW w:type="dxa" w:w="1553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PiPER X</w:t>
            </w:r>
          </w:p>
        </w:tc>
        <w:tc>
          <w:tcPr>
            <w:tcW w:type="dxa" w:w="82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6</w:t>
            </w:r>
          </w:p>
        </w:tc>
        <w:tc>
          <w:tcPr>
            <w:tcW w:type="dxa" w:w="82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1.5 kg</w:t>
            </w:r>
          </w:p>
        </w:tc>
        <w:tc>
          <w:tcPr>
            <w:tcW w:type="dxa" w:w="913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4.5 kg</w:t>
            </w:r>
          </w:p>
        </w:tc>
        <w:tc>
          <w:tcPr>
            <w:tcW w:type="dxa" w:w="1644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669 mm</w:t>
            </w:r>
          </w:p>
        </w:tc>
        <w:tc>
          <w:tcPr>
            <w:tcW w:type="dxa" w:w="128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7"/>
              </w:rPr>
              <w:t>±0.1 mm</w:t>
            </w:r>
          </w:p>
        </w:tc>
        <w:tc>
          <w:tcPr>
            <w:tcW w:type="dxa" w:w="1100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-90°~90°</w:t>
            </w:r>
          </w:p>
        </w:tc>
        <w:tc>
          <w:tcPr>
            <w:tcW w:type="dxa" w:w="913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7"/>
              </w:rPr>
              <w:t>-90°~90°</w:t>
            </w:r>
          </w:p>
        </w:tc>
      </w:tr>
    </w:tbl>
    <w:p>
      <w:pPr>
        <w:spacing w:before="0" w:after="180" w:line="360" w:lineRule="auto"/>
      </w:pP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三步确认标准版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1.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铭牌 / 包装箱型号为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PiPER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（不带 L / H / X 后缀）；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2.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本体重量 4.2 kg，臂展 626.75 mm（L 版 750 mm、X 版 669 mm 差异明显）；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3.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读固件版本后再读关节限位：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piper.GetPiperFirmwareVersion()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与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0x473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反馈，实际限位以回读值为准。</w:t>
      </w:r>
    </w:p>
    <w:tbl>
      <w:tblPr>
        <w:tblW w:type="auto" w:w="0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140" w:type="dxa"/>
          <w:left w:w="240" w:type="dxa"/>
          <w:bottom w:w="140" w:type="dxa"/>
          <w:right w:w="200" w:type="dxa"/>
        </w:tblCellMar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tcBorders>
              <w:left w:val="single" w:sz="24" w:space="0" w:color="2E75B6"/>
            </w:tcBorders>
            <w:shd w:val="clear" w:color="auto" w:fill="F4F8FC"/>
          </w:tcPr>
          <w:p>
            <w:pPr>
              <w:spacing w:after="60" w:line="288" w:lineRule="auto"/>
            </w:pPr>
            <w:r/>
          </w:p>
          <w:p>
            <w:pPr>
              <w:spacing w:after="0" w:line="360" w:lineRule="auto"/>
              <w:jc w:val="both"/>
            </w:pPr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9"/>
              </w:rPr>
              <w:t>关节限位有三个版本，必须回读确认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。官方资料里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J4/J6 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的行程改过三次：快速上手手册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V1.0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（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2024.09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）写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J4 ±106°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、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J6 ±100°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；用户手册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V1.1.0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（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2024.12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）改为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J4 -102°~102°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、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J6 ±120°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（该版本更新说明明确写了「更新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J6 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关节限位设计」）；部分渠道页还写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J4 -100°~112°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。</w:t>
            </w:r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9"/>
              </w:rPr>
              <w:t>做复现时不要硬编码关节限位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，一律用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8"/>
              </w:rPr>
              <w:t>0x472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 查询 /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8"/>
              </w:rPr>
              <w:t>0x473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 回读的实际值。</w:t>
            </w:r>
          </w:p>
        </w:tc>
      </w:tr>
    </w:tbl>
    <w:p>
      <w:pPr>
        <w:spacing w:before="0" w:after="140" w:line="360" w:lineRule="auto"/>
      </w:pPr>
    </w:p>
    <w:p>
      <w:pPr>
        <w:pBdr>
          <w:bottom w:val="single" w:sz="4" w:space="1" w:color="C9D6E4"/>
        </w:pBdr>
        <w:spacing w:before="40" w:after="40" w:line="240" w:lineRule="auto"/>
      </w:pPr>
    </w:p>
    <w:p>
      <w:pPr>
        <w:keepNext/>
        <w:keepLines/>
        <w:pBdr>
          <w:bottom w:val="single" w:sz="10" w:space="4" w:color="2E75B6"/>
        </w:pBdr>
        <w:spacing w:before="400" w:after="180" w:line="288" w:lineRule="auto"/>
      </w:pPr>
      <w:r>
        <w:rPr>
          <w:rFonts w:ascii="Arial" w:hAnsi="Arial" w:eastAsia="微软雅黑" w:cs="Arial"/>
          <w:b/>
          <w:i w:val="0"/>
          <w:color w:val="16365C"/>
          <w:sz w:val="30"/>
        </w:rPr>
        <w:t>2. 完整技术参数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2.1 结构与电气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type="dxa" w:w="1270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参数类型</w:t>
            </w:r>
          </w:p>
        </w:tc>
        <w:tc>
          <w:tcPr>
            <w:tcW w:type="dxa" w:w="2171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5630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指标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结构</w:t>
            </w:r>
          </w:p>
        </w:tc>
        <w:tc>
          <w:tcPr>
            <w:tcW w:type="dxa" w:w="2171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自由度</w:t>
            </w:r>
          </w:p>
        </w:tc>
        <w:tc>
          <w:tcPr>
            <w:tcW w:type="dxa" w:w="5630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270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结构</w:t>
            </w:r>
          </w:p>
        </w:tc>
        <w:tc>
          <w:tcPr>
            <w:tcW w:type="dxa" w:w="2171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有效负载</w:t>
            </w:r>
          </w:p>
        </w:tc>
        <w:tc>
          <w:tcPr>
            <w:tcW w:type="dxa" w:w="5630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1.5 kg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结构</w:t>
            </w:r>
          </w:p>
        </w:tc>
        <w:tc>
          <w:tcPr>
            <w:tcW w:type="dxa" w:w="2171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本体重量</w:t>
            </w:r>
          </w:p>
        </w:tc>
        <w:tc>
          <w:tcPr>
            <w:tcW w:type="dxa" w:w="5630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4.2 kg</w:t>
            </w:r>
          </w:p>
        </w:tc>
      </w:tr>
      <w:tr>
        <w:trPr>
          <w:cantSplit/>
        </w:trPr>
        <w:tc>
          <w:tcPr>
            <w:tcW w:type="dxa" w:w="1270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结构</w:t>
            </w:r>
          </w:p>
        </w:tc>
        <w:tc>
          <w:tcPr>
            <w:tcW w:type="dxa" w:w="2171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重复定位精度</w:t>
            </w:r>
          </w:p>
        </w:tc>
        <w:tc>
          <w:tcPr>
            <w:tcW w:type="dxa" w:w="5630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8"/>
              </w:rPr>
              <w:t>±0.1 mm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结构</w:t>
            </w:r>
          </w:p>
        </w:tc>
        <w:tc>
          <w:tcPr>
            <w:tcW w:type="dxa" w:w="2171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工作半径</w:t>
            </w:r>
          </w:p>
        </w:tc>
        <w:tc>
          <w:tcPr>
            <w:tcW w:type="dxa" w:w="5630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626.75 mm</w:t>
            </w:r>
          </w:p>
        </w:tc>
      </w:tr>
      <w:tr>
        <w:trPr>
          <w:cantSplit/>
        </w:trPr>
        <w:tc>
          <w:tcPr>
            <w:tcW w:type="dxa" w:w="1270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结构</w:t>
            </w:r>
          </w:p>
        </w:tc>
        <w:tc>
          <w:tcPr>
            <w:tcW w:type="dxa" w:w="2171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材质</w:t>
            </w:r>
          </w:p>
        </w:tc>
        <w:tc>
          <w:tcPr>
            <w:tcW w:type="dxa" w:w="5630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铝合金骨架 + 塑料外壳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结构</w:t>
            </w:r>
          </w:p>
        </w:tc>
        <w:tc>
          <w:tcPr>
            <w:tcW w:type="dxa" w:w="2171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控制器</w:t>
            </w:r>
          </w:p>
        </w:tc>
        <w:tc>
          <w:tcPr>
            <w:tcW w:type="dxa" w:w="5630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集成（本体内置，无需外置控制柜）</w:t>
            </w:r>
          </w:p>
        </w:tc>
      </w:tr>
      <w:tr>
        <w:trPr>
          <w:cantSplit/>
        </w:trPr>
        <w:tc>
          <w:tcPr>
            <w:tcW w:type="dxa" w:w="1270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电气</w:t>
            </w:r>
          </w:p>
        </w:tc>
        <w:tc>
          <w:tcPr>
            <w:tcW w:type="dxa" w:w="2171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标准供电电压</w:t>
            </w:r>
          </w:p>
        </w:tc>
        <w:tc>
          <w:tcPr>
            <w:tcW w:type="dxa" w:w="5630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DC 24 V（最小 24 V，最大 26 V）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电气</w:t>
            </w:r>
          </w:p>
        </w:tc>
        <w:tc>
          <w:tcPr>
            <w:tcW w:type="dxa" w:w="2171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功耗</w:t>
            </w:r>
          </w:p>
        </w:tc>
        <w:tc>
          <w:tcPr>
            <w:tcW w:type="dxa" w:w="5630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最大 ≤ 120 W，综合 ≤ 40 W</w:t>
            </w:r>
          </w:p>
        </w:tc>
      </w:tr>
      <w:tr>
        <w:trPr>
          <w:cantSplit/>
        </w:trPr>
        <w:tc>
          <w:tcPr>
            <w:tcW w:type="dxa" w:w="1270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电气</w:t>
            </w:r>
          </w:p>
        </w:tc>
        <w:tc>
          <w:tcPr>
            <w:tcW w:type="dxa" w:w="2171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通讯方式</w:t>
            </w:r>
          </w:p>
        </w:tc>
        <w:tc>
          <w:tcPr>
            <w:tcW w:type="dxa" w:w="5630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CAN（CAN 2.0B 标准帧，1 Mbps，Motorola/MSB 字节序）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电气</w:t>
            </w:r>
          </w:p>
        </w:tc>
        <w:tc>
          <w:tcPr>
            <w:tcW w:type="dxa" w:w="2171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控制方式</w:t>
            </w:r>
          </w:p>
        </w:tc>
        <w:tc>
          <w:tcPr>
            <w:tcW w:type="dxa" w:w="5630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拖动示教 / 离线轨迹 / API / 上位机软件</w:t>
            </w:r>
          </w:p>
        </w:tc>
      </w:tr>
      <w:tr>
        <w:trPr>
          <w:cantSplit/>
        </w:trPr>
        <w:tc>
          <w:tcPr>
            <w:tcW w:type="dxa" w:w="1270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电气</w:t>
            </w:r>
          </w:p>
        </w:tc>
        <w:tc>
          <w:tcPr>
            <w:tcW w:type="dxa" w:w="2171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外部接口</w:t>
            </w:r>
          </w:p>
        </w:tc>
        <w:tc>
          <w:tcPr>
            <w:tcW w:type="dxa" w:w="5630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电源接口 ×1、CAN 接口 ×1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安装</w:t>
            </w:r>
          </w:p>
        </w:tc>
        <w:tc>
          <w:tcPr>
            <w:tcW w:type="dxa" w:w="2171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底座安装尺寸</w:t>
            </w:r>
          </w:p>
        </w:tc>
        <w:tc>
          <w:tcPr>
            <w:tcW w:type="dxa" w:w="5630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70 mm × 70 mm，M5 × 4</w:t>
            </w:r>
          </w:p>
        </w:tc>
      </w:tr>
      <w:tr>
        <w:trPr>
          <w:cantSplit/>
        </w:trPr>
        <w:tc>
          <w:tcPr>
            <w:tcW w:type="dxa" w:w="1270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环境</w:t>
            </w:r>
          </w:p>
        </w:tc>
        <w:tc>
          <w:tcPr>
            <w:tcW w:type="dxa" w:w="2171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工作温度 / 湿度</w:t>
            </w:r>
          </w:p>
        </w:tc>
        <w:tc>
          <w:tcPr>
            <w:tcW w:type="dxa" w:w="5630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-20 ~ 50 ℃ / 25% ~ 85%，非冷凝</w:t>
            </w:r>
          </w:p>
        </w:tc>
      </w:tr>
      <w:tr>
        <w:trPr>
          <w:cantSplit/>
        </w:trPr>
        <w:tc>
          <w:tcPr>
            <w:tcW w:type="dxa" w:w="1270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环境</w:t>
            </w:r>
          </w:p>
        </w:tc>
        <w:tc>
          <w:tcPr>
            <w:tcW w:type="dxa" w:w="2171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防护等级</w:t>
            </w:r>
          </w:p>
        </w:tc>
        <w:tc>
          <w:tcPr>
            <w:tcW w:type="dxa" w:w="5630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IP22（非定制机型）</w:t>
            </w:r>
          </w:p>
        </w:tc>
      </w:tr>
      <w:tr>
        <w:trPr>
          <w:cantSplit/>
        </w:trPr>
        <w:tc>
          <w:tcPr>
            <w:tcW w:type="dxa" w:w="1270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环境</w:t>
            </w:r>
          </w:p>
        </w:tc>
        <w:tc>
          <w:tcPr>
            <w:tcW w:type="dxa" w:w="2171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噪音</w:t>
            </w:r>
          </w:p>
        </w:tc>
        <w:tc>
          <w:tcPr>
            <w:tcW w:type="dxa" w:w="5630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&lt; 60 dB</w:t>
            </w:r>
          </w:p>
        </w:tc>
      </w:tr>
    </w:tbl>
    <w:p>
      <w:pPr>
        <w:spacing w:before="0" w:after="180" w:line="360" w:lineRule="auto"/>
      </w:pP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供电硬约束（官方明确）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：使用非标配电源时，输入电压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不得超过 26 V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，电流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不得小于 10 A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。电压超限会直接损伤驱动板。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2.2 运动参数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type="dxa" w:w="3628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关节</w:t>
            </w:r>
          </w:p>
        </w:tc>
        <w:tc>
          <w:tcPr>
            <w:tcW w:type="dxa" w:w="3186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运动范围</w:t>
            </w:r>
          </w:p>
        </w:tc>
        <w:tc>
          <w:tcPr>
            <w:tcW w:type="dxa" w:w="2256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最大速度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J1（底座回转）</w:t>
            </w:r>
          </w:p>
        </w:tc>
        <w:tc>
          <w:tcPr>
            <w:tcW w:type="dxa" w:w="3186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8"/>
              </w:rPr>
              <w:t>±154°</w:t>
            </w:r>
          </w:p>
        </w:tc>
        <w:tc>
          <w:tcPr>
            <w:tcW w:type="dxa" w:w="2256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180 °/s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J2（大臂）</w:t>
            </w:r>
          </w:p>
        </w:tc>
        <w:tc>
          <w:tcPr>
            <w:tcW w:type="dxa" w:w="3186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0° ~ 195°</w:t>
            </w:r>
          </w:p>
        </w:tc>
        <w:tc>
          <w:tcPr>
            <w:tcW w:type="dxa" w:w="2256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195 °/s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J3（小臂）</w:t>
            </w:r>
          </w:p>
        </w:tc>
        <w:tc>
          <w:tcPr>
            <w:tcW w:type="dxa" w:w="3186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-175° ~ 0°</w:t>
            </w:r>
          </w:p>
        </w:tc>
        <w:tc>
          <w:tcPr>
            <w:tcW w:type="dxa" w:w="2256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180 °/s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J4（腕部回转）</w:t>
            </w:r>
          </w:p>
        </w:tc>
        <w:tc>
          <w:tcPr>
            <w:tcW w:type="dxa" w:w="3186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-102° ~ 102°</w:t>
            </w:r>
          </w:p>
        </w:tc>
        <w:tc>
          <w:tcPr>
            <w:tcW w:type="dxa" w:w="2256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225 °/s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J5（腕部摆动）</w:t>
            </w:r>
          </w:p>
        </w:tc>
        <w:tc>
          <w:tcPr>
            <w:tcW w:type="dxa" w:w="3186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-75° ~ 75°</w:t>
            </w:r>
          </w:p>
        </w:tc>
        <w:tc>
          <w:tcPr>
            <w:tcW w:type="dxa" w:w="2256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225 °/s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J6（末端旋转）</w:t>
            </w:r>
          </w:p>
        </w:tc>
        <w:tc>
          <w:tcPr>
            <w:tcW w:type="dxa" w:w="3186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8"/>
              </w:rPr>
              <w:t>±120°</w:t>
            </w:r>
          </w:p>
        </w:tc>
        <w:tc>
          <w:tcPr>
            <w:tcW w:type="dxa" w:w="2256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225 °/s</w:t>
            </w:r>
          </w:p>
        </w:tc>
      </w:tr>
    </w:tbl>
    <w:p>
      <w:pPr>
        <w:spacing w:before="0" w:after="180" w:line="360" w:lineRule="auto"/>
      </w:pPr>
    </w:p>
    <w:tbl>
      <w:tblPr>
        <w:tblW w:type="auto" w:w="0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140" w:type="dxa"/>
          <w:left w:w="240" w:type="dxa"/>
          <w:bottom w:w="140" w:type="dxa"/>
          <w:right w:w="200" w:type="dxa"/>
        </w:tblCellMar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tcBorders>
              <w:left w:val="single" w:sz="24" w:space="0" w:color="2E75B6"/>
            </w:tcBorders>
            <w:shd w:val="clear" w:color="auto" w:fill="F4F8FC"/>
          </w:tcPr>
          <w:p>
            <w:pPr>
              <w:spacing w:after="60" w:line="288" w:lineRule="auto"/>
            </w:pPr>
            <w:r/>
          </w:p>
          <w:p>
            <w:pPr>
              <w:spacing w:after="0" w:line="360" w:lineRule="auto"/>
              <w:jc w:val="both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上表取自用户手册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V1.1.0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（最新）。早期快速手册为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J4 ±106°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、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J6 ±100°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，差异来自固件迭代，以回读为准。</w:t>
            </w:r>
          </w:p>
        </w:tc>
      </w:tr>
    </w:tbl>
    <w:p>
      <w:pPr>
        <w:spacing w:before="0" w:after="140" w:line="360" w:lineRule="auto"/>
      </w:pPr>
    </w:p>
    <w:tbl>
      <w:tblPr>
        <w:tblW w:type="auto" w:w="0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140" w:type="dxa"/>
          <w:left w:w="240" w:type="dxa"/>
          <w:bottom w:w="140" w:type="dxa"/>
          <w:right w:w="200" w:type="dxa"/>
        </w:tblCellMar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tcBorders>
              <w:left w:val="single" w:sz="24" w:space="0" w:color="2E75B6"/>
            </w:tcBorders>
            <w:shd w:val="clear" w:color="auto" w:fill="F4F8FC"/>
          </w:tcPr>
          <w:p>
            <w:pPr>
              <w:spacing w:after="60" w:line="288" w:lineRule="auto"/>
            </w:pPr>
            <w:r/>
          </w:p>
          <w:p>
            <w:pPr>
              <w:spacing w:after="0" w:line="360" w:lineRule="auto"/>
              <w:jc w:val="both"/>
            </w:pPr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9"/>
              </w:rPr>
              <w:t>J2 不跨零、J3 全负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Piper 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的结构特点：它按「大臂始终向前、小臂始终向下」的肘部构型设计，因此关节空间不是对称的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±180°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。做策略学习时如果直接对关节角做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min-max 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归一化，会把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J2 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0~195° 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压到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[-1,1] 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的右侧半区，</w:t>
            </w:r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9"/>
              </w:rPr>
              <w:t>建议按实际限位归一化并单独保存限位表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>。</w:t>
            </w:r>
          </w:p>
        </w:tc>
      </w:tr>
    </w:tbl>
    <w:p>
      <w:pPr>
        <w:spacing w:before="0" w:after="140" w:line="360" w:lineRule="auto"/>
      </w:pP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2.3 末端执行器（可选件）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type="dxa" w:w="1491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4377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从动夹爪（Gripper）</w:t>
            </w:r>
          </w:p>
        </w:tc>
        <w:tc>
          <w:tcPr>
            <w:tcW w:type="dxa" w:w="3203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主动夹爪 / 示教器（Leader）</w:t>
            </w:r>
          </w:p>
        </w:tc>
      </w:tr>
      <w:tr>
        <w:trPr>
          <w:cantSplit/>
        </w:trPr>
        <w:tc>
          <w:tcPr>
            <w:tcW w:type="dxa" w:w="1491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重量</w:t>
            </w:r>
          </w:p>
        </w:tc>
        <w:tc>
          <w:tcPr>
            <w:tcW w:type="dxa" w:w="437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500 g</w:t>
            </w:r>
          </w:p>
        </w:tc>
        <w:tc>
          <w:tcPr>
            <w:tcW w:type="dxa" w:w="320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550 g</w:t>
            </w:r>
          </w:p>
        </w:tc>
      </w:tr>
      <w:tr>
        <w:trPr>
          <w:cantSplit/>
        </w:trPr>
        <w:tc>
          <w:tcPr>
            <w:tcW w:type="dxa" w:w="1491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重复精度</w:t>
            </w:r>
          </w:p>
        </w:tc>
        <w:tc>
          <w:tcPr>
            <w:tcW w:type="dxa" w:w="437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8"/>
              </w:rPr>
              <w:t>±0.5 mm</w:t>
            </w:r>
          </w:p>
        </w:tc>
        <w:tc>
          <w:tcPr>
            <w:tcW w:type="dxa" w:w="3203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8"/>
              </w:rPr>
              <w:t>±0.5 mm</w:t>
            </w:r>
          </w:p>
        </w:tc>
      </w:tr>
      <w:tr>
        <w:trPr>
          <w:cantSplit/>
        </w:trPr>
        <w:tc>
          <w:tcPr>
            <w:tcW w:type="dxa" w:w="1491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开口行程</w:t>
            </w:r>
          </w:p>
        </w:tc>
        <w:tc>
          <w:tcPr>
            <w:tcW w:type="dxa" w:w="437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0 ~ 70 mm</w:t>
            </w:r>
          </w:p>
        </w:tc>
        <w:tc>
          <w:tcPr>
            <w:tcW w:type="dxa" w:w="320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0 ~ 70 mm</w:t>
            </w:r>
          </w:p>
        </w:tc>
      </w:tr>
      <w:tr>
        <w:trPr>
          <w:cantSplit/>
        </w:trPr>
        <w:tc>
          <w:tcPr>
            <w:tcW w:type="dxa" w:w="1491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额定夹持力</w:t>
            </w:r>
          </w:p>
        </w:tc>
        <w:tc>
          <w:tcPr>
            <w:tcW w:type="dxa" w:w="437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40 N</w:t>
            </w:r>
          </w:p>
        </w:tc>
        <w:tc>
          <w:tcPr>
            <w:tcW w:type="dxa" w:w="3203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40 N（支持力控与力反馈）</w:t>
            </w:r>
          </w:p>
        </w:tc>
      </w:tr>
      <w:tr>
        <w:trPr>
          <w:cantSplit/>
        </w:trPr>
        <w:tc>
          <w:tcPr>
            <w:tcW w:type="dxa" w:w="1491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最大夹持力</w:t>
            </w:r>
          </w:p>
        </w:tc>
        <w:tc>
          <w:tcPr>
            <w:tcW w:type="dxa" w:w="437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50 N</w:t>
            </w:r>
          </w:p>
        </w:tc>
        <w:tc>
          <w:tcPr>
            <w:tcW w:type="dxa" w:w="320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50 N（支持力控与力反馈）</w:t>
            </w:r>
          </w:p>
        </w:tc>
      </w:tr>
      <w:tr>
        <w:trPr>
          <w:cantSplit/>
        </w:trPr>
        <w:tc>
          <w:tcPr>
            <w:tcW w:type="dxa" w:w="1491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供电 / 功耗</w:t>
            </w:r>
          </w:p>
        </w:tc>
        <w:tc>
          <w:tcPr>
            <w:tcW w:type="dxa" w:w="437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DC 24 V，最大 ≤ 50 W，综合 ≤ 30 W</w:t>
            </w:r>
          </w:p>
        </w:tc>
        <w:tc>
          <w:tcPr>
            <w:tcW w:type="dxa" w:w="3203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同左</w:t>
            </w:r>
          </w:p>
        </w:tc>
      </w:tr>
      <w:tr>
        <w:trPr>
          <w:cantSplit/>
        </w:trPr>
        <w:tc>
          <w:tcPr>
            <w:tcW w:type="dxa" w:w="1491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通讯 / 控制</w:t>
            </w:r>
          </w:p>
        </w:tc>
        <w:tc>
          <w:tcPr>
            <w:tcW w:type="dxa" w:w="437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CAN；拖动示教 / 离线轨迹 / API / 上位机</w:t>
            </w:r>
          </w:p>
        </w:tc>
        <w:tc>
          <w:tcPr>
            <w:tcW w:type="dxa" w:w="320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同左</w:t>
            </w:r>
          </w:p>
        </w:tc>
      </w:tr>
      <w:tr>
        <w:trPr>
          <w:cantSplit/>
        </w:trPr>
        <w:tc>
          <w:tcPr>
            <w:tcW w:type="dxa" w:w="1491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接触面材质</w:t>
            </w:r>
          </w:p>
        </w:tc>
        <w:tc>
          <w:tcPr>
            <w:tcW w:type="dxa" w:w="437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橡胶</w:t>
            </w:r>
          </w:p>
        </w:tc>
        <w:tc>
          <w:tcPr>
            <w:tcW w:type="dxa" w:w="3203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橡胶</w:t>
            </w:r>
          </w:p>
        </w:tc>
      </w:tr>
      <w:tr>
        <w:trPr>
          <w:cantSplit/>
        </w:trPr>
        <w:tc>
          <w:tcPr>
            <w:tcW w:type="dxa" w:w="1491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安装方式</w:t>
            </w:r>
          </w:p>
        </w:tc>
        <w:tc>
          <w:tcPr>
            <w:tcW w:type="dxa" w:w="437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法兰安装</w:t>
            </w:r>
          </w:p>
        </w:tc>
        <w:tc>
          <w:tcPr>
            <w:tcW w:type="dxa" w:w="320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法兰安装</w:t>
            </w:r>
          </w:p>
        </w:tc>
      </w:tr>
    </w:tbl>
    <w:p>
      <w:pPr>
        <w:spacing w:before="0" w:after="180" w:line="360" w:lineRule="auto"/>
      </w:pP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负载预算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：本体负载 1.5 kg 是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含末端工具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的总量。装标准夹爪（0.5 kg）后，实际可搬运物体只剩约 1 kg；若换 LEAP Hand、摄像头支架、力传感器，必须重新核算并降低加速度。</w:t>
      </w:r>
    </w:p>
    <w:p>
      <w:pPr>
        <w:pBdr>
          <w:bottom w:val="single" w:sz="4" w:space="1" w:color="C9D6E4"/>
        </w:pBdr>
        <w:spacing w:before="40" w:after="40" w:line="240" w:lineRule="auto"/>
      </w:pPr>
    </w:p>
    <w:p>
      <w:pPr>
        <w:keepNext/>
        <w:keepLines/>
        <w:pBdr>
          <w:bottom w:val="single" w:sz="10" w:space="4" w:color="2E75B6"/>
        </w:pBdr>
        <w:spacing w:before="400" w:after="180" w:line="288" w:lineRule="auto"/>
      </w:pPr>
      <w:r>
        <w:rPr>
          <w:rFonts w:ascii="Arial" w:hAnsi="Arial" w:eastAsia="微软雅黑" w:cs="Arial"/>
          <w:b/>
          <w:i w:val="0"/>
          <w:color w:val="16365C"/>
          <w:sz w:val="30"/>
        </w:rPr>
        <w:t>3. 机械与电气接口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3.1 航空插头（7 芯，电源 + CAN 一体）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/>
        </w:trPr>
        <w:tc>
          <w:tcPr>
            <w:tcW w:type="dxa" w:w="1457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针脚</w:t>
            </w:r>
          </w:p>
        </w:tc>
        <w:tc>
          <w:tcPr>
            <w:tcW w:type="dxa" w:w="7614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145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7614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电源与通讯复合口（航插本体）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7614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状态指示灯</w:t>
            </w:r>
          </w:p>
        </w:tc>
      </w:tr>
      <w:tr>
        <w:trPr>
          <w:cantSplit/>
        </w:trPr>
        <w:tc>
          <w:tcPr>
            <w:tcW w:type="dxa" w:w="145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7614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J1 &amp; J2 内部连接口（维护用）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7614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电源正极（24 V）</w:t>
            </w:r>
          </w:p>
        </w:tc>
      </w:tr>
      <w:tr>
        <w:trPr>
          <w:cantSplit/>
        </w:trPr>
        <w:tc>
          <w:tcPr>
            <w:tcW w:type="dxa" w:w="145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7614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电源负极（GND）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7614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CAN_H</w:t>
            </w:r>
          </w:p>
        </w:tc>
      </w:tr>
      <w:tr>
        <w:trPr>
          <w:cantSplit/>
        </w:trPr>
        <w:tc>
          <w:tcPr>
            <w:tcW w:type="dxa" w:w="145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7614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CAN_L</w:t>
            </w:r>
          </w:p>
        </w:tc>
      </w:tr>
    </w:tbl>
    <w:p>
      <w:pPr>
        <w:spacing w:before="0" w:after="180" w:line="360" w:lineRule="auto"/>
      </w:pP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插拔：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红点对红点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，直接插入；拔出时按压带纹理的区域再拉。带纹理区域受力会回缩，属正常结构。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3.2 底座安装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4 个 M5 螺纹孔，孔距 70 mm × 70 mm，随机附 4 颗 M5 螺钉 + 内六角扳手；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官方强调必须固定在刚性表面；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臂展 626 mm 内为危险区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，调试时保持人员清空；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移动底盘/升降台安装时按 70 mm 孔距自行设计转接板。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3.3 CAN 链路</w:t>
      </w:r>
    </w:p>
    <w:tbl>
      <w:tblPr>
        <w:tblW w:type="auto" w:w="0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100" w:type="dxa"/>
          <w:left w:w="20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tcBorders>
              <w:left w:val="single" w:sz="18" w:space="0" w:color="9DB6D0"/>
            </w:tcBorders>
            <w:shd w:val="clear" w:color="auto" w:fill="F6F8FA"/>
          </w:tcPr>
          <w:p>
            <w:pPr>
              <w:spacing w:before="0" w:after="0" w:line="283" w:lineRule="auto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PiPER 航插 CAN_H/CAN_L ──► USB-CAN 模块（官方标配）──► 上位机 USB</w:t>
            </w:r>
          </w:p>
        </w:tc>
      </w:tr>
    </w:tbl>
    <w:p>
      <w:pPr>
        <w:spacing w:before="0" w:after="160" w:line="360" w:lineRule="auto"/>
      </w:pP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波特率固定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1 000 000 bps（1 Mbps），不可更改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Linux 下用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can-utils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起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can0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；Windows 下用官方上位机或厂家驱动；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官方 SDK 提供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piper-can find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/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piper-can activate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自动识别与命名（仅 Linux）。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3.4 末端电气接口（XT30 2+2）</w:t>
      </w: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末端关节预留 XT30 2+2 接口，供夹爪 / 示教器取电与通信：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24 V，最大 2 A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。</w:t>
      </w:r>
    </w:p>
    <w:tbl>
      <w:tblPr>
        <w:tblW w:type="auto" w:w="0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140" w:type="dxa"/>
          <w:left w:w="240" w:type="dxa"/>
          <w:bottom w:w="140" w:type="dxa"/>
          <w:right w:w="200" w:type="dxa"/>
        </w:tblCellMar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tcBorders>
              <w:left w:val="single" w:sz="24" w:space="0" w:color="2E75B6"/>
            </w:tcBorders>
            <w:shd w:val="clear" w:color="auto" w:fill="F4F8FC"/>
          </w:tcPr>
          <w:p>
            <w:pPr>
              <w:spacing w:after="60" w:line="288" w:lineRule="auto"/>
            </w:pPr>
            <w:r/>
            <w:r>
              <w:rPr>
                <w:rFonts w:ascii="Arial" w:hAnsi="Arial" w:eastAsia="微软雅黑" w:cs="Arial"/>
                <w:b/>
                <w:i w:val="0"/>
                <w:color w:val="16365C"/>
                <w:sz w:val="20"/>
              </w:rPr>
              <w:t>官方警告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>末端 CAN 只适配松灵自有设备，</w:t>
            </w:r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9"/>
              </w:rPr>
              <w:t>严禁私自接入其他 CAN 设备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>，否则可能造成不可控损坏。这也意味着你不能直接把第三方 CAN 力传感器挂到末端总线上——要么走独立总线，要么用非 CAN 接口的传感器。</w:t>
            </w:r>
          </w:p>
        </w:tc>
      </w:tr>
    </w:tbl>
    <w:p>
      <w:pPr>
        <w:spacing w:before="0" w:after="140" w:line="360" w:lineRule="auto"/>
      </w:pP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3.5 上电顺序（官方 A–G 步骤）</w:t>
      </w: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第一次上电必须按此顺序，跳步可能导致通信异常或使能失败：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1.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插上 A — J2 连接口；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2.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接好 B — 航空插头的 CAN 线；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3.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对插 C — XT30 接头（末端夹爪/示教器供电通信）；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4.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对插 D — 航空插头（红点向下对准凸点）；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5.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插好 E — 适配器插头；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6.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确认 E 的 AC 头已插好并上电，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待电气面板指示灯闪烁绿色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7.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把 USB 线插进电脑。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3.6 零点与奇异位姿</w:t>
      </w: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零点定义（官方）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J1：零点校准刻度对齐即为零点；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J2、J3：机械臂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失能后自然垂下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的位置即零点；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J5：当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J6 轴线与 J4 共线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时，J5 为零点。</w:t>
      </w: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零点位姿坐标：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X = 54.952, Y = 0, Z = 203.386, RX = 0, RY = 85.0, RZ = 0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（单位 mm / 度，基座坐标系）。</w:t>
      </w: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四类奇异位姿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（做轨迹规划时要主动避开，否则逆解退化、关节速度爆表）：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/>
        </w:trPr>
        <w:tc>
          <w:tcPr>
            <w:tcW w:type="dxa" w:w="2273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6797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条件</w:t>
            </w:r>
          </w:p>
        </w:tc>
      </w:tr>
      <w:tr>
        <w:trPr>
          <w:cantSplit/>
        </w:trPr>
        <w:tc>
          <w:tcPr>
            <w:tcW w:type="dxa" w:w="2273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腕部奇异</w:t>
            </w:r>
          </w:p>
        </w:tc>
        <w:tc>
          <w:tcPr>
            <w:tcW w:type="dxa" w:w="679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J4 与 J6 共轴</w:t>
            </w:r>
          </w:p>
        </w:tc>
      </w:tr>
      <w:tr>
        <w:trPr>
          <w:cantSplit/>
        </w:trPr>
        <w:tc>
          <w:tcPr>
            <w:tcW w:type="dxa" w:w="2273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肘部奇异</w:t>
            </w:r>
          </w:p>
        </w:tc>
        <w:tc>
          <w:tcPr>
            <w:tcW w:type="dxa" w:w="679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J1 与 J4 共轴</w:t>
            </w:r>
          </w:p>
        </w:tc>
      </w:tr>
      <w:tr>
        <w:trPr>
          <w:cantSplit/>
        </w:trPr>
        <w:tc>
          <w:tcPr>
            <w:tcW w:type="dxa" w:w="2273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肩部奇异</w:t>
            </w:r>
          </w:p>
        </w:tc>
        <w:tc>
          <w:tcPr>
            <w:tcW w:type="dxa" w:w="679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J5 与 J6 的轴交点在 J1 轴线上</w:t>
            </w:r>
          </w:p>
        </w:tc>
      </w:tr>
      <w:tr>
        <w:trPr>
          <w:cantSplit/>
        </w:trPr>
        <w:tc>
          <w:tcPr>
            <w:tcW w:type="dxa" w:w="2273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边界奇异</w:t>
            </w:r>
          </w:p>
        </w:tc>
        <w:tc>
          <w:tcPr>
            <w:tcW w:type="dxa" w:w="679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末端位于最大工作范围边缘</w:t>
            </w:r>
          </w:p>
        </w:tc>
      </w:tr>
    </w:tbl>
    <w:p>
      <w:pPr>
        <w:spacing w:before="0" w:after="180" w:line="360" w:lineRule="auto"/>
      </w:pPr>
    </w:p>
    <w:p>
      <w:pPr>
        <w:pBdr>
          <w:bottom w:val="single" w:sz="4" w:space="1" w:color="C9D6E4"/>
        </w:pBdr>
        <w:spacing w:before="40" w:after="40" w:line="240" w:lineRule="auto"/>
      </w:pPr>
    </w:p>
    <w:p>
      <w:pPr>
        <w:keepNext/>
        <w:keepLines/>
        <w:pBdr>
          <w:bottom w:val="single" w:sz="10" w:space="4" w:color="2E75B6"/>
        </w:pBdr>
        <w:spacing w:before="400" w:after="180" w:line="288" w:lineRule="auto"/>
      </w:pPr>
      <w:r>
        <w:rPr>
          <w:rFonts w:ascii="Arial" w:hAnsi="Arial" w:eastAsia="微软雅黑" w:cs="Arial"/>
          <w:b/>
          <w:i w:val="0"/>
          <w:color w:val="16365C"/>
          <w:sz w:val="30"/>
        </w:rPr>
        <w:t>4. 开箱清单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/>
        </w:trPr>
        <w:tc>
          <w:tcPr>
            <w:tcW w:type="dxa" w:w="7098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物品</w:t>
            </w:r>
          </w:p>
        </w:tc>
        <w:tc>
          <w:tcPr>
            <w:tcW w:type="dxa" w:w="1973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数量</w:t>
            </w:r>
          </w:p>
        </w:tc>
      </w:tr>
      <w:tr>
        <w:trPr>
          <w:cantSplit/>
        </w:trPr>
        <w:tc>
          <w:tcPr>
            <w:tcW w:type="dxa" w:w="7098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6 自由度机械臂本体</w:t>
            </w:r>
          </w:p>
        </w:tc>
        <w:tc>
          <w:tcPr>
            <w:tcW w:type="dxa" w:w="197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7098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USB 转 CAN 模块</w:t>
            </w:r>
          </w:p>
        </w:tc>
        <w:tc>
          <w:tcPr>
            <w:tcW w:type="dxa" w:w="1973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7098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电源适配器</w:t>
            </w:r>
          </w:p>
        </w:tc>
        <w:tc>
          <w:tcPr>
            <w:tcW w:type="dxa" w:w="197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7098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Micro USB 线</w:t>
            </w:r>
          </w:p>
        </w:tc>
        <w:tc>
          <w:tcPr>
            <w:tcW w:type="dxa" w:w="1973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7098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电源与通讯复合线缆</w:t>
            </w:r>
          </w:p>
        </w:tc>
        <w:tc>
          <w:tcPr>
            <w:tcW w:type="dxa" w:w="197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7098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底座安装螺钉（M5）</w:t>
            </w:r>
          </w:p>
        </w:tc>
        <w:tc>
          <w:tcPr>
            <w:tcW w:type="dxa" w:w="1973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7098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底座安装扳手</w:t>
            </w:r>
          </w:p>
        </w:tc>
        <w:tc>
          <w:tcPr>
            <w:tcW w:type="dxa" w:w="197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</w:t>
            </w:r>
          </w:p>
        </w:tc>
      </w:tr>
    </w:tbl>
    <w:p>
      <w:pPr>
        <w:spacing w:before="0" w:after="180" w:line="360" w:lineRule="auto"/>
      </w:pPr>
    </w:p>
    <w:p>
      <w:pPr>
        <w:pBdr>
          <w:bottom w:val="single" w:sz="4" w:space="1" w:color="C9D6E4"/>
        </w:pBdr>
        <w:spacing w:before="40" w:after="40" w:line="240" w:lineRule="auto"/>
      </w:pPr>
    </w:p>
    <w:p>
      <w:pPr>
        <w:keepNext/>
        <w:keepLines/>
        <w:pBdr>
          <w:bottom w:val="single" w:sz="10" w:space="4" w:color="2E75B6"/>
        </w:pBdr>
        <w:spacing w:before="400" w:after="180" w:line="288" w:lineRule="auto"/>
      </w:pPr>
      <w:r>
        <w:rPr>
          <w:rFonts w:ascii="Arial" w:hAnsi="Arial" w:eastAsia="微软雅黑" w:cs="Arial"/>
          <w:b/>
          <w:i w:val="0"/>
          <w:color w:val="16365C"/>
          <w:sz w:val="30"/>
        </w:rPr>
        <w:t>5. 首次上电与基本操作流程</w:t>
      </w: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按官方顺序执行，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不要跳步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。每一步都有对应状态反馈可以确认。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5.1 上电前检查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1.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目视检查本体无变形、线缆无破损；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2.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底座 4 颗 M5 螺钉拧紧，机械臂不会因反力矩倾倒；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3.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航插红点对齐插到位；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4.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电源为 24 V（≤26 V）、≥10 A；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5.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工作半径内无人员、无杂物。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5.2 上电与模式选择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上电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：按 3.5 的 A–G 顺序接线，面板指示灯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绿色慢闪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表示主控就绪；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零位姿态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：机械臂需处于零位（J1 刻度对齐、J2/J3 自然下垂、J6 与 J4 共线）后再切换控制模式；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拖动示教模式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（J5 与 J6 之间的按键控制）：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灯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不亮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：示教停止 / 录制结束；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灯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常绿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：进入拖动示教录制；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灯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闪绿（500 ms）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：进入轨迹复现；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单击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：开始 / 停止录制；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双击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：复现上一次轨迹；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每次进入录制会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覆盖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上一条轨迹；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单条轨迹最长 3 分钟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，超时作废。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切换到上位机 / SDK 控制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：必须先把示教灯熄灭（退出示教），在上位机切到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待机模式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，再切到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CAN 指令控制模式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。反向切换同理，且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必须回到零位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5.3 上位机软件（ArmRobotUA）</w:t>
      </w: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Windows 7 及以上，双击运行，界面功能区：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/>
        </w:trPr>
        <w:tc>
          <w:tcPr>
            <w:tcW w:type="dxa" w:w="1293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序号</w:t>
            </w:r>
          </w:p>
        </w:tc>
        <w:tc>
          <w:tcPr>
            <w:tcW w:type="dxa" w:w="7778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功能</w:t>
            </w:r>
          </w:p>
        </w:tc>
      </w:tr>
      <w:tr>
        <w:trPr>
          <w:cantSplit/>
        </w:trPr>
        <w:tc>
          <w:tcPr>
            <w:tcW w:type="dxa" w:w="1293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777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机械臂通讯按钮（连接 / 断开 CAN）</w:t>
            </w:r>
          </w:p>
        </w:tc>
      </w:tr>
      <w:tr>
        <w:trPr>
          <w:cantSplit/>
        </w:trPr>
        <w:tc>
          <w:tcPr>
            <w:tcW w:type="dxa" w:w="1293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777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垂直菜单栏</w:t>
            </w:r>
          </w:p>
        </w:tc>
      </w:tr>
      <w:tr>
        <w:trPr>
          <w:cantSplit/>
        </w:trPr>
        <w:tc>
          <w:tcPr>
            <w:tcW w:type="dxa" w:w="1293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777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速度百分比设置</w:t>
            </w:r>
          </w:p>
        </w:tc>
      </w:tr>
      <w:tr>
        <w:trPr>
          <w:cantSplit/>
        </w:trPr>
        <w:tc>
          <w:tcPr>
            <w:tcW w:type="dxa" w:w="1293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777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使能按钮</w:t>
            </w:r>
          </w:p>
        </w:tc>
      </w:tr>
      <w:tr>
        <w:trPr>
          <w:cantSplit/>
        </w:trPr>
        <w:tc>
          <w:tcPr>
            <w:tcW w:type="dxa" w:w="1293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777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急停按钮</w:t>
            </w:r>
          </w:p>
        </w:tc>
      </w:tr>
      <w:tr>
        <w:trPr>
          <w:cantSplit/>
        </w:trPr>
        <w:tc>
          <w:tcPr>
            <w:tcW w:type="dxa" w:w="1293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777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窗口缩放 / 关闭</w:t>
            </w:r>
          </w:p>
        </w:tc>
      </w:tr>
      <w:tr>
        <w:trPr>
          <w:cantSplit/>
        </w:trPr>
        <w:tc>
          <w:tcPr>
            <w:tcW w:type="dxa" w:w="1293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777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操作功能区（关节 / 笛卡尔点动）</w:t>
            </w:r>
          </w:p>
        </w:tc>
      </w:tr>
      <w:tr>
        <w:trPr>
          <w:cantSplit/>
        </w:trPr>
        <w:tc>
          <w:tcPr>
            <w:tcW w:type="dxa" w:w="1293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777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3D 仿真模型</w:t>
            </w:r>
          </w:p>
        </w:tc>
      </w:tr>
      <w:tr>
        <w:trPr>
          <w:cantSplit/>
        </w:trPr>
        <w:tc>
          <w:tcPr>
            <w:tcW w:type="dxa" w:w="1293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777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轨迹库</w:t>
            </w:r>
          </w:p>
        </w:tc>
      </w:tr>
      <w:tr>
        <w:trPr>
          <w:cantSplit/>
        </w:trPr>
        <w:tc>
          <w:tcPr>
            <w:tcW w:type="dxa" w:w="1293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10</w:t>
            </w:r>
          </w:p>
        </w:tc>
        <w:tc>
          <w:tcPr>
            <w:tcW w:type="dxa" w:w="777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关节状态数值</w:t>
            </w:r>
          </w:p>
        </w:tc>
      </w:tr>
      <w:tr>
        <w:trPr>
          <w:cantSplit/>
        </w:trPr>
        <w:tc>
          <w:tcPr>
            <w:tcW w:type="dxa" w:w="1293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11</w:t>
            </w:r>
          </w:p>
        </w:tc>
        <w:tc>
          <w:tcPr>
            <w:tcW w:type="dxa" w:w="777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状态栏（模式、错误码）</w:t>
            </w:r>
          </w:p>
        </w:tc>
      </w:tr>
    </w:tbl>
    <w:p>
      <w:pPr>
        <w:spacing w:before="0" w:after="180" w:line="360" w:lineRule="auto"/>
      </w:pP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上位机适合：开箱验证、零位校准、快速点动、录简单轨迹。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不适合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做数据采集与策略部署（无时间戳、无批量接口）。</w:t>
      </w:r>
    </w:p>
    <w:p>
      <w:pPr>
        <w:pBdr>
          <w:bottom w:val="single" w:sz="4" w:space="1" w:color="C9D6E4"/>
        </w:pBdr>
        <w:spacing w:before="40" w:after="40" w:line="240" w:lineRule="auto"/>
      </w:pPr>
    </w:p>
    <w:p>
      <w:pPr>
        <w:keepNext/>
        <w:keepLines/>
        <w:pBdr>
          <w:bottom w:val="single" w:sz="10" w:space="4" w:color="2E75B6"/>
        </w:pBdr>
        <w:spacing w:before="400" w:after="180" w:line="288" w:lineRule="auto"/>
      </w:pPr>
      <w:r>
        <w:rPr>
          <w:rFonts w:ascii="Arial" w:hAnsi="Arial" w:eastAsia="微软雅黑" w:cs="Arial"/>
          <w:b/>
          <w:i w:val="0"/>
          <w:color w:val="16365C"/>
          <w:sz w:val="30"/>
        </w:rPr>
        <w:t>6. 二次开发：四条路线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tcW w:type="dxa" w:w="1440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路线</w:t>
            </w:r>
          </w:p>
        </w:tc>
        <w:tc>
          <w:tcPr>
            <w:tcW w:type="dxa" w:w="3231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入口</w:t>
            </w:r>
          </w:p>
        </w:tc>
        <w:tc>
          <w:tcPr>
            <w:tcW w:type="dxa" w:w="2268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适合场景</w:t>
            </w:r>
          </w:p>
        </w:tc>
        <w:tc>
          <w:tcPr>
            <w:tcW w:type="dxa" w:w="2132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限制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Python SDK</w:t>
            </w:r>
          </w:p>
        </w:tc>
        <w:tc>
          <w:tcPr>
            <w:tcW w:type="dxa" w:w="3231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pip3 install piper_sdk</w:t>
            </w:r>
          </w:p>
        </w:tc>
        <w:tc>
          <w:tcPr>
            <w:tcW w:type="dxa" w:w="226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数据采集、算法部署、论文复现</w:t>
            </w:r>
          </w:p>
        </w:tc>
        <w:tc>
          <w:tcPr>
            <w:tcW w:type="dxa" w:w="2132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需自行管理实时性与线程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ROS 1</w:t>
            </w:r>
          </w:p>
        </w:tc>
        <w:tc>
          <w:tcPr>
            <w:tcW w:type="dxa" w:w="3231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Piper_ros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分支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ros-noetic-no-aloha</w:t>
            </w:r>
          </w:p>
        </w:tc>
        <w:tc>
          <w:tcPr>
            <w:tcW w:type="dxa" w:w="226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与既有 ROS1 栈集成、MoveIt</w:t>
            </w:r>
          </w:p>
        </w:tc>
        <w:tc>
          <w:tcPr>
            <w:tcW w:type="dxa" w:w="2132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依赖 Noetic（Ubuntu 20.04）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ROS 2</w:t>
            </w:r>
          </w:p>
        </w:tc>
        <w:tc>
          <w:tcPr>
            <w:tcW w:type="dxa" w:w="3231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分支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ros-humble-no-aloha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ros-foxy-no-aloha</w:t>
            </w:r>
          </w:p>
        </w:tc>
        <w:tc>
          <w:tcPr>
            <w:tcW w:type="dxa" w:w="226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新项目、Isaac Sim / ROS2 生态</w:t>
            </w:r>
          </w:p>
        </w:tc>
        <w:tc>
          <w:tcPr>
            <w:tcW w:type="dxa" w:w="2132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版本分支需匹配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上位机 + 离线轨迹</w:t>
            </w:r>
          </w:p>
        </w:tc>
        <w:tc>
          <w:tcPr>
            <w:tcW w:type="dxa" w:w="3231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ArmRobotUA</w:t>
            </w:r>
          </w:p>
        </w:tc>
        <w:tc>
          <w:tcPr>
            <w:tcW w:type="dxa" w:w="226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快速验证、产线示教</w:t>
            </w:r>
          </w:p>
        </w:tc>
        <w:tc>
          <w:tcPr>
            <w:tcW w:type="dxa" w:w="2132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不便于编程控制</w:t>
            </w:r>
          </w:p>
        </w:tc>
      </w:tr>
    </w:tbl>
    <w:p>
      <w:pPr>
        <w:spacing w:before="0" w:after="180" w:line="360" w:lineRule="auto"/>
      </w:pP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仿真与模型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：Gazebo / MoveIt 2（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agilex_open_class/piper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）、Isaac Sim（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piper_isaac_sim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）、URDF（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Piper_ros/src/piper_description/urdf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）、官方 CAD（STEP）。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6.1 双臂级联与遥操作（官方流程）</w:t>
      </w: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要搭主从遥操作或双臂系统，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必须先用上位机分别给两条臂设置主臂 / 从臂模式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（上位机「联动控制区」配置输入输出状态与 ID 偏移值），再把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两个 USB 转 CAN 模块接到同一台电脑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。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主臂：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0x470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设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0xFA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；从臂：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0x470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设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0xFC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也可用 ID 偏移把两条臂挂在同一条 CAN 总线上（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0x10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/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0x20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），省一个适配器，但两臂数据会在同一接口上交织，解析时需按 ID 分流；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遥操作回读注意：从臂在从站模式下才回反馈，主臂进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0xFA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后由人拖动。</w:t>
      </w:r>
    </w:p>
    <w:p>
      <w:pPr>
        <w:pBdr>
          <w:bottom w:val="single" w:sz="4" w:space="1" w:color="C9D6E4"/>
        </w:pBdr>
        <w:spacing w:before="40" w:after="40" w:line="240" w:lineRule="auto"/>
      </w:pPr>
    </w:p>
    <w:p>
      <w:pPr>
        <w:keepNext/>
        <w:keepLines/>
        <w:pBdr>
          <w:bottom w:val="single" w:sz="10" w:space="4" w:color="2E75B6"/>
        </w:pBdr>
        <w:spacing w:before="400" w:after="180" w:line="288" w:lineRule="auto"/>
      </w:pPr>
      <w:r>
        <w:rPr>
          <w:rFonts w:ascii="Arial" w:hAnsi="Arial" w:eastAsia="微软雅黑" w:cs="Arial"/>
          <w:b/>
          <w:i w:val="0"/>
          <w:color w:val="16365C"/>
          <w:sz w:val="30"/>
        </w:rPr>
        <w:t>7. SDK 使用说明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7.1 环境与安装</w:t>
      </w:r>
    </w:p>
    <w:tbl>
      <w:tblPr>
        <w:tblW w:type="auto" w:w="0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100" w:type="dxa"/>
          <w:left w:w="20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tcBorders>
              <w:left w:val="single" w:sz="18" w:space="0" w:color="9DB6D0"/>
            </w:tcBorders>
            <w:shd w:val="clear" w:color="auto" w:fill="F6F8FA"/>
          </w:tcPr>
          <w:p>
            <w:pPr>
              <w:spacing w:before="0" w:after="0" w:line="283" w:lineRule="auto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# 依赖：python-can &gt;= 3.3.4；官方测试平台 Ubuntu 18.04 / 20.04 / 22.04，Python 3.6+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pip3 install python-can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pip3 install piper_sdk            # 或 git clone 后 pip3 install .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pip3 show piper_sdk               # 确认版本</w:t>
            </w:r>
          </w:p>
        </w:tc>
      </w:tr>
    </w:tbl>
    <w:p>
      <w:pPr>
        <w:spacing w:before="0" w:after="160" w:line="360" w:lineRule="auto"/>
      </w:pP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版本对应关系（易踩坑）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piper_sdk 0.0.x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：仅支持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V1.5-2 之前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的固件；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固件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≥ 1.8-8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：必须用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C_PiperInterface_V3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（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piper = C_PiperInterface_V3("can0")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）；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固件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S-V1.6-3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：DH 参数变更（J2、J3 坐标系偏移 2°），URDF 需换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piper_description.urdf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，旧固件用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piper_description_old.urdf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7.2 CAN 激活（Linux）</w:t>
      </w:r>
    </w:p>
    <w:tbl>
      <w:tblPr>
        <w:tblW w:type="auto" w:w="0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100" w:type="dxa"/>
          <w:left w:w="20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tcBorders>
              <w:left w:val="single" w:sz="18" w:space="0" w:color="9DB6D0"/>
            </w:tcBorders>
            <w:shd w:val="clear" w:color="auto" w:fill="F6F8FA"/>
          </w:tcPr>
          <w:p>
            <w:pPr>
              <w:spacing w:before="0" w:after="0" w:line="283" w:lineRule="auto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sudo apt update &amp;&amp; sudo apt install can-utils ethtool iproute2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piper-can find                       # 列出 USB-CAN 模块及其 USB 端口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piper-can activate can0 1000000      # 单模块：命名 can0，1 Mbps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# 多模块（如双臂）：用 --usb-port 指定硬件端口绑定名称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piper-can activate can_piper 1000000 --usb-port "3-1.4:1.0"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ifconfig can_piper                   # 确认接口存在</w:t>
            </w:r>
          </w:p>
        </w:tc>
      </w:tr>
    </w:tbl>
    <w:p>
      <w:pPr>
        <w:spacing w:before="0" w:after="160" w:line="360" w:lineRule="auto"/>
      </w:pP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也可用仓库自带脚本：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bash can_activate.sh can0 1000000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7.3 最小可运行示例</w:t>
      </w:r>
    </w:p>
    <w:tbl>
      <w:tblPr>
        <w:tblW w:type="auto" w:w="0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100" w:type="dxa"/>
          <w:left w:w="200" w:type="dxa"/>
          <w:bottom w:w="100" w:type="dxa"/>
          <w:right w:w="140" w:type="dxa"/>
        </w:tblCellMar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tcBorders>
              <w:left w:val="single" w:sz="18" w:space="0" w:color="9DB6D0"/>
            </w:tcBorders>
            <w:shd w:val="clear" w:color="auto" w:fill="F6F8FA"/>
          </w:tcPr>
          <w:p>
            <w:pPr>
              <w:spacing w:before="0" w:after="0" w:line="283" w:lineRule="auto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import time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from piper_sdk import C_PiperInterface          # 固件 ≥1.8-8 用 C_PiperInterface_V3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 xml:space="preserve"> 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piper = C_PiperInterface("can0", judge_flag=False)   # 非官方 CAN 模块时 judge_flag=False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piper.ConnectPort()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time.sleep(0.025)                               # 等首帧，否则固件版本可能返回 -0x4AF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print("firmware:", piper.GetPiperFirmwareVersion())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 xml:space="preserve"> 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piper.EnableArm(7)                              # 7 = 六关节 + 夹爪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time.sleep(0.1)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 xml:space="preserve"> 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>while True: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 xml:space="preserve">    js = piper.GetArmJointMsgs()                # 关节角（度）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 xml:space="preserve">    hs = piper.GetArmHighSpdInfoMsgs()          # 高速反馈：位置/速度/电流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 xml:space="preserve">    print(js, hs)</w:t>
            </w:r>
          </w:p>
          <w:p>
            <w:pPr>
              <w:spacing w:before="0" w:after="0" w:line="283" w:lineRule="auto"/>
            </w:pPr>
            <w:r>
              <w:rPr>
                <w:rFonts w:ascii="Consolas" w:hAnsi="Consolas" w:eastAsia="Consolas" w:cs="Consolas"/>
                <w:b w:val="0"/>
                <w:i w:val="0"/>
                <w:color w:val="22303F"/>
                <w:sz w:val="16"/>
              </w:rPr>
              <w:t xml:space="preserve">    time.sleep(0.005)                           # 200 Hz 轮询</w:t>
            </w:r>
          </w:p>
        </w:tc>
      </w:tr>
    </w:tbl>
    <w:p>
      <w:pPr>
        <w:spacing w:before="0" w:after="160" w:line="360" w:lineRule="auto"/>
      </w:pP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必须知道的三个细节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反馈首帧是默认值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（角度全 0），必须丢弃第一帧再进入控制循环；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读反馈要求机械臂处于从站模式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；若为主动输出臂（主站），用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piper.MasterSlaveConfig(0xFC, 0, 0, 0)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切回；</w:t>
      </w:r>
    </w:p>
    <w:p>
      <w:pPr>
        <w:spacing w:before="0" w:after="80" w:line="372" w:lineRule="auto"/>
        <w:ind w:left="440" w:hanging="240"/>
      </w:pPr>
      <w:r>
        <w:rPr>
          <w:rFonts w:ascii="Times New Roman" w:hAnsi="Times New Roman" w:eastAsia="宋体" w:cs="Times New Roman"/>
          <w:b/>
          <w:i w:val="0"/>
          <w:color w:val="2E75B6"/>
          <w:sz w:val="20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 xml:space="preserve">结束时务必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DisableArm(7)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：使能状态会跨进程保持，下次上电若仍使能，任何误发指令都会立即执行。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7.4 关键 API 速查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type="dxa" w:w="3617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API</w:t>
            </w:r>
          </w:p>
        </w:tc>
        <w:tc>
          <w:tcPr>
            <w:tcW w:type="dxa" w:w="2727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作用</w:t>
            </w:r>
          </w:p>
        </w:tc>
        <w:tc>
          <w:tcPr>
            <w:tcW w:type="dxa" w:w="2727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备注</w:t>
            </w:r>
          </w:p>
        </w:tc>
      </w:tr>
      <w:tr>
        <w:trPr>
          <w:cantSplit/>
        </w:trPr>
        <w:tc>
          <w:tcPr>
            <w:tcW w:type="dxa" w:w="361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ConnectPort()</w:t>
            </w:r>
          </w:p>
        </w:tc>
        <w:tc>
          <w:tcPr>
            <w:tcW w:type="dxa" w:w="272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打开 CAN 收发线程</w:t>
            </w:r>
          </w:p>
        </w:tc>
        <w:tc>
          <w:tcPr>
            <w:tcW w:type="dxa" w:w="272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必须先调用</w:t>
            </w:r>
          </w:p>
        </w:tc>
      </w:tr>
      <w:tr>
        <w:trPr>
          <w:cantSplit/>
        </w:trPr>
        <w:tc>
          <w:tcPr>
            <w:tcW w:type="dxa" w:w="3617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EnableArm(7)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DisableArm(7)</w:t>
            </w:r>
          </w:p>
        </w:tc>
        <w:tc>
          <w:tcPr>
            <w:tcW w:type="dxa" w:w="272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使能 / 失能</w:t>
            </w:r>
          </w:p>
        </w:tc>
        <w:tc>
          <w:tcPr>
            <w:tcW w:type="dxa" w:w="272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使能后才接受运动指令</w:t>
            </w:r>
          </w:p>
        </w:tc>
      </w:tr>
      <w:tr>
        <w:trPr>
          <w:cantSplit/>
        </w:trPr>
        <w:tc>
          <w:tcPr>
            <w:tcW w:type="dxa" w:w="361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MotionCtrl_2(mode, move_mode, speed, mit, ...)</w:t>
            </w:r>
          </w:p>
        </w:tc>
        <w:tc>
          <w:tcPr>
            <w:tcW w:type="dxa" w:w="272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运动模式与速度百分比</w:t>
            </w:r>
          </w:p>
        </w:tc>
        <w:tc>
          <w:tcPr>
            <w:tcW w:type="dxa" w:w="272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切模式用</w:t>
            </w:r>
          </w:p>
        </w:tc>
      </w:tr>
      <w:tr>
        <w:trPr>
          <w:cantSplit/>
        </w:trPr>
        <w:tc>
          <w:tcPr>
            <w:tcW w:type="dxa" w:w="3617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JointCtrl(j1..j6)</w:t>
            </w:r>
          </w:p>
        </w:tc>
        <w:tc>
          <w:tcPr>
            <w:tcW w:type="dxa" w:w="272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关节角控制（度）</w:t>
            </w:r>
          </w:p>
        </w:tc>
        <w:tc>
          <w:tcPr>
            <w:tcW w:type="dxa" w:w="272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位置-速度模式</w:t>
            </w:r>
          </w:p>
        </w:tc>
      </w:tr>
      <w:tr>
        <w:trPr>
          <w:cantSplit/>
        </w:trPr>
        <w:tc>
          <w:tcPr>
            <w:tcW w:type="dxa" w:w="361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GripperCtrl(stroke, effort, enable, zero)</w:t>
            </w:r>
          </w:p>
        </w:tc>
        <w:tc>
          <w:tcPr>
            <w:tcW w:type="dxa" w:w="272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夹爪行程（0.001 mm）与力矩</w:t>
            </w:r>
          </w:p>
        </w:tc>
        <w:tc>
          <w:tcPr>
            <w:tcW w:type="dxa" w:w="272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8"/>
              </w:rPr>
              <w:t>0.001 N·m</w:t>
            </w:r>
          </w:p>
        </w:tc>
      </w:tr>
      <w:tr>
        <w:trPr>
          <w:cantSplit/>
        </w:trPr>
        <w:tc>
          <w:tcPr>
            <w:tcW w:type="dxa" w:w="3617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MasterSlaveConfig(0xFA/0xFC, ...)</w:t>
            </w:r>
          </w:p>
        </w:tc>
        <w:tc>
          <w:tcPr>
            <w:tcW w:type="dxa" w:w="272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主从联动设置</w:t>
            </w:r>
          </w:p>
        </w:tc>
        <w:tc>
          <w:tcPr>
            <w:tcW w:type="dxa" w:w="272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0xFA 示教输入臂 / 0xFC 运动输出臂</w:t>
            </w:r>
          </w:p>
        </w:tc>
      </w:tr>
      <w:tr>
        <w:trPr>
          <w:cantSplit/>
        </w:trPr>
        <w:tc>
          <w:tcPr>
            <w:tcW w:type="dxa" w:w="361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GetArmJointMsgs()</w:t>
            </w:r>
          </w:p>
        </w:tc>
        <w:tc>
          <w:tcPr>
            <w:tcW w:type="dxa" w:w="272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关节角、状态</w:t>
            </w:r>
          </w:p>
        </w:tc>
        <w:tc>
          <w:tcPr>
            <w:tcW w:type="dxa" w:w="272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度</w:t>
            </w:r>
          </w:p>
        </w:tc>
      </w:tr>
      <w:tr>
        <w:trPr>
          <w:cantSplit/>
        </w:trPr>
        <w:tc>
          <w:tcPr>
            <w:tcW w:type="dxa" w:w="3617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GetArmEndPoseMsgs()</w:t>
            </w:r>
          </w:p>
        </w:tc>
        <w:tc>
          <w:tcPr>
            <w:tcW w:type="dxa" w:w="272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末端位姿</w:t>
            </w:r>
          </w:p>
        </w:tc>
        <w:tc>
          <w:tcPr>
            <w:tcW w:type="dxa" w:w="272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mm / 度</w:t>
            </w:r>
          </w:p>
        </w:tc>
      </w:tr>
      <w:tr>
        <w:trPr>
          <w:cantSplit/>
        </w:trPr>
        <w:tc>
          <w:tcPr>
            <w:tcW w:type="dxa" w:w="361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GetArmGripperMsgs()</w:t>
            </w:r>
          </w:p>
        </w:tc>
        <w:tc>
          <w:tcPr>
            <w:tcW w:type="dxa" w:w="272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夹爪行程与力矩</w:t>
            </w:r>
          </w:p>
        </w:tc>
        <w:tc>
          <w:tcPr>
            <w:tcW w:type="dxa" w:w="272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8"/>
              </w:rPr>
              <w:t>0.001 mm / 0.001 N·m</w:t>
            </w:r>
          </w:p>
        </w:tc>
      </w:tr>
      <w:tr>
        <w:trPr>
          <w:cantSplit/>
        </w:trPr>
        <w:tc>
          <w:tcPr>
            <w:tcW w:type="dxa" w:w="3617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GetArmHighSpdInfoMsgs()</w:t>
            </w:r>
          </w:p>
        </w:tc>
        <w:tc>
          <w:tcPr>
            <w:tcW w:type="dxa" w:w="272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位置 / 速度 / 电流 / effort</w:t>
            </w:r>
          </w:p>
        </w:tc>
        <w:tc>
          <w:tcPr>
            <w:tcW w:type="dxa" w:w="272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20 ms 周期，复现关键</w:t>
            </w:r>
          </w:p>
        </w:tc>
      </w:tr>
      <w:tr>
        <w:trPr>
          <w:cantSplit/>
        </w:trPr>
        <w:tc>
          <w:tcPr>
            <w:tcW w:type="dxa" w:w="361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GetArmLowSpdInfoMsgs()</w:t>
            </w:r>
          </w:p>
        </w:tc>
        <w:tc>
          <w:tcPr>
            <w:tcW w:type="dxa" w:w="272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电压 / 温度 / 母线电流 / 驱动状态</w:t>
            </w:r>
          </w:p>
        </w:tc>
        <w:tc>
          <w:tcPr>
            <w:tcW w:type="dxa" w:w="272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100 ms 周期</w:t>
            </w:r>
          </w:p>
        </w:tc>
      </w:tr>
      <w:tr>
        <w:trPr>
          <w:cantSplit/>
        </w:trPr>
        <w:tc>
          <w:tcPr>
            <w:tcW w:type="dxa" w:w="3617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GetMotorStates()</w:t>
            </w:r>
          </w:p>
        </w:tc>
        <w:tc>
          <w:tcPr>
            <w:tcW w:type="dxa" w:w="272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电机状态（同上字段）</w:t>
            </w:r>
          </w:p>
        </w:tc>
        <w:tc>
          <w:tcPr>
            <w:tcW w:type="dxa" w:w="272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便于批量取</w:t>
            </w:r>
          </w:p>
        </w:tc>
      </w:tr>
      <w:tr>
        <w:trPr>
          <w:cantSplit/>
        </w:trPr>
        <w:tc>
          <w:tcPr>
            <w:tcW w:type="dxa" w:w="361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GetPiperFirmwareVersion()</w:t>
            </w:r>
          </w:p>
        </w:tc>
        <w:tc>
          <w:tcPr>
            <w:tcW w:type="dxa" w:w="272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固件版本</w:t>
            </w:r>
          </w:p>
        </w:tc>
        <w:tc>
          <w:tcPr>
            <w:tcW w:type="dxa" w:w="272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决定用 V2 还是 V3 接口</w:t>
            </w:r>
          </w:p>
        </w:tc>
      </w:tr>
    </w:tbl>
    <w:p>
      <w:pPr>
        <w:spacing w:before="0" w:after="180" w:line="360" w:lineRule="auto"/>
      </w:pPr>
    </w:p>
    <w:tbl>
      <w:tblPr>
        <w:tblW w:type="auto" w:w="0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140" w:type="dxa"/>
          <w:left w:w="240" w:type="dxa"/>
          <w:bottom w:w="140" w:type="dxa"/>
          <w:right w:w="200" w:type="dxa"/>
        </w:tblCellMar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tcBorders>
              <w:left w:val="single" w:sz="24" w:space="0" w:color="2E75B6"/>
            </w:tcBorders>
            <w:shd w:val="clear" w:color="auto" w:fill="F4F8FC"/>
          </w:tcPr>
          <w:p>
            <w:pPr>
              <w:spacing w:after="60" w:line="288" w:lineRule="auto"/>
            </w:pPr>
            <w:r/>
            <w:r>
              <w:rPr>
                <w:rFonts w:ascii="Arial" w:hAnsi="Arial" w:eastAsia="微软雅黑" w:cs="Arial"/>
                <w:b/>
                <w:i w:val="0"/>
                <w:color w:val="16365C"/>
                <w:sz w:val="20"/>
              </w:rPr>
              <w:t>MIT 模式警告（官方原文）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>单关节 MIT 协议属于高级功能，</w:t>
            </w:r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9"/>
              </w:rPr>
              <w:t>误用会损坏机械臂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。仅在明确知道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8"/>
              </w:rPr>
              <w:t>Kp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>、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8"/>
              </w:rPr>
              <w:t>Kd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>、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8"/>
              </w:rPr>
              <w:t>T_ref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 量纲与限幅时使用。</w:t>
            </w:r>
          </w:p>
        </w:tc>
      </w:tr>
    </w:tbl>
    <w:p>
      <w:pPr>
        <w:spacing w:before="0" w:after="140" w:line="360" w:lineRule="auto"/>
      </w:pPr>
    </w:p>
    <w:p>
      <w:pPr>
        <w:pBdr>
          <w:bottom w:val="single" w:sz="4" w:space="1" w:color="C9D6E4"/>
        </w:pBdr>
        <w:spacing w:before="40" w:after="40" w:line="240" w:lineRule="auto"/>
      </w:pPr>
    </w:p>
    <w:p>
      <w:pPr>
        <w:keepNext/>
        <w:keepLines/>
        <w:pBdr>
          <w:bottom w:val="single" w:sz="10" w:space="4" w:color="2E75B6"/>
        </w:pBdr>
        <w:spacing w:before="400" w:after="180" w:line="288" w:lineRule="auto"/>
      </w:pPr>
      <w:r>
        <w:rPr>
          <w:rFonts w:ascii="Arial" w:hAnsi="Arial" w:eastAsia="微软雅黑" w:cs="Arial"/>
          <w:b/>
          <w:i w:val="0"/>
          <w:color w:val="16365C"/>
          <w:sz w:val="30"/>
        </w:rPr>
        <w:t>8. CAN 协议速查（复现核心）</w:t>
      </w: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协议：CAN 2.0B 标准帧，1 Mbps，Motorola（MSB）字节序。ID 分四组：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type="dxa" w:w="1984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ID 段</w:t>
            </w:r>
          </w:p>
        </w:tc>
        <w:tc>
          <w:tcPr>
            <w:tcW w:type="dxa" w:w="1718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方向</w:t>
            </w:r>
          </w:p>
        </w:tc>
        <w:tc>
          <w:tcPr>
            <w:tcW w:type="dxa" w:w="5369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0x2A1 ~ 0x2A8</w:t>
            </w:r>
          </w:p>
        </w:tc>
        <w:tc>
          <w:tcPr>
            <w:tcW w:type="dxa" w:w="171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臂 → 上位机</w:t>
            </w:r>
          </w:p>
        </w:tc>
        <w:tc>
          <w:tcPr>
            <w:tcW w:type="dxa" w:w="5369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机械臂主动反馈（状态、位姿、关节角、夹爪）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0x251 ~ 0x256</w:t>
            </w:r>
          </w:p>
        </w:tc>
        <w:tc>
          <w:tcPr>
            <w:tcW w:type="dxa" w:w="171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臂 → 上位机</w:t>
            </w:r>
          </w:p>
        </w:tc>
        <w:tc>
          <w:tcPr>
            <w:tcW w:type="dxa" w:w="5369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关节</w:t>
            </w:r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高速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反馈（20 ms）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0x261 ~ 0x266</w:t>
            </w:r>
          </w:p>
        </w:tc>
        <w:tc>
          <w:tcPr>
            <w:tcW w:type="dxa" w:w="171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臂 → 上位机</w:t>
            </w:r>
          </w:p>
        </w:tc>
        <w:tc>
          <w:tcPr>
            <w:tcW w:type="dxa" w:w="5369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关节</w:t>
            </w:r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低速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反馈（100 ms）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0x150 ~ 0x15F</w:t>
            </w:r>
          </w:p>
        </w:tc>
        <w:tc>
          <w:tcPr>
            <w:tcW w:type="dxa" w:w="171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上位机 → 臂</w:t>
            </w:r>
          </w:p>
        </w:tc>
        <w:tc>
          <w:tcPr>
            <w:tcW w:type="dxa" w:w="5369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运动控制指令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0x470 ~ 0x47E</w:t>
            </w:r>
          </w:p>
        </w:tc>
        <w:tc>
          <w:tcPr>
            <w:tcW w:type="dxa" w:w="171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双向</w:t>
            </w:r>
          </w:p>
        </w:tc>
        <w:tc>
          <w:tcPr>
            <w:tcW w:type="dxa" w:w="5369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参数配置与查询</w:t>
            </w:r>
          </w:p>
        </w:tc>
      </w:tr>
    </w:tbl>
    <w:p>
      <w:pPr>
        <w:spacing w:before="0" w:after="180" w:line="360" w:lineRule="auto"/>
      </w:pP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反馈 ID 可整体偏移为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0x2B1~0x2B8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或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0x2C1~0x2C8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，控制 ID 可偏移为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0x160~0x16F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/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0x170~0x17F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——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这正是单条 CAN 总线上挂双臂的办法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（见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0x470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）。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8.1 主动反馈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/>
        </w:trPr>
        <w:tc>
          <w:tcPr>
            <w:tcW w:type="dxa" w:w="1196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7875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196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0x2A1</w:t>
            </w:r>
          </w:p>
        </w:tc>
        <w:tc>
          <w:tcPr>
            <w:tcW w:type="dxa" w:w="787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Byte0 控制模式（0x00 待机 / 0x01 CAN 控制 / 0x02 示教 / 0x03 以太网 / 0x04 WiFi / 0x07 离线轨迹）；Byte1 机械臂状态（正常 / 急停 / 无解 / 奇异 / 超限 / 通信异常 / 抱闸 / 碰撞 / 超速…）；Byte2 模式反馈（MOVE P/J/L/C）；Byte3 示教状态；Byte4 运动状态；Byte5 轨迹点号；Byte6-7 故障码位域</w:t>
            </w:r>
          </w:p>
        </w:tc>
      </w:tr>
      <w:tr>
        <w:trPr>
          <w:cantSplit/>
        </w:trPr>
        <w:tc>
          <w:tcPr>
            <w:tcW w:type="dxa" w:w="1196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0x2A2</w:t>
            </w:r>
          </w:p>
        </w:tc>
        <w:tc>
          <w:tcPr>
            <w:tcW w:type="dxa" w:w="7875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末端 X、Y 坐标（int32，0.001 mm）</w:t>
            </w:r>
          </w:p>
        </w:tc>
      </w:tr>
      <w:tr>
        <w:trPr>
          <w:cantSplit/>
        </w:trPr>
        <w:tc>
          <w:tcPr>
            <w:tcW w:type="dxa" w:w="1196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0x2A3</w:t>
            </w:r>
          </w:p>
        </w:tc>
        <w:tc>
          <w:tcPr>
            <w:tcW w:type="dxa" w:w="787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末端 Z（0.001 mm）、RX（0.001°）</w:t>
            </w:r>
          </w:p>
        </w:tc>
      </w:tr>
      <w:tr>
        <w:trPr>
          <w:cantSplit/>
        </w:trPr>
        <w:tc>
          <w:tcPr>
            <w:tcW w:type="dxa" w:w="1196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0x2A4</w:t>
            </w:r>
          </w:p>
        </w:tc>
        <w:tc>
          <w:tcPr>
            <w:tcW w:type="dxa" w:w="7875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末端 RY、RZ（0.001°）</w:t>
            </w:r>
          </w:p>
        </w:tc>
      </w:tr>
      <w:tr>
        <w:trPr>
          <w:cantSplit/>
        </w:trPr>
        <w:tc>
          <w:tcPr>
            <w:tcW w:type="dxa" w:w="1196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0x2A5</w:t>
            </w:r>
          </w:p>
        </w:tc>
        <w:tc>
          <w:tcPr>
            <w:tcW w:type="dxa" w:w="787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J1、J2 角度（int32，0.001°）</w:t>
            </w:r>
          </w:p>
        </w:tc>
      </w:tr>
      <w:tr>
        <w:trPr>
          <w:cantSplit/>
        </w:trPr>
        <w:tc>
          <w:tcPr>
            <w:tcW w:type="dxa" w:w="1196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0x2A6</w:t>
            </w:r>
          </w:p>
        </w:tc>
        <w:tc>
          <w:tcPr>
            <w:tcW w:type="dxa" w:w="7875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J3、J4 角度</w:t>
            </w:r>
          </w:p>
        </w:tc>
      </w:tr>
      <w:tr>
        <w:trPr>
          <w:cantSplit/>
        </w:trPr>
        <w:tc>
          <w:tcPr>
            <w:tcW w:type="dxa" w:w="1196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0x2A7</w:t>
            </w:r>
          </w:p>
        </w:tc>
        <w:tc>
          <w:tcPr>
            <w:tcW w:type="dxa" w:w="787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J5、J6 角度</w:t>
            </w:r>
          </w:p>
        </w:tc>
      </w:tr>
      <w:tr>
        <w:trPr>
          <w:cantSplit/>
        </w:trPr>
        <w:tc>
          <w:tcPr>
            <w:tcW w:type="dxa" w:w="1196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0x2A8</w:t>
            </w:r>
          </w:p>
        </w:tc>
        <w:tc>
          <w:tcPr>
            <w:tcW w:type="dxa" w:w="7875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夹爪行程（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8"/>
              </w:rPr>
              <w:t xml:space="preserve">int32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8"/>
              </w:rPr>
              <w:t xml:space="preserve">0.001 mm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）、夹爪力矩（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8"/>
              </w:rPr>
              <w:t xml:space="preserve">int16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8"/>
              </w:rPr>
              <w:t xml:space="preserve">0.001 N·m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）、状态码</w:t>
            </w:r>
          </w:p>
        </w:tc>
      </w:tr>
    </w:tbl>
    <w:p>
      <w:pPr>
        <w:spacing w:before="0" w:after="180" w:line="360" w:lineRule="auto"/>
      </w:pPr>
    </w:p>
    <w:p>
      <w:pPr>
        <w:keepNext/>
        <w:keepLines/>
        <w:spacing w:before="280" w:after="120" w:line="288" w:lineRule="auto"/>
      </w:pPr>
      <w:r>
        <w:rPr>
          <w:rFonts w:ascii="Arial" w:hAnsi="Arial" w:eastAsia="Arial" w:cs="Arial"/>
          <w:b/>
          <w:i w:val="0"/>
          <w:color w:val="16365C"/>
          <w:sz w:val="24"/>
        </w:rPr>
        <w:t xml:space="preserve">8.2 </w:t>
      </w:r>
      <w:r>
        <w:rPr>
          <w:rFonts w:ascii="Arial" w:hAnsi="Arial" w:eastAsia="微软雅黑" w:cs="Arial"/>
          <w:b/>
          <w:i w:val="0"/>
          <w:color w:val="16365C"/>
          <w:sz w:val="24"/>
        </w:rPr>
        <w:t xml:space="preserve">关节高速反馈</w:t>
      </w:r>
      <w:r>
        <w:rPr>
          <w:rFonts w:ascii="Arial" w:hAnsi="Arial" w:eastAsia="Arial" w:cs="Arial"/>
          <w:b/>
          <w:i w:val="0"/>
          <w:color w:val="16365C"/>
          <w:sz w:val="24"/>
        </w:rPr>
        <w:t xml:space="preserve"> `0x251 ~ 0x256`</w:t>
      </w:r>
      <w:r>
        <w:rPr>
          <w:rFonts w:ascii="Arial" w:hAnsi="Arial" w:eastAsia="微软雅黑" w:cs="Arial"/>
          <w:b/>
          <w:i w:val="0"/>
          <w:color w:val="16365C"/>
          <w:sz w:val="24"/>
        </w:rPr>
        <w:t xml:space="preserve">（周期</w:t>
      </w:r>
      <w:r>
        <w:rPr>
          <w:rFonts w:ascii="Arial" w:hAnsi="Arial" w:eastAsia="Arial" w:cs="Arial"/>
          <w:b/>
          <w:i w:val="0"/>
          <w:color w:val="16365C"/>
          <w:sz w:val="24"/>
        </w:rPr>
        <w:t xml:space="preserve"> 20 ms ≈ 50 Hz</w:t>
      </w:r>
      <w:r>
        <w:rPr>
          <w:rFonts w:ascii="Arial" w:hAnsi="Arial" w:eastAsia="微软雅黑" w:cs="Arial"/>
          <w:b/>
          <w:i w:val="0"/>
          <w:color w:val="16365C"/>
          <w:sz w:val="24"/>
        </w:rPr>
        <w:t xml:space="preserve">）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tcW w:type="dxa" w:w="2387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字节</w:t>
            </w:r>
          </w:p>
        </w:tc>
        <w:tc>
          <w:tcPr>
            <w:tcW w:type="dxa" w:w="2160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含义</w:t>
            </w:r>
          </w:p>
        </w:tc>
        <w:tc>
          <w:tcPr>
            <w:tcW w:type="dxa" w:w="1689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2829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单位</w:t>
            </w:r>
          </w:p>
        </w:tc>
      </w:tr>
      <w:tr>
        <w:trPr>
          <w:cantSplit/>
        </w:trPr>
        <w:tc>
          <w:tcPr>
            <w:tcW w:type="dxa" w:w="238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byte[0:2]</w:t>
            </w:r>
          </w:p>
        </w:tc>
        <w:tc>
          <w:tcPr>
            <w:tcW w:type="dxa" w:w="2160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转速</w:t>
            </w:r>
          </w:p>
        </w:tc>
        <w:tc>
          <w:tcPr>
            <w:tcW w:type="dxa" w:w="1689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int16</w:t>
            </w:r>
          </w:p>
        </w:tc>
        <w:tc>
          <w:tcPr>
            <w:tcW w:type="dxa" w:w="2829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0.001 rad/s</w:t>
            </w:r>
          </w:p>
        </w:tc>
      </w:tr>
      <w:tr>
        <w:trPr>
          <w:cantSplit/>
        </w:trPr>
        <w:tc>
          <w:tcPr>
            <w:tcW w:type="dxa" w:w="2387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byte[2:4]</w:t>
            </w:r>
          </w:p>
        </w:tc>
        <w:tc>
          <w:tcPr>
            <w:tcW w:type="dxa" w:w="2160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电机电流</w:t>
            </w:r>
          </w:p>
        </w:tc>
        <w:tc>
          <w:tcPr>
            <w:tcW w:type="dxa" w:w="1689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uint16</w:t>
            </w:r>
          </w:p>
        </w:tc>
        <w:tc>
          <w:tcPr>
            <w:tcW w:type="dxa" w:w="2829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0.001 A</w:t>
            </w:r>
          </w:p>
        </w:tc>
      </w:tr>
      <w:tr>
        <w:trPr>
          <w:cantSplit/>
        </w:trPr>
        <w:tc>
          <w:tcPr>
            <w:tcW w:type="dxa" w:w="238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byte[4:8]</w:t>
            </w:r>
          </w:p>
        </w:tc>
        <w:tc>
          <w:tcPr>
            <w:tcW w:type="dxa" w:w="2160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位置</w:t>
            </w:r>
          </w:p>
        </w:tc>
        <w:tc>
          <w:tcPr>
            <w:tcW w:type="dxa" w:w="1689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int32</w:t>
            </w:r>
          </w:p>
        </w:tc>
        <w:tc>
          <w:tcPr>
            <w:tcW w:type="dxa" w:w="2829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rad</w:t>
            </w:r>
          </w:p>
        </w:tc>
      </w:tr>
    </w:tbl>
    <w:p>
      <w:pPr>
        <w:spacing w:before="0" w:after="180" w:line="360" w:lineRule="auto"/>
      </w:pPr>
    </w:p>
    <w:tbl>
      <w:tblPr>
        <w:tblW w:type="auto" w:w="0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140" w:type="dxa"/>
          <w:left w:w="240" w:type="dxa"/>
          <w:bottom w:w="140" w:type="dxa"/>
          <w:right w:w="200" w:type="dxa"/>
        </w:tblCellMar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tcBorders>
              <w:left w:val="single" w:sz="24" w:space="0" w:color="2E75B6"/>
            </w:tcBorders>
            <w:shd w:val="clear" w:color="auto" w:fill="F4F8FC"/>
          </w:tcPr>
          <w:p>
            <w:pPr>
              <w:spacing w:after="60" w:line="288" w:lineRule="auto"/>
            </w:pPr>
            <w:r/>
            <w:r>
              <w:rPr>
                <w:rFonts w:ascii="Arial" w:hAnsi="Arial" w:eastAsia="微软雅黑" w:cs="Arial"/>
                <w:b/>
                <w:i w:val="0"/>
                <w:color w:val="16365C"/>
                <w:sz w:val="20"/>
              </w:rPr>
              <w:t>这是复现 FACTR 2 最关键的一帧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电机电流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8"/>
              </w:rPr>
              <w:t>I_m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 就在这里（节点 ID 1~6 对应 J1~J6）。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8"/>
              </w:rPr>
              <w:t>τ_m = K·I_m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，K 为力矩常数。SDK 的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8"/>
              </w:rPr>
              <w:t>GetArmHighSpdInfoMsgs()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 还会额外给出一个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8"/>
              </w:rPr>
              <w:t>effort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字段（按固定系数换算的力矩，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0.001 N·m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），可直接当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9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8"/>
              </w:rPr>
              <w:t>τ_m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 的初值，但</w:t>
            </w:r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9"/>
              </w:rPr>
              <w:t>建议自己按 K 重算并标定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>（见复现报告第 7.3 节）。</w:t>
            </w:r>
          </w:p>
        </w:tc>
      </w:tr>
    </w:tbl>
    <w:p>
      <w:pPr>
        <w:spacing w:before="0" w:after="140" w:line="360" w:lineRule="auto"/>
      </w:pP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8.3 关节低速反馈 `0x261 ~ 0x266`（周期 100 ms）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type="dxa" w:w="1559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字节</w:t>
            </w:r>
          </w:p>
        </w:tc>
        <w:tc>
          <w:tcPr>
            <w:tcW w:type="dxa" w:w="6248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含义</w:t>
            </w:r>
          </w:p>
        </w:tc>
        <w:tc>
          <w:tcPr>
            <w:tcW w:type="dxa" w:w="1259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单位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byte[0:2]</w:t>
            </w:r>
          </w:p>
        </w:tc>
        <w:tc>
          <w:tcPr>
            <w:tcW w:type="dxa" w:w="624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驱动器电压</w:t>
            </w:r>
          </w:p>
        </w:tc>
        <w:tc>
          <w:tcPr>
            <w:tcW w:type="dxa" w:w="1259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0.1 V</w:t>
            </w:r>
          </w:p>
        </w:tc>
      </w:tr>
      <w:tr>
        <w:trPr>
          <w:cantSplit/>
        </w:trPr>
        <w:tc>
          <w:tcPr>
            <w:tcW w:type="dxa" w:w="1559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byte[2:4]</w:t>
            </w:r>
          </w:p>
        </w:tc>
        <w:tc>
          <w:tcPr>
            <w:tcW w:type="dxa" w:w="624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驱动器温度</w:t>
            </w:r>
          </w:p>
        </w:tc>
        <w:tc>
          <w:tcPr>
            <w:tcW w:type="dxa" w:w="1259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 ℃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byte[4]</w:t>
            </w:r>
          </w:p>
        </w:tc>
        <w:tc>
          <w:tcPr>
            <w:tcW w:type="dxa" w:w="624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电机温度</w:t>
            </w:r>
          </w:p>
        </w:tc>
        <w:tc>
          <w:tcPr>
            <w:tcW w:type="dxa" w:w="1259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 ℃</w:t>
            </w:r>
          </w:p>
        </w:tc>
      </w:tr>
      <w:tr>
        <w:trPr>
          <w:cantSplit/>
        </w:trPr>
        <w:tc>
          <w:tcPr>
            <w:tcW w:type="dxa" w:w="1559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byte[5]</w:t>
            </w:r>
          </w:p>
        </w:tc>
        <w:tc>
          <w:tcPr>
            <w:tcW w:type="dxa" w:w="6248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驱动器状态位（电压低 / 电机过温 / 过流 / 驱动过温 / 碰撞保护 / 错误 / 使能 / 堵转）</w:t>
            </w:r>
          </w:p>
        </w:tc>
        <w:tc>
          <w:tcPr>
            <w:tcW w:type="dxa" w:w="1259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byte[6:8]</w:t>
            </w:r>
          </w:p>
        </w:tc>
        <w:tc>
          <w:tcPr>
            <w:tcW w:type="dxa" w:w="6248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母线电流（</w:t>
            </w:r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1.5 kg 关节电机无采样，默认发 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）</w:t>
            </w:r>
          </w:p>
        </w:tc>
        <w:tc>
          <w:tcPr>
            <w:tcW w:type="dxa" w:w="1259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0.001 A</w:t>
            </w:r>
          </w:p>
        </w:tc>
      </w:tr>
    </w:tbl>
    <w:p>
      <w:pPr>
        <w:spacing w:before="0" w:after="180" w:line="360" w:lineRule="auto"/>
      </w:pP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8.4 控制指令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/>
        </w:trPr>
        <w:tc>
          <w:tcPr>
            <w:tcW w:type="dxa" w:w="2307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6763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30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0x150</w:t>
            </w:r>
          </w:p>
        </w:tc>
        <w:tc>
          <w:tcPr>
            <w:tcW w:type="dxa" w:w="676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运动控制指令 1（含拖动示教指令、轨迹索引、离线轨迹包校验）</w:t>
            </w:r>
          </w:p>
        </w:tc>
      </w:tr>
      <w:tr>
        <w:trPr>
          <w:cantSplit/>
        </w:trPr>
        <w:tc>
          <w:tcPr>
            <w:tcW w:type="dxa" w:w="2307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0x151</w:t>
            </w:r>
          </w:p>
        </w:tc>
        <w:tc>
          <w:tcPr>
            <w:tcW w:type="dxa" w:w="6763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控制模式 / MOVE 模式（P/J/L/C/M）/ 速度百分比 / </w:t>
            </w:r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MIT 模式标志（0xAD）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/ 安装位置（水平正装、侧装左、侧装右）</w:t>
            </w:r>
          </w:p>
        </w:tc>
      </w:tr>
      <w:tr>
        <w:trPr>
          <w:cantSplit/>
        </w:trPr>
        <w:tc>
          <w:tcPr>
            <w:tcW w:type="dxa" w:w="230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0x152 ~ 0x154</w:t>
            </w:r>
          </w:p>
        </w:tc>
        <w:tc>
          <w:tcPr>
            <w:tcW w:type="dxa" w:w="676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笛卡尔目标 X/Y/Z/RX/RY/RZ（0.001 mm / 0.001°）</w:t>
            </w:r>
          </w:p>
        </w:tc>
      </w:tr>
      <w:tr>
        <w:trPr>
          <w:cantSplit/>
        </w:trPr>
        <w:tc>
          <w:tcPr>
            <w:tcW w:type="dxa" w:w="2307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0x155 ~ 0x157</w:t>
            </w:r>
          </w:p>
        </w:tc>
        <w:tc>
          <w:tcPr>
            <w:tcW w:type="dxa" w:w="6763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关节目标 J1~J6（0.001°）</w:t>
            </w:r>
          </w:p>
        </w:tc>
      </w:tr>
      <w:tr>
        <w:trPr>
          <w:cantSplit/>
        </w:trPr>
        <w:tc>
          <w:tcPr>
            <w:tcW w:type="dxa" w:w="230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0x158</w:t>
            </w:r>
          </w:p>
        </w:tc>
        <w:tc>
          <w:tcPr>
            <w:tcW w:type="dxa" w:w="676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圆弧模式点位序号（起点/中点/终点）</w:t>
            </w:r>
          </w:p>
        </w:tc>
      </w:tr>
      <w:tr>
        <w:trPr>
          <w:cantSplit/>
        </w:trPr>
        <w:tc>
          <w:tcPr>
            <w:tcW w:type="dxa" w:w="2307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0x159</w:t>
            </w:r>
          </w:p>
        </w:tc>
        <w:tc>
          <w:tcPr>
            <w:tcW w:type="dxa" w:w="6763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夹爪行程 + 力矩 + 使能/清错 + 零点设置</w:t>
            </w:r>
          </w:p>
        </w:tc>
      </w:tr>
      <w:tr>
        <w:trPr>
          <w:cantSplit/>
        </w:trPr>
        <w:tc>
          <w:tcPr>
            <w:tcW w:type="dxa" w:w="2307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0x15A ~ 0x15F</w:t>
            </w:r>
          </w:p>
        </w:tc>
        <w:tc>
          <w:tcPr>
            <w:tcW w:type="dxa" w:w="6763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J1~J6 单关节 </w:t>
            </w:r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MIT 控制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（Pos_ref / Vel_ref / Kp / Kd / T_ref），官方参考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Kp=10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、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Kd=0.8</w:t>
            </w:r>
          </w:p>
        </w:tc>
      </w:tr>
    </w:tbl>
    <w:p>
      <w:pPr>
        <w:spacing w:before="0" w:after="180" w:line="360" w:lineRule="auto"/>
      </w:pP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8.5 配置与查询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/>
        </w:trPr>
        <w:tc>
          <w:tcPr>
            <w:tcW w:type="dxa" w:w="3078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5992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3078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0x470</w:t>
            </w:r>
          </w:p>
        </w:tc>
        <w:tc>
          <w:tcPr>
            <w:tcW w:type="dxa" w:w="5992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随动主从设置：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0xFA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设为示教输入臂、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0xFC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设为运动输出臂；Byte1/Byte2 设置反馈/控制 ID 偏移（0x10 / 0x20）</w:t>
            </w:r>
          </w:p>
        </w:tc>
      </w:tr>
      <w:tr>
        <w:trPr>
          <w:cantSplit/>
        </w:trPr>
        <w:tc>
          <w:tcPr>
            <w:tcW w:type="dxa" w:w="3078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0x471</w:t>
            </w:r>
          </w:p>
        </w:tc>
        <w:tc>
          <w:tcPr>
            <w:tcW w:type="dxa" w:w="5992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电机使能 / 失能</w:t>
            </w:r>
          </w:p>
        </w:tc>
      </w:tr>
      <w:tr>
        <w:trPr>
          <w:cantSplit/>
        </w:trPr>
        <w:tc>
          <w:tcPr>
            <w:tcW w:type="dxa" w:w="3078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0x472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0x473</w:t>
            </w:r>
          </w:p>
        </w:tc>
        <w:tc>
          <w:tcPr>
            <w:tcW w:type="dxa" w:w="5992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查询 / 回读关节限位与最大速度、最大加速度</w:t>
            </w:r>
          </w:p>
        </w:tc>
      </w:tr>
      <w:tr>
        <w:trPr>
          <w:cantSplit/>
        </w:trPr>
        <w:tc>
          <w:tcPr>
            <w:tcW w:type="dxa" w:w="3078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0x474</w:t>
            </w:r>
          </w:p>
        </w:tc>
        <w:tc>
          <w:tcPr>
            <w:tcW w:type="dxa" w:w="5992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设置关节限位与最大速度</w:t>
            </w:r>
          </w:p>
        </w:tc>
      </w:tr>
      <w:tr>
        <w:trPr>
          <w:cantSplit/>
        </w:trPr>
        <w:tc>
          <w:tcPr>
            <w:tcW w:type="dxa" w:w="3078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0x475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0x476</w:t>
            </w:r>
          </w:p>
        </w:tc>
        <w:tc>
          <w:tcPr>
            <w:tcW w:type="dxa" w:w="5992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关节设置 / 应答</w:t>
            </w:r>
          </w:p>
        </w:tc>
      </w:tr>
      <w:tr>
        <w:trPr>
          <w:cantSplit/>
        </w:trPr>
        <w:tc>
          <w:tcPr>
            <w:tcW w:type="dxa" w:w="3078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0x477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0x478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0x479</w:t>
            </w:r>
          </w:p>
        </w:tc>
        <w:tc>
          <w:tcPr>
            <w:tcW w:type="dxa" w:w="5992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参数查询与设置 / 末端速度加速度回读 / 末端速度加速度设置</w:t>
            </w:r>
          </w:p>
        </w:tc>
      </w:tr>
      <w:tr>
        <w:trPr>
          <w:cantSplit/>
        </w:trPr>
        <w:tc>
          <w:tcPr>
            <w:tcW w:type="dxa" w:w="3078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0x47A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0x47B</w:t>
            </w:r>
          </w:p>
        </w:tc>
        <w:tc>
          <w:tcPr>
            <w:tcW w:type="dxa" w:w="5992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碰撞防护等级设置 / 回读</w:t>
            </w:r>
          </w:p>
        </w:tc>
      </w:tr>
      <w:tr>
        <w:trPr>
          <w:cantSplit/>
        </w:trPr>
        <w:tc>
          <w:tcPr>
            <w:tcW w:type="dxa" w:w="3078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0x47C</w:t>
            </w:r>
          </w:p>
        </w:tc>
        <w:tc>
          <w:tcPr>
            <w:tcW w:type="dxa" w:w="5992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电机最大加速度限位回读</w:t>
            </w:r>
          </w:p>
        </w:tc>
      </w:tr>
      <w:tr>
        <w:trPr>
          <w:cantSplit/>
        </w:trPr>
        <w:tc>
          <w:tcPr>
            <w:tcW w:type="dxa" w:w="3078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0x47D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0x47E</w:t>
            </w:r>
          </w:p>
        </w:tc>
        <w:tc>
          <w:tcPr>
            <w:tcW w:type="dxa" w:w="5992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夹爪、示教器参数设置 / 回读</w:t>
            </w:r>
          </w:p>
        </w:tc>
      </w:tr>
    </w:tbl>
    <w:p>
      <w:pPr>
        <w:spacing w:before="0" w:after="180" w:line="360" w:lineRule="auto"/>
      </w:pPr>
    </w:p>
    <w:tbl>
      <w:tblPr>
        <w:tblW w:type="auto" w:w="0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140" w:type="dxa"/>
          <w:left w:w="240" w:type="dxa"/>
          <w:bottom w:w="140" w:type="dxa"/>
          <w:right w:w="200" w:type="dxa"/>
        </w:tblCellMar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tcBorders>
              <w:left w:val="single" w:sz="24" w:space="0" w:color="2E75B6"/>
            </w:tcBorders>
            <w:shd w:val="clear" w:color="auto" w:fill="F4F8FC"/>
          </w:tcPr>
          <w:p>
            <w:pPr>
              <w:spacing w:after="60" w:line="288" w:lineRule="auto"/>
            </w:pPr>
            <w:r/>
            <w:r>
              <w:rPr>
                <w:rFonts w:ascii="Arial" w:hAnsi="Arial" w:eastAsia="微软雅黑" w:cs="Arial"/>
                <w:b/>
                <w:i w:val="0"/>
                <w:color w:val="16365C"/>
                <w:sz w:val="20"/>
              </w:rPr>
              <w:t>单总线双臂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左臂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8"/>
              </w:rPr>
              <w:t>0x470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 设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8"/>
              </w:rPr>
              <w:t>0x10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（反馈 0x2Bx / 控制 0x16x），右臂保持默认（0x2Ax / 0x15x），即可在同一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8"/>
              </w:rPr>
              <w:t>can0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 上同时驱动两台，无需两个 USB-CAN。论文里的双臂 Piper 装置就是这么搭的。</w:t>
            </w:r>
          </w:p>
        </w:tc>
      </w:tr>
    </w:tbl>
    <w:p>
      <w:pPr>
        <w:spacing w:before="0" w:after="140" w:line="360" w:lineRule="auto"/>
      </w:pPr>
    </w:p>
    <w:p>
      <w:pPr>
        <w:pBdr>
          <w:bottom w:val="single" w:sz="4" w:space="1" w:color="C9D6E4"/>
        </w:pBdr>
        <w:spacing w:before="40" w:after="40" w:line="240" w:lineRule="auto"/>
      </w:pPr>
    </w:p>
    <w:p>
      <w:pPr>
        <w:keepNext/>
        <w:keepLines/>
        <w:pBdr>
          <w:bottom w:val="single" w:sz="10" w:space="4" w:color="2E75B6"/>
        </w:pBdr>
        <w:spacing w:before="400" w:after="180" w:line="288" w:lineRule="auto"/>
      </w:pPr>
      <w:r>
        <w:rPr>
          <w:rFonts w:ascii="Arial" w:hAnsi="Arial" w:eastAsia="微软雅黑" w:cs="Arial"/>
          <w:b/>
          <w:i w:val="0"/>
          <w:color w:val="16365C"/>
          <w:sz w:val="30"/>
        </w:rPr>
        <w:t>9. 反馈频率与实时性预算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tcW w:type="dxa" w:w="2755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数据</w:t>
            </w:r>
          </w:p>
        </w:tc>
        <w:tc>
          <w:tcPr>
            <w:tcW w:type="dxa" w:w="1247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帧</w:t>
            </w:r>
          </w:p>
        </w:tc>
        <w:tc>
          <w:tcPr>
            <w:tcW w:type="dxa" w:w="3090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周期</w:t>
            </w:r>
          </w:p>
        </w:tc>
        <w:tc>
          <w:tcPr>
            <w:tcW w:type="dxa" w:w="1984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可用频率</w:t>
            </w:r>
          </w:p>
        </w:tc>
      </w:tr>
      <w:tr>
        <w:trPr>
          <w:cantSplit/>
        </w:trPr>
        <w:tc>
          <w:tcPr>
            <w:tcW w:type="dxa" w:w="2755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关节位置 / 速度 / </w:t>
            </w:r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电流</w:t>
            </w:r>
          </w:p>
        </w:tc>
        <w:tc>
          <w:tcPr>
            <w:tcW w:type="dxa" w:w="124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0x251~0x256</w:t>
            </w:r>
          </w:p>
        </w:tc>
        <w:tc>
          <w:tcPr>
            <w:tcW w:type="dxa" w:w="3090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20 ms</w:t>
            </w:r>
          </w:p>
        </w:tc>
        <w:tc>
          <w:tcPr>
            <w:tcW w:type="dxa" w:w="1984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50 Hz</w:t>
            </w:r>
          </w:p>
        </w:tc>
      </w:tr>
      <w:tr>
        <w:trPr>
          <w:cantSplit/>
        </w:trPr>
        <w:tc>
          <w:tcPr>
            <w:tcW w:type="dxa" w:w="2755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关节角（度）、末端位姿、夹爪</w:t>
            </w:r>
          </w:p>
        </w:tc>
        <w:tc>
          <w:tcPr>
            <w:tcW w:type="dxa" w:w="1247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0x2A1~0x2A8</w:t>
            </w:r>
          </w:p>
        </w:tc>
        <w:tc>
          <w:tcPr>
            <w:tcW w:type="dxa" w:w="3090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由主控轮询，SDK 日志中带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Hz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字段</w:t>
            </w:r>
          </w:p>
        </w:tc>
        <w:tc>
          <w:tcPr>
            <w:tcW w:type="dxa" w:w="1984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实测常为 100~200 Hz</w:t>
            </w:r>
          </w:p>
        </w:tc>
      </w:tr>
      <w:tr>
        <w:trPr>
          <w:cantSplit/>
        </w:trPr>
        <w:tc>
          <w:tcPr>
            <w:tcW w:type="dxa" w:w="2755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电压 / 温度 / 母线电流</w:t>
            </w:r>
          </w:p>
        </w:tc>
        <w:tc>
          <w:tcPr>
            <w:tcW w:type="dxa" w:w="1247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0x261~0x266</w:t>
            </w:r>
          </w:p>
        </w:tc>
        <w:tc>
          <w:tcPr>
            <w:tcW w:type="dxa" w:w="3090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100 ms</w:t>
            </w:r>
          </w:p>
        </w:tc>
        <w:tc>
          <w:tcPr>
            <w:tcW w:type="dxa" w:w="1984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10 Hz</w:t>
            </w:r>
          </w:p>
        </w:tc>
      </w:tr>
    </w:tbl>
    <w:p>
      <w:pPr>
        <w:spacing w:before="0" w:after="180" w:line="360" w:lineRule="auto"/>
      </w:pP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工程结论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训练/推理用 100 Hz 时，电流只有 50 Hz 采样 → 必须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零阶保持或线性插值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，并在文档里写明插值方式，否则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τ_m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序列会有阶梯伪影；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更稳妥的做法：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整套管线直接跑 50 Hz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，与电流原生频率对齐，再把论文的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H=50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（约 0.5 秒历史 @100 Hz）换算成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H=25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（约 0.5 秒 @50 Hz）；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控制指令下发建议 ≤ 100 Hz，位置-速度模式下指令间隔过短会被主控平滑，反而引入跟踪滞后。</w:t>
      </w:r>
    </w:p>
    <w:p>
      <w:pPr>
        <w:pBdr>
          <w:bottom w:val="single" w:sz="4" w:space="1" w:color="C9D6E4"/>
        </w:pBdr>
        <w:spacing w:before="40" w:after="40" w:line="240" w:lineRule="auto"/>
      </w:pPr>
    </w:p>
    <w:p>
      <w:pPr>
        <w:keepNext/>
        <w:keepLines/>
        <w:pBdr>
          <w:bottom w:val="single" w:sz="10" w:space="4" w:color="2E75B6"/>
        </w:pBdr>
        <w:spacing w:before="400" w:after="180" w:line="288" w:lineRule="auto"/>
      </w:pPr>
      <w:r>
        <w:rPr>
          <w:rFonts w:ascii="Arial" w:hAnsi="Arial" w:eastAsia="微软雅黑" w:cs="Arial"/>
          <w:b/>
          <w:i w:val="0"/>
          <w:color w:val="16365C"/>
          <w:sz w:val="30"/>
        </w:rPr>
        <w:t>10. 安全、边界与常见坑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10.1 硬边界（官方）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负载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≤ 1.5 kg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（含末端工具）；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供电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24 V，绝不超过 26 V，电流 ≥ 10 A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工作温度 -20~50 ℃，湿度 25%~85% 非冷凝，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IP22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（不防水不防尘，远离切削液、粉尘）；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拖动示教单条轨迹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≤ 3 分钟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本体工作时不带碰撞检测传感器（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无自动避障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），必须靠人/软件保护；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运行中本体发热，停机后需冷却约 1 小时再触碰；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强磁场会损坏本体，远离电磁铁、大功率电机。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10.2 碰撞保护、维护与紧急处理</w:t>
      </w: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碰撞保护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：上位机「碰撞等级」区可对 6 个关节分别设置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等级 1 ~ 等级 8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（操作流程：编辑 → 保存）。等级越高越灵敏/越保守（以官方上位机说明为准）。做数据采集或力估计实验时，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固定等级并写入实验记录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——等级变化会改变力矩行为，导致 </w:t>
      </w:r>
      <w:r>
        <w:rPr>
          <w:rFonts w:ascii="Consolas" w:hAnsi="Consolas" w:eastAsia="Consolas" w:cs="Consolas"/>
          <w:b w:val="0"/>
          <w:i w:val="0"/>
          <w:color w:val="1F4E79"/>
          <w:sz w:val="19"/>
        </w:rPr>
        <w:t>τ_f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 xml:space="preserve"> 分布漂移。</w:t>
      </w: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维护与保养（官方）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存放：使用完毕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复位零点后断电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，线束收纳，避免缠绕与大力牵拉；环境 -20~50 ℃、湿度 25%~85% 非冷凝。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保养（必须在零点、断电状态下进行）：湿巾/干布清理灰尘油渍；检查螺丝是否松动；检查电机与结构件有无破损变形；检查电源线与 CAN 线是否稳固、表皮是否破损。</w:t>
      </w:r>
    </w:p>
    <w:p>
      <w:pPr>
        <w:spacing w:before="0" w:after="140" w:line="389" w:lineRule="auto"/>
        <w:ind w:firstLine="420"/>
        <w:jc w:val="both"/>
      </w:pP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紧急处理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断电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：紧急情况可直接拔航插断电。注意断电后机械臂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立即失能并自由掉落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，需防止砸伤人或损坏设备；官方明确「拔线是应急手段，不用于防止伤害」。</w:t>
      </w:r>
    </w:p>
    <w:p>
      <w:pPr>
        <w:spacing w:before="0" w:after="80" w:line="372" w:lineRule="auto"/>
        <w:ind w:left="400" w:hanging="200"/>
      </w:pPr>
      <w:r>
        <w:rPr>
          <w:rFonts w:ascii="Times New Roman" w:hAnsi="Times New Roman" w:eastAsia="宋体" w:cs="Times New Roman"/>
          <w:b w:val="0"/>
          <w:i w:val="0"/>
          <w:color w:val="2E75B6"/>
          <w:sz w:val="18"/>
        </w:rPr>
        <w:t xml:space="preserve">▪ </w:t>
      </w:r>
      <w:r>
        <w:rPr>
          <w:rFonts w:ascii="Times New Roman" w:hAnsi="Times New Roman" w:eastAsia="宋体" w:cs="Times New Roman"/>
          <w:b/>
          <w:i w:val="0"/>
          <w:color w:val="1A1A1A"/>
          <w:sz w:val="21"/>
        </w:rPr>
        <w:t>急停</w:t>
      </w:r>
      <w:r>
        <w:rPr>
          <w:rFonts w:ascii="Times New Roman" w:hAnsi="Times New Roman" w:eastAsia="宋体" w:cs="Times New Roman"/>
          <w:b w:val="0"/>
          <w:i w:val="0"/>
          <w:color w:val="1A1A1A"/>
          <w:sz w:val="21"/>
        </w:rPr>
        <w:t>：连接上位机时，可用上位机暂停按钮暂停/恢复动作。</w:t>
      </w:r>
    </w:p>
    <w:p>
      <w:pPr>
        <w:keepNext/>
        <w:keepLines/>
        <w:spacing w:before="280" w:after="120" w:line="288" w:lineRule="auto"/>
      </w:pPr>
      <w:r>
        <w:rPr>
          <w:rFonts w:ascii="Arial" w:hAnsi="Arial" w:eastAsia="微软雅黑" w:cs="Arial"/>
          <w:b/>
          <w:i w:val="0"/>
          <w:color w:val="16365C"/>
          <w:sz w:val="24"/>
        </w:rPr>
        <w:t>10.3 常见坑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type="dxa" w:w="2755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现象</w:t>
            </w:r>
          </w:p>
        </w:tc>
        <w:tc>
          <w:tcPr>
            <w:tcW w:type="dxa" w:w="3005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原因</w:t>
            </w:r>
          </w:p>
        </w:tc>
        <w:tc>
          <w:tcPr>
            <w:tcW w:type="dxa" w:w="3311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755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GetPiperFirmwareVersion()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返回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-0x4AF</w:t>
            </w:r>
          </w:p>
        </w:tc>
        <w:tc>
          <w:tcPr>
            <w:tcW w:type="dxa" w:w="300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读得太早，反馈帧未到</w:t>
            </w:r>
          </w:p>
        </w:tc>
        <w:tc>
          <w:tcPr>
            <w:tcW w:type="dxa" w:w="3311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ConnectPort()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后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sleep(0.025+)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再读</w:t>
            </w:r>
          </w:p>
        </w:tc>
      </w:tr>
      <w:tr>
        <w:trPr>
          <w:cantSplit/>
        </w:trPr>
        <w:tc>
          <w:tcPr>
            <w:tcW w:type="dxa" w:w="2755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使能后不动</w:t>
            </w:r>
          </w:p>
        </w:tc>
        <w:tc>
          <w:tcPr>
            <w:tcW w:type="dxa" w:w="3005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未切到 CAN 指令控制模式 / 仍在示教模式</w:t>
            </w:r>
          </w:p>
        </w:tc>
        <w:tc>
          <w:tcPr>
            <w:tcW w:type="dxa" w:w="3311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示教灯熄灭 → 上位机待机 → CAN 模式，且</w:t>
            </w:r>
            <w:r>
              <w:rPr>
                <w:rFonts w:ascii="Times New Roman" w:hAnsi="Times New Roman" w:eastAsia="宋体" w:cs="Times New Roman"/>
                <w:b/>
                <w:i w:val="0"/>
                <w:color w:val="1A1A1A"/>
                <w:sz w:val="18"/>
              </w:rPr>
              <w:t>先回零位</w:t>
            </w:r>
          </w:p>
        </w:tc>
      </w:tr>
      <w:tr>
        <w:trPr>
          <w:cantSplit/>
        </w:trPr>
        <w:tc>
          <w:tcPr>
            <w:tcW w:type="dxa" w:w="2755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关节角全 0</w:t>
            </w:r>
          </w:p>
        </w:tc>
        <w:tc>
          <w:tcPr>
            <w:tcW w:type="dxa" w:w="300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读到首帧默认值 / 机械臂在主站模式</w:t>
            </w:r>
          </w:p>
        </w:tc>
        <w:tc>
          <w:tcPr>
            <w:tcW w:type="dxa" w:w="3311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丢弃首帧；用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MasterSlaveConfig(0xFC,0,0,0)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切从站</w:t>
            </w:r>
          </w:p>
        </w:tc>
      </w:tr>
      <w:tr>
        <w:trPr>
          <w:cantSplit/>
        </w:trPr>
        <w:tc>
          <w:tcPr>
            <w:tcW w:type="dxa" w:w="2755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SendCanMessage(100017)</w:t>
            </w:r>
          </w:p>
        </w:tc>
        <w:tc>
          <w:tcPr>
            <w:tcW w:type="dxa" w:w="3005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CAN 模块未激活或掉线</w:t>
            </w:r>
          </w:p>
        </w:tc>
        <w:tc>
          <w:tcPr>
            <w:tcW w:type="dxa" w:w="3311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ip link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检查、重插、重启上位机</w:t>
            </w:r>
          </w:p>
        </w:tc>
      </w:tr>
      <w:tr>
        <w:trPr>
          <w:cantSplit/>
        </w:trPr>
        <w:tc>
          <w:tcPr>
            <w:tcW w:type="dxa" w:w="2755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双臂只有一台响应</w:t>
            </w:r>
          </w:p>
        </w:tc>
        <w:tc>
          <w:tcPr>
            <w:tcW w:type="dxa" w:w="300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两台 ID 冲突</w:t>
            </w:r>
          </w:p>
        </w:tc>
        <w:tc>
          <w:tcPr>
            <w:tcW w:type="dxa" w:w="3311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用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0x470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给一台设 0x10 / 0x20 偏移</w:t>
            </w:r>
          </w:p>
        </w:tc>
      </w:tr>
      <w:tr>
        <w:trPr>
          <w:cantSplit/>
        </w:trPr>
        <w:tc>
          <w:tcPr>
            <w:tcW w:type="dxa" w:w="2755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停顿后再启动仍使能</w:t>
            </w:r>
          </w:p>
        </w:tc>
        <w:tc>
          <w:tcPr>
            <w:tcW w:type="dxa" w:w="3005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使能状态跨进程保持</w:t>
            </w:r>
          </w:p>
        </w:tc>
        <w:tc>
          <w:tcPr>
            <w:tcW w:type="dxa" w:w="3311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退出前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DisableArm(7)</w:t>
            </w:r>
          </w:p>
        </w:tc>
      </w:tr>
      <w:tr>
        <w:trPr>
          <w:cantSplit/>
        </w:trPr>
        <w:tc>
          <w:tcPr>
            <w:tcW w:type="dxa" w:w="2755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运动学对不上 URDF</w:t>
            </w:r>
          </w:p>
        </w:tc>
        <w:tc>
          <w:tcPr>
            <w:tcW w:type="dxa" w:w="300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固件 ≥ S-V1.6-3 DH 变了（J2/J3 偏移 2°）</w:t>
            </w:r>
          </w:p>
        </w:tc>
        <w:tc>
          <w:tcPr>
            <w:tcW w:type="dxa" w:w="3311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换新 URDF，或 SDK 里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dh_is_offset=1</w:t>
            </w:r>
          </w:p>
        </w:tc>
      </w:tr>
      <w:tr>
        <w:trPr>
          <w:cantSplit/>
        </w:trPr>
        <w:tc>
          <w:tcPr>
            <w:tcW w:type="dxa" w:w="2755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电流数据跳变/为 0</w:t>
            </w:r>
          </w:p>
        </w:tc>
        <w:tc>
          <w:tcPr>
            <w:tcW w:type="dxa" w:w="3005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用了低速帧的母线电流（1.5 kg 机型无采样）</w:t>
            </w:r>
          </w:p>
        </w:tc>
        <w:tc>
          <w:tcPr>
            <w:tcW w:type="dxa" w:w="3311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改用高速帧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0x251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6"/>
              </w:rPr>
              <w:t>电流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 xml:space="preserve"> 字段</w:t>
            </w:r>
          </w:p>
        </w:tc>
      </w:tr>
    </w:tbl>
    <w:p>
      <w:pPr>
        <w:spacing w:before="0" w:after="180" w:line="360" w:lineRule="auto"/>
      </w:pPr>
    </w:p>
    <w:p>
      <w:pPr>
        <w:pBdr>
          <w:bottom w:val="single" w:sz="4" w:space="1" w:color="C9D6E4"/>
        </w:pBdr>
        <w:spacing w:before="40" w:after="40" w:line="240" w:lineRule="auto"/>
      </w:pPr>
    </w:p>
    <w:p>
      <w:pPr>
        <w:keepNext/>
        <w:keepLines/>
        <w:pBdr>
          <w:bottom w:val="single" w:sz="10" w:space="4" w:color="2E75B6"/>
        </w:pBdr>
        <w:spacing w:before="400" w:after="180" w:line="288" w:lineRule="auto"/>
      </w:pPr>
      <w:r>
        <w:rPr>
          <w:rFonts w:ascii="Arial" w:hAnsi="Arial" w:eastAsia="微软雅黑" w:cs="Arial"/>
          <w:b/>
          <w:i w:val="0"/>
          <w:color w:val="16365C"/>
          <w:sz w:val="30"/>
        </w:rPr>
        <w:t>11. 官方资料索引</w:t>
      </w:r>
    </w:p>
    <w:tbl>
      <w:tblPr>
        <w:tblW w:type="auto" w:w="0"/>
        <w:jc w:val="center"/>
        <w:tblBorders>
          <w:top w:val="single" w:sz="6" w:space="0" w:color="C9D6E4"/>
          <w:left w:val="single" w:sz="6" w:space="0" w:color="C9D6E4"/>
          <w:bottom w:val="single" w:sz="6" w:space="0" w:color="C9D6E4"/>
          <w:right w:val="single" w:sz="6" w:space="0" w:color="C9D6E4"/>
          <w:insideH w:val="single" w:sz="6" w:space="0" w:color="C9D6E4"/>
          <w:insideV w:val="single" w:sz="6" w:space="0" w:color="C9D6E4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/>
        </w:trPr>
        <w:tc>
          <w:tcPr>
            <w:tcW w:type="dxa" w:w="4116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资料</w:t>
            </w:r>
          </w:p>
        </w:tc>
        <w:tc>
          <w:tcPr>
            <w:tcW w:type="dxa" w:w="4955"/>
            <w:shd w:val="clear" w:color="auto" w:fill="16365C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Arial" w:hAnsi="Arial" w:eastAsia="微软雅黑" w:cs="Arial"/>
                <w:b/>
                <w:i w:val="0"/>
                <w:color w:val="FFFFFF"/>
                <w:sz w:val="18"/>
              </w:rPr>
              <w:t>链接</w:t>
            </w:r>
          </w:p>
        </w:tc>
      </w:tr>
      <w:tr>
        <w:trPr>
          <w:cantSplit/>
        </w:trPr>
        <w:tc>
          <w:tcPr>
            <w:tcW w:type="dxa" w:w="4116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产品页（规格、配件、报价 $1,999）</w:t>
            </w:r>
          </w:p>
        </w:tc>
        <w:tc>
          <w:tcPr>
            <w:tcW w:type="dxa" w:w="495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https://global.agilex.ai/products/piper</w:t>
            </w:r>
          </w:p>
        </w:tc>
      </w:tr>
      <w:tr>
        <w:trPr>
          <w:cantSplit/>
        </w:trPr>
        <w:tc>
          <w:tcPr>
            <w:tcW w:type="dxa" w:w="4116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PiPER-X 产品页（对照版本差异）</w:t>
            </w:r>
          </w:p>
        </w:tc>
        <w:tc>
          <w:tcPr>
            <w:tcW w:type="dxa" w:w="4955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https://global.agilex.ai/products/piper-x</w:t>
            </w:r>
          </w:p>
        </w:tc>
      </w:tr>
      <w:tr>
        <w:trPr>
          <w:cantSplit/>
        </w:trPr>
        <w:tc>
          <w:tcPr>
            <w:tcW w:type="dxa" w:w="4116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快速上手手册（EN，V1.0，2024.09）</w:t>
            </w:r>
          </w:p>
        </w:tc>
        <w:tc>
          <w:tcPr>
            <w:tcW w:type="dxa" w:w="495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https://download.westonrobot.net/robot/piper/piper-quick-start-en-v1.0.pdf</w:t>
            </w:r>
          </w:p>
        </w:tc>
      </w:tr>
      <w:tr>
        <w:trPr>
          <w:cantSplit/>
        </w:trPr>
        <w:tc>
          <w:tcPr>
            <w:tcW w:type="dxa" w:w="4116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用户手册（中文，v1.1.0，11 MB）</w:t>
            </w:r>
          </w:p>
        </w:tc>
        <w:tc>
          <w:tcPr>
            <w:tcW w:type="dxa" w:w="4955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https://download.westonrobot.net/robot/piper/piper-user-manual-zh-v1.1.0.pdf</w:t>
            </w:r>
          </w:p>
        </w:tc>
      </w:tr>
      <w:tr>
        <w:trPr>
          <w:cantSplit/>
        </w:trPr>
        <w:tc>
          <w:tcPr>
            <w:tcW w:type="dxa" w:w="4116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用户手册（EN，v1.0）</w:t>
            </w:r>
          </w:p>
        </w:tc>
        <w:tc>
          <w:tcPr>
            <w:tcW w:type="dxa" w:w="495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https://download.westonrobot.net/robot/piper/piper-user-manual-en-v1.0.pdf</w:t>
            </w:r>
          </w:p>
        </w:tc>
      </w:tr>
      <w:tr>
        <w:trPr>
          <w:cantSplit/>
        </w:trPr>
        <w:tc>
          <w:tcPr>
            <w:tcW w:type="dxa" w:w="4116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CAN 协议 API 手册（中文，v1.5，xlsx）</w:t>
            </w:r>
          </w:p>
        </w:tc>
        <w:tc>
          <w:tcPr>
            <w:tcW w:type="dxa" w:w="4955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https://download.westonrobot.net/robot/piper/piper-api-reference-can-protocol-zh-v1.5.xlsx</w:t>
            </w:r>
          </w:p>
        </w:tc>
      </w:tr>
      <w:tr>
        <w:trPr>
          <w:cantSplit/>
        </w:trPr>
        <w:tc>
          <w:tcPr>
            <w:tcW w:type="dxa" w:w="4116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Python SDK（piper_sdk）</w:t>
            </w:r>
          </w:p>
        </w:tc>
        <w:tc>
          <w:tcPr>
            <w:tcW w:type="dxa" w:w="495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https://github.com/agilexrobotics/piper_sdk</w:t>
            </w:r>
          </w:p>
        </w:tc>
      </w:tr>
      <w:tr>
        <w:trPr>
          <w:cantSplit/>
        </w:trPr>
        <w:tc>
          <w:tcPr>
            <w:tcW w:type="dxa" w:w="4116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SDK 示例</w:t>
            </w:r>
          </w:p>
        </w:tc>
        <w:tc>
          <w:tcPr>
            <w:tcW w:type="dxa" w:w="4955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https://github.com/agilexrobotics/piper_sdk_demo</w:t>
            </w:r>
          </w:p>
        </w:tc>
      </w:tr>
      <w:tr>
        <w:trPr>
          <w:cantSplit/>
        </w:trPr>
        <w:tc>
          <w:tcPr>
            <w:tcW w:type="dxa" w:w="4116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ROS 1（noetic）</w:t>
            </w:r>
          </w:p>
        </w:tc>
        <w:tc>
          <w:tcPr>
            <w:tcW w:type="dxa" w:w="495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https://github.com/agilexrobotics/Piper_ros/tree/ros-noetic-no-aloha</w:t>
            </w:r>
          </w:p>
        </w:tc>
      </w:tr>
      <w:tr>
        <w:trPr>
          <w:cantSplit/>
        </w:trPr>
        <w:tc>
          <w:tcPr>
            <w:tcW w:type="dxa" w:w="4116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ROS 2（humble / foxy）</w:t>
            </w:r>
          </w:p>
        </w:tc>
        <w:tc>
          <w:tcPr>
            <w:tcW w:type="dxa" w:w="4955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https://github.com/agilexrobotics/Piper_ros/tree/ros-humble-no-aloha</w:t>
            </w:r>
          </w:p>
        </w:tc>
      </w:tr>
      <w:tr>
        <w:trPr>
          <w:cantSplit/>
        </w:trPr>
        <w:tc>
          <w:tcPr>
            <w:tcW w:type="dxa" w:w="4116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仿真 / MoveIt 2 / Isaac Sim</w:t>
            </w:r>
          </w:p>
        </w:tc>
        <w:tc>
          <w:tcPr>
            <w:tcW w:type="dxa" w:w="495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1A1A1A"/>
                <w:sz w:val="18"/>
              </w:rPr>
              <w:t>https://github.com/agilexrobotics/agilex_open_class/tree/master/piper · https://github.com/agilexrobotics/piper_isaac_sim</w:t>
            </w:r>
          </w:p>
        </w:tc>
      </w:tr>
      <w:tr>
        <w:trPr>
          <w:cantSplit/>
        </w:trPr>
        <w:tc>
          <w:tcPr>
            <w:tcW w:type="dxa" w:w="4116"/>
            <w:shd w:val="clear" w:color="auto" w:fill="F7FAFD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URDF</w:t>
            </w:r>
          </w:p>
        </w:tc>
        <w:tc>
          <w:tcPr>
            <w:tcW w:type="dxa" w:w="4955"/>
            <w:shd w:val="clear" w:color="auto" w:fill="F7FAFD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https://github.com/agilexrobotics/Piper_ros/tree/ros-noetic-no-aloha/src/piper_description/urdf</w:t>
            </w:r>
          </w:p>
        </w:tc>
      </w:tr>
      <w:tr>
        <w:trPr>
          <w:cantSplit/>
        </w:trPr>
        <w:tc>
          <w:tcPr>
            <w:tcW w:type="dxa" w:w="4116"/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官方支持邮箱</w:t>
            </w:r>
          </w:p>
        </w:tc>
        <w:tc>
          <w:tcPr>
            <w:tcW w:type="dxa" w:w="4955"/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8"/>
              </w:rPr>
              <w:t>support@agilex.ai</w:t>
            </w:r>
          </w:p>
        </w:tc>
      </w:tr>
    </w:tbl>
    <w:p>
      <w:pPr>
        <w:spacing w:before="0" w:after="180" w:line="360" w:lineRule="auto"/>
      </w:pPr>
    </w:p>
    <w:tbl>
      <w:tblPr>
        <w:tblW w:type="auto" w:w="0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140" w:type="dxa"/>
          <w:left w:w="240" w:type="dxa"/>
          <w:bottom w:w="140" w:type="dxa"/>
          <w:right w:w="200" w:type="dxa"/>
        </w:tblCellMar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tcBorders>
              <w:left w:val="single" w:sz="24" w:space="0" w:color="2E75B6"/>
            </w:tcBorders>
            <w:shd w:val="clear" w:color="auto" w:fill="F4F8FC"/>
          </w:tcPr>
          <w:p>
            <w:pPr>
              <w:spacing w:after="60" w:line="288" w:lineRule="auto"/>
            </w:pPr>
            <w:r/>
          </w:p>
          <w:p>
            <w:pPr>
              <w:spacing w:after="0" w:line="360" w:lineRule="auto"/>
              <w:jc w:val="both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>说明：</w:t>
            </w:r>
            <w:r>
              <w:rPr>
                <w:rFonts w:ascii="Consolas" w:hAnsi="Consolas" w:eastAsia="Consolas" w:cs="Consolas"/>
                <w:b w:val="0"/>
                <w:i w:val="0"/>
                <w:color w:val="1F4E79"/>
                <w:sz w:val="18"/>
              </w:rPr>
              <w:t>new.agilex.ai</w:t>
            </w:r>
            <w:r>
              <w:rPr>
                <w:rFonts w:ascii="Times New Roman" w:hAnsi="Times New Roman" w:eastAsia="宋体" w:cs="Times New Roman"/>
                <w:b w:val="0"/>
                <w:i w:val="0"/>
                <w:color w:val="1A1A1A"/>
                <w:sz w:val="19"/>
              </w:rPr>
              <w:t xml:space="preserve"> 域名证书已过期（2026-10 抓取时 TLS 握手失败），故手册与协议统一引用 Weston Robot 的官方镜像（文件由 AgileX 发布，内容一致，有 SHA256 校验）。本目录下已保存副本，无需再联网。</w:t>
            </w:r>
          </w:p>
        </w:tc>
      </w:tr>
    </w:tbl>
    <w:p>
      <w:pPr>
        <w:spacing w:before="0" w:after="140" w:line="36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62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 w:val="0"/>
        <w:i w:val="0"/>
        <w:color w:val="595959"/>
        <w:sz w:val="17"/>
      </w:rPr>
      <w:t xml:space="preserve">— </w:t>
    </w:r>
    <w:r>
      <w:rPr>
        <w:rFonts w:ascii="Times New Roman" w:hAnsi="Times New Roman" w:eastAsia="宋体" w:cs="Times New Roman"/>
        <w:b w:val="0"/>
        <w:i w:val="0"/>
        <w:color w:val="595959"/>
        <w:sz w:val="17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 w:cs="Times New Roman"/>
        <w:b w:val="0"/>
        <w:i w:val="0"/>
        <w:color w:val="595959"/>
        <w:sz w:val="17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微软雅黑" w:cs="Arial"/>
        <w:b w:val="0"/>
        <w:i w:val="0"/>
        <w:color w:val="8C9AAB"/>
        <w:sz w:val="16"/>
      </w:rPr>
      <w:t>PiPER 标准版 · 官方参数与使用说明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